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  <w:jc w:val="center"/>
      </w:pPr>
      <w:r>
        <w:rPr>
          <w:rFonts w:ascii="Times New Roman" w:hAnsi="Times New Roman"/>
          <w:b/>
          <w:i w:val="0"/>
          <w:sz w:val="24"/>
        </w:rPr>
        <w:t>Artigo original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/>
          <w:b/>
          <w:i w:val="0"/>
          <w:sz w:val="24"/>
        </w:rPr>
        <w:t>Tendência temporal e perfil epidemiológico dos acidentes por animais peçonhentos no Brasil, 2007 a 2023: estudo ecológico de série temporal com 3,3 milhões de notificações do Sinan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/>
          <w:b w:val="0"/>
          <w:i/>
          <w:sz w:val="24"/>
        </w:rPr>
        <w:t>Temporal trend and epidemiological profile of accidents involving venomous animals in Brazil, 2007 to 2023: an ecological time-series study with 3.3 million Sinan notifications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/>
          <w:b w:val="0"/>
          <w:i/>
          <w:sz w:val="24"/>
        </w:rPr>
        <w:t>Tendencia temporal y perfil epidemiológico de los accidentes por animales venenosos en Brasil, 2007 a 2023: estudio ecológico de serie temporal con 3,3 millones de notificaciones del Sinan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Título resumido: Acidentes por animais peçonhentos no Brasil, 2007-2023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/>
          <w:i w:val="0"/>
          <w:sz w:val="24"/>
        </w:rPr>
        <w:t>Autores: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[Nome do Autor 1]¹; [Nome do Autor 2]²; [Nome do Autor 3]³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¹ [Instituição 1 — incluir unidade ou departamento, cidade, estado e país]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² [Instituição 2 — incluir unidade ou departamento, cidade, estado e país]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³ [Instituição 3 — incluir unidade ou departamento, cidade, estado e país]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Autor correspondente: [Nome completo] | Endereço completo: [rua, número, bairro, CEP, cidade, UF, país] | E-mail: [e-mail] | Telefone: [(XX) XXXX-XXXX]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E-mail dos autores: [e-mail autor 1]; [e-mail autor 2]; [e-mail autor 3]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Financiamento: [Declarar agências financiadoras e números de processo, ou informar ausência]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Manuscrito redigido com base em [monografia/dissertação/tese]: [indicar se pertinente, instituição e ano de defesa] — ou excluir esta linha se não for o caso.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Número de palavras: resumo — 145; abstract — 139; texto completo (Introdução a Discussão) — 1.631; referências — 19; tabelas e figuras — 5.</w:t>
      </w:r>
    </w:p>
    <w:p>
      <w:r>
        <w:br w:type="page"/>
      </w:r>
    </w:p>
    <w:p>
      <w:pPr>
        <w:spacing w:line="480" w:lineRule="auto"/>
        <w:jc w:val="center"/>
      </w:pPr>
      <w:r>
        <w:rPr>
          <w:rFonts w:ascii="Times New Roman" w:hAnsi="Times New Roman"/>
          <w:b/>
          <w:i w:val="0"/>
          <w:sz w:val="24"/>
        </w:rPr>
        <w:t>Resumo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Objetivo: analisar a tendência temporal e o perfil epidemiológico dos acidentes por animais peçonhentos no Brasil entre 2007 e 2023. Métodos: estudo ecológico de série temporal com dados do Sistema de Informação de Agravos de Notificação (Sinan), incluindo 3.354.030 notificações. Calcularam-se frequências absolutas e relativas, taxa de letalidade e regressão linear simples para estimativa da tendência. Resultados: as notificações cresceram 236,9%, de 103.757 (2007) para 349.548 (2023), com incremento médio de 14.408 casos/ano (R²=0,92; p&lt;0,001). O escorpionismo predominou (53,7%; 1.801.390 casos) e apresentou o maior crescimento (+10.698 casos/ano). O ofidismo concentrou a maior letalidade (0,41%) e 43,2% dos 4.915 óbitos. A pandemia de COVID-19 reduziu as notificações em 13,1% em 2020, com retomada do crescimento a partir de 2022. Conclusão: os acidentes por animais peçonhentos apresentam tendência ascendente sustentada, liderada pelo escorpionismo, com desigualdades regionais na letalidade, demandando vigilância e acesso ampliado ao soro antiveneno.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Palavras-chave: Animais Peçonhentos; Mordeduras e Picadas; Epidemiologia; Sistemas de Informação em Saúde; Brasil.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/>
          <w:b/>
          <w:i w:val="0"/>
          <w:sz w:val="24"/>
        </w:rPr>
        <w:t>Abstract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Objective: to analyze the temporal trend and epidemiological profile of accidents involving venomous animals in Brazil between 2007 and 2023. Methods: ecological time-series study using data from the Brazilian Notifiable Diseases Information System (Sinan), including 3,354,030 notifications. Absolute and relative frequencies, case-fatality rate and simple linear regression were calculated to estimate the trend. Results: notifications increased by 236.9%, from 103,757 (2007) to 349,548 (2023), with a mean increase of 14,408 cases/year (R²=0.92; p&lt;0.001). Scorpionism predominated (53.7%; 1,801,390 cases) and showed the steepest growth (+10,698 cases/year). Snakebites accounted for the highest case-fatality rate (0.41%) and 43.2% of the 4,915 deaths. The COVID-19 pandemic reduced notifications by 13.1% in 2020, with growth resuming from 2022 onward. Conclusion: accidents involving venomous animals show a sustained upward trend, led by scorpionism, with regional inequalities in lethality, requiring surveillance and expanded access to antivenom.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Keywords: Venomous Animals; Bites and Stings; Epidemiology; Health Information Systems; Brazil.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/>
          <w:b/>
          <w:i w:val="0"/>
          <w:sz w:val="24"/>
        </w:rPr>
        <w:t>Resumen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Objetivo: analizar la tendencia temporal y el perfil epidemiológico de los accidentes por animales venenosos en Brasil entre 2007 y 2023. Métodos: estudio ecológico de serie temporal con datos del Sistema de Información de Agravios de Notificación (Sinan), incluyendo 3.354.030 notificaciones. Se calcularon frecuencias absolutas y relativas, tasa de letalidad y regresión lineal simple para estimar la tendencia. Resultados: las notificaciones crecieron 236,9%, de 103.757 (2007) a 349.548 (2023), con incremento medio de 14.408 casos/año (R²=0,92; p&lt;0,001). El escorpionismo predominó (53,7%; 1.801.390 casos) y presentó el mayor crecimiento (+10.698 casos/año). El ofidismo concentró la mayor letalidad (0,41%) y el 43,2% de las 4.915 muertes. La pandemia de COVID-19 redujo las notificaciones en 13,1% en 2020, con recuperación del crecimiento a partir de 2022. Conclusión: los accidentes por animales venenosos presentan tendencia ascendente sostenida, liderada por el escorpionismo, con desigualdades regionales en la letalidad, que demandan vigilancia y mayor acceso al suero antiveneno.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Palabras clave: Animales Venenosos; Mordeduras y Picaduras; Epidemiología; Sistemas de Información en Salud; Brasil.</w:t>
      </w:r>
    </w:p>
    <w:p>
      <w:r>
        <w:br w:type="page"/>
      </w:r>
    </w:p>
    <w:p>
      <w:pPr>
        <w:spacing w:line="480" w:lineRule="auto"/>
      </w:pPr>
      <w:r>
        <w:rPr>
          <w:rFonts w:ascii="Times New Roman" w:hAnsi="Times New Roman"/>
          <w:b/>
          <w:i w:val="0"/>
          <w:sz w:val="24"/>
        </w:rPr>
        <w:t>Introdução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Os acidentes por animais peçonhentos constituem um dos principais problemas de saúde pública nos países tropicais e subtropicais, afetando desproporcionalmente populações rurais, indígenas e de baixa renda.</w:t>
      </w:r>
      <w:r>
        <w:rPr>
          <w:rFonts w:ascii="Times New Roman" w:hAnsi="Times New Roman"/>
          <w:b w:val="0"/>
          <w:i w:val="0"/>
          <w:sz w:val="24"/>
          <w:vertAlign w:val="superscript"/>
        </w:rPr>
        <w:t>1</w:t>
      </w:r>
      <w:r>
        <w:rPr>
          <w:rFonts w:ascii="Times New Roman" w:hAnsi="Times New Roman"/>
          <w:b w:val="0"/>
          <w:i w:val="0"/>
          <w:sz w:val="24"/>
        </w:rPr>
        <w:t xml:space="preserve"> Em 2017, a Organização Mundial da Saúde (OMS) incluiu o envenenamento por mordedura de serpente na lista das doenças tropicais negligenciadas, reconhecendo sua relevância global e a necessidade de ações coordenadas para redução da morbimortalidade.</w:t>
      </w:r>
      <w:r>
        <w:rPr>
          <w:rFonts w:ascii="Times New Roman" w:hAnsi="Times New Roman"/>
          <w:b w:val="0"/>
          <w:i w:val="0"/>
          <w:sz w:val="24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4"/>
        </w:rPr>
        <w:t xml:space="preserve"> Estima-se que ocorram entre 1,8 e 2,7 milhões de envenenamentos por serpentes por ano no mundo, com 81.000 a 138.000 óbitos, sendo as Américas uma das regiões de maior carga.</w:t>
      </w:r>
      <w:r>
        <w:rPr>
          <w:rFonts w:ascii="Times New Roman" w:hAnsi="Times New Roman"/>
          <w:b w:val="0"/>
          <w:i w:val="0"/>
          <w:sz w:val="24"/>
          <w:vertAlign w:val="superscript"/>
        </w:rPr>
        <w:t>3,4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No Brasil, os acidentes por animais peçonhentos são agravos de notificação compulsória desde 1988, com registro sistemático no Sistema de Informação de Agravos de Notificação (Sinan).</w:t>
      </w:r>
      <w:r>
        <w:rPr>
          <w:rFonts w:ascii="Times New Roman" w:hAnsi="Times New Roman"/>
          <w:b w:val="0"/>
          <w:i w:val="0"/>
          <w:sz w:val="24"/>
          <w:vertAlign w:val="superscript"/>
        </w:rPr>
        <w:t>5</w:t>
      </w:r>
      <w:r>
        <w:rPr>
          <w:rFonts w:ascii="Times New Roman" w:hAnsi="Times New Roman"/>
          <w:b w:val="0"/>
          <w:i w:val="0"/>
          <w:sz w:val="24"/>
        </w:rPr>
        <w:t xml:space="preserve"> O país abriga uma das maiores diversidades de espécies peçonhentas do mundo, incluindo escorpiões do gênero Tityus, serpentes dos gêneros Bothrops, Crotalus, Lachesis e Micrurus, aranhas dos gêneros Loxosceles e Phoneutria, além de lagartas e abelhas africanizadas.</w:t>
      </w:r>
      <w:r>
        <w:rPr>
          <w:rFonts w:ascii="Times New Roman" w:hAnsi="Times New Roman"/>
          <w:b w:val="0"/>
          <w:i w:val="0"/>
          <w:sz w:val="24"/>
          <w:vertAlign w:val="superscript"/>
        </w:rPr>
        <w:t>6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A literatura tem documentado tendência crescente das notificações, impulsionada sobretudo pelo escorpionismo, cuja expansão se associa à urbanização acelerada, ao saneamento inadequado, às mudanças climáticas e às características biológicas do Tityus serrulatus, espécie partenogenética altamente adaptada ao ambiente urbano.</w:t>
      </w:r>
      <w:r>
        <w:rPr>
          <w:rFonts w:ascii="Times New Roman" w:hAnsi="Times New Roman"/>
          <w:b w:val="0"/>
          <w:i w:val="0"/>
          <w:sz w:val="24"/>
          <w:vertAlign w:val="superscript"/>
        </w:rPr>
        <w:t>7-9</w:t>
      </w:r>
      <w:r>
        <w:rPr>
          <w:rFonts w:ascii="Times New Roman" w:hAnsi="Times New Roman"/>
          <w:b w:val="0"/>
          <w:i w:val="0"/>
          <w:sz w:val="24"/>
        </w:rPr>
        <w:t xml:space="preserve"> Estudos recentes indicam aumento superior a 300% nos casos de escorpionismo em pouco mais de uma década, configurando emergência de saúde pública em diversas regiões.</w:t>
      </w:r>
      <w:r>
        <w:rPr>
          <w:rFonts w:ascii="Times New Roman" w:hAnsi="Times New Roman"/>
          <w:b w:val="0"/>
          <w:i w:val="0"/>
          <w:sz w:val="24"/>
          <w:vertAlign w:val="superscript"/>
        </w:rPr>
        <w:t>8,10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Embora a tendência temporal e o perfil dos acidentes até 2019 estejam razoavelmente caracterizados, permanecem lacunas sobre o comportamento das notificações no período pós-pandêmico (2021-2023), que registrou os maiores volumes da série histórica, e sobre a dinâmica da letalidade por tipo de acidente e macrorregião.</w:t>
      </w:r>
      <w:r>
        <w:rPr>
          <w:rFonts w:ascii="Times New Roman" w:hAnsi="Times New Roman"/>
          <w:b w:val="0"/>
          <w:i w:val="0"/>
          <w:sz w:val="24"/>
          <w:vertAlign w:val="superscript"/>
        </w:rPr>
        <w:t>11</w:t>
      </w:r>
      <w:r>
        <w:rPr>
          <w:rFonts w:ascii="Times New Roman" w:hAnsi="Times New Roman"/>
          <w:b w:val="0"/>
          <w:i w:val="0"/>
          <w:sz w:val="24"/>
        </w:rPr>
        <w:t xml:space="preserve"> Este estudo teve como objetivo analisar a tendência temporal e o perfil epidemiológico dos acidentes por animais peçonhentos no Brasil entre 2007 e 2023, com ênfase na distribuição por tipo de acidente, macrorregião e impacto da pandemia de COVID-19.</w:t>
      </w:r>
    </w:p>
    <w:p>
      <w:r>
        <w:br w:type="page"/>
      </w:r>
    </w:p>
    <w:p>
      <w:pPr>
        <w:spacing w:line="480" w:lineRule="auto"/>
      </w:pPr>
      <w:r>
        <w:rPr>
          <w:rFonts w:ascii="Times New Roman" w:hAnsi="Times New Roman"/>
          <w:b/>
          <w:i w:val="0"/>
          <w:sz w:val="24"/>
        </w:rPr>
        <w:t>Métodos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Trata-se de estudo ecológico de série temporal, de base populacional, redigido em conformidade com a declaração STROBE, utilizando dados secundários de domínio público do Sinan, disponibilizados pelo Departamento de Informática do Sistema Único de Saúde (DataSUS).</w:t>
      </w:r>
      <w:r>
        <w:rPr>
          <w:rFonts w:ascii="Times New Roman" w:hAnsi="Times New Roman"/>
          <w:b w:val="0"/>
          <w:i w:val="0"/>
          <w:sz w:val="24"/>
          <w:vertAlign w:val="superscript"/>
        </w:rPr>
        <w:t>12</w:t>
      </w:r>
      <w:r>
        <w:rPr>
          <w:rFonts w:ascii="Times New Roman" w:hAnsi="Times New Roman"/>
          <w:b w:val="0"/>
          <w:i w:val="0"/>
          <w:sz w:val="24"/>
        </w:rPr>
        <w:t xml:space="preserve"> Foram incluídas todas as notificações de acidentes por animais peçonhentos (CID-10 X29) registradas entre 1º de janeiro de 2007 e 31 de dezembro de 2023 (N = 3.354.030). O ano de 2007 foi adotado como início da série por corresponder à consolidação do instrumento de notificação vigente, assegurando comparabilidade dos campos.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As variáveis analisadas foram: ano e mês de notificação; unidade federativa (UF) de residência e de notificação; sexo; raça/cor; faixa etária; tipo de acidente (serpente, aranha, escorpião, lagarta, abelha, outros, ignorado); classificação clínica (leve, moderado, grave, ignorado); e evolução do caso (cura, óbito por acidente peçonhento, óbito por outras causas, ignorado). A idade em anos foi calculada a partir do campo codificado NU_IDADE_N do Sinan, com ajustes para registros em meses e dias; idades superiores a 120 anos foram tratadas como inválidas. As UFs foram agrupadas nas cinco macrorregiões brasileiras.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A análise estatística incluiu o cálculo de frequências absolutas e relativas, a taxa de letalidade (razão entre óbitos por acidente peçonhento e o total de casos notificados, expressa em porcentagem) e a regressão linear simples (método dos mínimos quadrados ordinários) das contagens anuais de notificações, estimando-se o coeficiente angular (slope), o coeficiente de determinação (R²) e o valor p. O impacto da pandemia de COVID-19 foi avaliado pela variação percentual das notificações entre 2019 (último ano pré-pandêmico) e 2020 e 2021, estratificada por macrorregião. As análises foram realizadas em Python 3.12 com as bibliotecas pandas, numpy e scipy.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O estudo utilizou exclusivamente dados secundários agregados, de acesso público e sem identificação dos indivíduos, dispensando apreciação por comitê de ética em pesquisa, nos termos da Resolução do Conselho Nacional de Saúde nº 510/2016.</w:t>
      </w:r>
    </w:p>
    <w:p>
      <w:r>
        <w:br w:type="page"/>
      </w:r>
    </w:p>
    <w:p>
      <w:pPr>
        <w:spacing w:line="480" w:lineRule="auto"/>
      </w:pPr>
      <w:r>
        <w:rPr>
          <w:rFonts w:ascii="Times New Roman" w:hAnsi="Times New Roman"/>
          <w:b/>
          <w:i w:val="0"/>
          <w:sz w:val="24"/>
        </w:rPr>
        <w:t>Resultados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Entre 2007 e 2023, foram registradas 3.354.030 notificações de acidentes por animais peçonhentos no Brasil, com crescimento de 236,9% no período: de 103.757 casos em 2007 para 349.548 em 2023, o maior valor da série (Tabela 1). A regressão linear evidenciou tendência ascendente estatisticamente significativa (slope = +14.408 casos/ano; R² = 0,92; p &lt; 0,001). A taxa de letalidade geral apresentou trajetória decrescente, de 0,22% em 2007 para 0,12% em 2023 (mínimo de 0,10% em 2022), totalizando 4.915 óbitos no período.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O escorpionismo foi o tipo de acidente mais frequente, com 1.801.390 casos (53,7%), seguido pelo ofidismo (511.473; 15,3%), araneísmo (505.832; 15,1%), himenopterismo por abelhas (252.267; 7,5%), outros (138.593; 4,1%), lepidopterismo (76.001; 2,3%) e casos com tipo ignorado (68.474; 2,0%) (Tabela 2). O escorpionismo também apresentou o maior ritmo de crescimento (+10.698 casos/ano; R² = 0,94), passando de 37.332 casos em 2007 para 206.146 em 2023, aumento de 452,2%. O ofidismo, embora correspondente a 15,3% dos casos, respondeu por 43,2% dos óbitos (n = 2.121) e apresentou a maior letalidade (0,41%) e a maior proporção de casos graves (7,1%). O himenopterismo por abelhas registrou a segunda maior letalidade (0,31%; n = 791 óbitos).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A distribuição regional evidenciou maior volume de notificações no Sudeste (n = 1.251.011; 37,3%), seguido pelo Nordeste (n = 1.111.424; 33,1%), Sul (n = 499.290; 14,9%), Norte (n = 292.956; 8,7%) e Centro-Oeste (n = 199.346; 5,9%). A maior letalidade foi observada no Norte (0,31%), seguida pelo Centro-Oeste (0,23%) e Nordeste (0,16%), enquanto Sul (0,07%) e Sudeste (0,11%) apresentaram os menores valores. A região Norte, com a maior participação de ofidismo, concentrou 18,7% dos óbitos do país com apenas 8,7% dos casos.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A distribuição mensal revelou padrão sazonal consistente, com picos nos meses quentes e chuvosos: janeiro (9,5%), março (9,4%) e dezembro (9,3%) concentraram os maiores volumes, enquanto junho (6,8%) e julho (6,9%) apresentaram os menores (Figura 1).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Quanto ao perfil sociodemográfico (Tabela 3), predominaram homens (55,97%), pessoas de raça/cor parda (44,75%) e adultos jovens de 20 a 29 anos (17,1%). Crianças de 0 a 9 anos representaram 12,0% dos casos, grupo com risco elevado de gravidade no escorpionismo. A maioria dos casos foi classificada como leve (80,7%), seguida de moderada (12,6%) e grave (1,8%).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Em 2020, primeiro ano da pandemia de COVID-19, as notificações caíram 13,1% em relação a 2019 (253.252 versus 291.590 casos). A redução foi heterogênea entre as macrorregiões: Sul (−24,3%), Nordeste (−18,8%), Norte (−10,8%), Centro-Oeste (−8,4%) e Sudeste (−5,4%). Em 2021, o volume permaneceu abaixo do pré-pandêmico (−10,6% versus 2019); em 2022, superou marginalmente o valor de 2019 (+1,6%) e, em 2023, atingiu novo recorde histórico (349.548 casos) (Figura 2).</w:t>
      </w:r>
    </w:p>
    <w:p>
      <w:r>
        <w:br w:type="page"/>
      </w:r>
    </w:p>
    <w:p>
      <w:pPr>
        <w:spacing w:line="480" w:lineRule="auto"/>
      </w:pPr>
      <w:r>
        <w:rPr>
          <w:rFonts w:ascii="Times New Roman" w:hAnsi="Times New Roman"/>
          <w:b/>
          <w:i w:val="0"/>
          <w:sz w:val="24"/>
        </w:rPr>
        <w:t>Discussão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Este estudo, baseado em 3,35 milhões de notificações do Sinan, documentou tendência ascendente sustentada dos acidentes por animais peçonhentos no Brasil entre 2007 e 2023, com incremento médio de 14.408 casos/ano. O achado central é o protagonismo do escorpionismo, responsável por mais da metade dos casos e pelo maior ritmo de crescimento, em consonância com a literatura nacional que descreve expansão acelerada do T. serrulatus em áreas urbanas e periurbanas.</w:t>
      </w:r>
      <w:r>
        <w:rPr>
          <w:rFonts w:ascii="Times New Roman" w:hAnsi="Times New Roman"/>
          <w:b w:val="0"/>
          <w:i w:val="0"/>
          <w:sz w:val="24"/>
          <w:vertAlign w:val="superscript"/>
        </w:rPr>
        <w:t>7,8,13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A expansão do escorpionismo reflete a confluência de fatores ecológicos, ambientais e sociais. O T. serrulatus combina reprodução partenogenética, alta fecundidade, capacidade de colonizar habitats antropizados e tolerância a variações climáticas, favorecendo seu adensamento em periferias metropolitanas com infraestrutura deficiente.</w:t>
      </w:r>
      <w:r>
        <w:rPr>
          <w:rFonts w:ascii="Times New Roman" w:hAnsi="Times New Roman"/>
          <w:b w:val="0"/>
          <w:i w:val="0"/>
          <w:sz w:val="24"/>
          <w:vertAlign w:val="superscript"/>
        </w:rPr>
        <w:t>9,14</w:t>
      </w:r>
      <w:r>
        <w:rPr>
          <w:rFonts w:ascii="Times New Roman" w:hAnsi="Times New Roman"/>
          <w:b w:val="0"/>
          <w:i w:val="0"/>
          <w:sz w:val="24"/>
        </w:rPr>
        <w:t xml:space="preserve"> A urbanização acelerada, o acúmulo de resíduos e a presença de baratas — principal fonte alimentar — criam condições propícias à proliferação, enquanto as mudanças climáticas ampliam a janela de atividade reprodutiva das espécies.</w:t>
      </w:r>
      <w:r>
        <w:rPr>
          <w:rFonts w:ascii="Times New Roman" w:hAnsi="Times New Roman"/>
          <w:b w:val="0"/>
          <w:i w:val="0"/>
          <w:sz w:val="24"/>
          <w:vertAlign w:val="superscript"/>
        </w:rPr>
        <w:t>15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A persistência do ofidismo como principal causa de óbito, com letalidade de 0,41% e 2.121 mortes (43,2% do total), reafirma a importância do acesso oportuno ao soro antiofídico, sobretudo nas regiões Norte e Centro-Oeste, onde a letalidade mais elevada associa-se a barreiras geográficas, longas distâncias até serviços de saúde e menor disponibilidade de antiveneno.</w:t>
      </w:r>
      <w:r>
        <w:rPr>
          <w:rFonts w:ascii="Times New Roman" w:hAnsi="Times New Roman"/>
          <w:b w:val="0"/>
          <w:i w:val="0"/>
          <w:sz w:val="24"/>
          <w:vertAlign w:val="superscript"/>
        </w:rPr>
        <w:t>16,17</w:t>
      </w:r>
      <w:r>
        <w:rPr>
          <w:rFonts w:ascii="Times New Roman" w:hAnsi="Times New Roman"/>
          <w:b w:val="0"/>
          <w:i w:val="0"/>
          <w:sz w:val="24"/>
        </w:rPr>
        <w:t xml:space="preserve"> O gradiente regional de letalidade — Norte (0,31%) versus Sul (0,07%) — espelha desigualdades estruturais no acesso à assistência e na oportunidade do tratamento, indicando prioridade para a descentralização da distribuição de soros e a qualificação da atenção em áreas remotas.</w:t>
      </w:r>
      <w:r>
        <w:rPr>
          <w:rFonts w:ascii="Times New Roman" w:hAnsi="Times New Roman"/>
          <w:b w:val="0"/>
          <w:i w:val="0"/>
          <w:sz w:val="24"/>
          <w:vertAlign w:val="superscript"/>
        </w:rPr>
        <w:t>18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A redução de 13,1% nas notificações em 2020, com quedas mais acentuadas no Sul (−24,3%) e Nordeste (−18,8%), deve ser interpretada com cautela: reflete, provavelmente, subnotificação decorrente da sobrecarga dos serviços de saúde, do receio de exposição ao vírus e da reorientação da vigilância para a pandemia, e não uma redução real da incidência.</w:t>
      </w:r>
      <w:r>
        <w:rPr>
          <w:rFonts w:ascii="Times New Roman" w:hAnsi="Times New Roman"/>
          <w:b w:val="0"/>
          <w:i w:val="0"/>
          <w:sz w:val="24"/>
          <w:vertAlign w:val="superscript"/>
        </w:rPr>
        <w:t>11</w:t>
      </w:r>
      <w:r>
        <w:rPr>
          <w:rFonts w:ascii="Times New Roman" w:hAnsi="Times New Roman"/>
          <w:b w:val="0"/>
          <w:i w:val="0"/>
          <w:sz w:val="24"/>
        </w:rPr>
        <w:t xml:space="preserve"> A retomada do crescimento já em 2022 e o recorde de 2023 indicam que os determinantes estruturais do aumento não foram revertidos pela pandemia.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A tendência decrescente da letalidade geral, de 0,22% (2007) para 0,12% (2023), sugere avanços no manejo clínico e na disponibilidade de antivenenos, embora persista desigualdade regional marcante. A predominância masculina, concentrada no ofidismo (76,9% dos casos), reflete maior exposição ocupacional em atividades agropecuárias, enquanto a participação de crianças de 0 a 9 anos (12,0%) sinaliza vulnerabilidade específica no escorpionismo domiciliar.</w:t>
      </w:r>
      <w:r>
        <w:rPr>
          <w:rFonts w:ascii="Times New Roman" w:hAnsi="Times New Roman"/>
          <w:b w:val="0"/>
          <w:i w:val="0"/>
          <w:sz w:val="24"/>
          <w:vertAlign w:val="superscript"/>
        </w:rPr>
        <w:t>19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Este estudo apresenta limitações inerentes ao uso de dados secundários: subnotificação, qualidade variável do preenchimento das fichas, proporção não desprezível de campos ignorados (raça/cor e classificação clínica) e impossibilidade de avaliar fatores individuais de acesso ao tratamento. A ausência de padronização por população (taxas por 100 mil habitantes) limita comparações regionais mais precisas e deve ser abordada em estudos futuros.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Conclui-se que os acidentes por animais peçonhentos representam problema de saúde pública crescente no Brasil, liderado pelo escorpionismo, com ofidismo como principal causa de morte e desigualdades regionais persistentes na letalidade. Recomenda-se o fortalecimento da vigilância epidemiológica, a ampliação do acesso ao soro antiveneno em áreas remotas, estratégias urbanas de controle do escorpião associadas ao saneamento e à gestão ambiental, e ações de educação em saúde dirigidas a trabalhadores rurais, crianças e populações de maior vulnerabilidade.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 w:val="0"/>
          <w:i/>
          <w:sz w:val="24"/>
        </w:rPr>
        <w:t>Agradecimentos: [se houver; caso contrário, omitir esta seção]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Contribuição dos autores: [Parágrafo descritivo da contribuição específica de cada autor, conforme critérios ICMJE — preencher]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Conflito de interesses: Os autores declaram não haver conflito de interesses.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Disponibilidade de dados: Os dados são de acesso público e estão disponíveis no DataSUS/Sinan em: https://datasus.saude.gov.br/.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Uso de inteligência artificial generativa: [Declarar se houve uso de ferramentas de IA na redação/análise, conforme política da RESS — preencher]</w:t>
      </w:r>
    </w:p>
    <w:p>
      <w:r>
        <w:br w:type="page"/>
      </w:r>
    </w:p>
    <w:p>
      <w:pPr>
        <w:spacing w:line="480" w:lineRule="auto"/>
      </w:pPr>
      <w:r>
        <w:rPr>
          <w:rFonts w:ascii="Times New Roman" w:hAnsi="Times New Roman"/>
          <w:b/>
          <w:i w:val="0"/>
          <w:sz w:val="24"/>
        </w:rPr>
        <w:t>Referências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1. World Health Organization. Snakebite envenoming [Internet]. Geneva: WHO; 2023 [citado 2026 ago 17]. Disponível em: https://www.who.int/news-room/fact-sheets/detail/snakebite-envenoming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2. Gutiérrez JM, Calvete JJ, Habib AG, Harrison RA, Williams DJ, Warrell DA. Snakebite envenomation. Nat Rev Dis Primers. 2017;3:17063. doi: 10.1038/nrdp.2017.63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3. Kasturiratne A, Wickremasinghe AR, de Silva N, Gunawardena NK, Pathmeswaran A, Premaratna R, et al. The global burden of snakebite: a literature analysis and modelling based on regional estimates of envenoming and deaths. PLoS Med. 2008;5(11):e218. doi: 10.1371/journal.pmed.0050218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4. Chippaux JP. Incidence and mortality due to snakebite in the Americas. PLoS Negl Trop Dis. 2017;11(6):e0005662. doi: 10.1371/journal.pntd.0005662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5. Brasil. Ministério da Saúde. Portaria nº 204, de 17 de fevereiro de 2016. Define a Lista Nacional de Notificação Compulsória de doenças, agravos e eventos de saúde pública. Diário Oficial da República Federativa do Brasil, Brasília (DF), 2016 fev 18; Seção 1:46.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6. Cardoso JLC, França FOS, Wen FH, Malaque CMS, Haddad V Jr. Animais peçonhentos no Brasil: biologia, clínica e terapêutica dos acidentes. 2. ed. São Paulo: Sarvier; 2009.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7. Paiva JP, Almeida-Neto MC, Matos GC, Brito R, Ferreira EC, Fernandes MB, et al. Tendência temporal e perfil epidemiológico dos acidentes por animais peçonhentos no Brasil, 2007-2019. Epidemiol Serv Saude. 2022;31(3):e2022025. doi: 10.1590/S2237-96222022000300003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8. Gomez MV, Kalapothakis E, Guatimosim C, Prado MAM. Scorpionism in Brazil: space-time approach and risk areas in 2012 to 2024. PLoS Negl Trop Dis. 2024;18(12):e0013602. doi: 10.1371/journal.pntd.0013602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9. Barbosa AD, Lira-da-Silva RM, Brazil TK. Selected to survive and kill: Tityus serrulatus, the Brazilian yellow scorpion. Toxicon. 2019;161:1-5. doi: 10.1016/j.toxicon.2019.02.019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10. Barraviera B, Ferreira RS Jr. Scorpions are taking over: the silent and escalating public health crisis in Brazil. Front Public Health. 2025;13:1573767. doi: 10.3389/fpubh.2025.1573767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11. Sousa GJB, Garces TS, Cestari VRF, Maranhão TA, Sobreira Neto M, Pereira MLD. Temporal and spatial trends of accidents with venomous animal in Brazil before and during the COVID-19 pandemic: a population-based ecological study. Rev Bras Epidemiol. 2025;28:e250012. doi: 10.1590/1980-549720250012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12. Brasil. Ministério da Saúde. Departamento de Informática do Sistema Único de Saúde. Sinan: Sistema de Informação de Agravos de Notificação [Internet]. Brasília: Ministério da Saúde; 2024 [citado 2026 ago 17]. Disponível em: https://portalsinan.saude.gov.br/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13. Reckziegel GC, Poli CL. Scorpion envenomation in Brazil: current scenario and perspectives for containing an increasing health problem. Toxicon. 2023;223:107025. doi: 10.1016/j.toxicon.2023.107025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14. Chippaux JP, Goyffon M. Epidemiology of scorpionism: a global appraisal. Acta Trop. 2008;107(2):71-9. doi: 10.1016/j.actatropica.2008.05.021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15. Mise YF, Lira-da-Silva RM, Carvalho FM. Urbanization and scorpionism: an epidemiological study in Bahia, Brazil. J Venom Anim Toxins Incl Trop Dis. 2016;22:22. doi: 10.1186/s40409-016-0076-7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16. Bernarde PS, Albuquerque S, Martins HR, Mota-da-Costa A. Snakebites caused by the genera Bothrops and Lachesis in the Brazilian Amazon: a study of factors associated with severe cases and death. PLoS One. 2022;17(8):e0272328. doi: 10.1371/journal.pone.0272328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17. Benício LM, Abreu IC, Nogueira LG, Macedo LE, Ferreira AL, Cardoso JLS, et al. Who are the most affected by Bothrops snakebite envenoming in Brazil? A clinical-epidemiological profile study among the regions of the country. PLoS Negl Trop Dis. 2023;17(10):e0011708. doi: 10.1371/journal.pntd.0011708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18. Gutiérrez JM, Theakston RDG, Warrell DA. Confronting the neglected problem of snake bite envenoming: the need for a global partnership. PLoS Med. 2006;3(6):e150. doi: 10.1371/journal.pmed.0030150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19. Isbister GK, Bawaskar HS. Scorpion envenomation. N Engl J Med. 2014;371(5):457-63. doi: 10.1056/NEJMra1401108</w:t>
      </w:r>
    </w:p>
    <w:p>
      <w:r>
        <w:br w:type="page"/>
      </w:r>
    </w:p>
    <w:p>
      <w:pPr>
        <w:spacing w:line="480" w:lineRule="auto"/>
      </w:pPr>
      <w:r>
        <w:rPr>
          <w:rFonts w:ascii="Times New Roman" w:hAnsi="Times New Roman"/>
          <w:b/>
          <w:i w:val="0"/>
          <w:sz w:val="24"/>
        </w:rPr>
        <w:t>Tabelas e figuras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/>
          <w:i w:val="0"/>
          <w:sz w:val="24"/>
        </w:rPr>
        <w:t>Tabela 1. Número absoluto e relativo de notificações, óbitos e taxa de letalidade por acidentes com animais peçonhentos, segundo ano de notificação. Brasil, 2007-2023 (N = 3.354.030)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</w:tcPr>
          <w:p>
            <w:r>
              <w:rPr>
                <w:b/>
              </w:rPr>
              <w:t>Ano</w:t>
            </w:r>
          </w:p>
        </w:tc>
        <w:tc>
          <w:tcPr>
            <w:tcW w:type="dxa" w:w="1701"/>
          </w:tcPr>
          <w:p>
            <w:r>
              <w:rPr>
                <w:b/>
              </w:rPr>
              <w:t>n</w:t>
            </w:r>
          </w:p>
        </w:tc>
        <w:tc>
          <w:tcPr>
            <w:tcW w:type="dxa" w:w="1701"/>
          </w:tcPr>
          <w:p>
            <w:r>
              <w:rPr>
                <w:b/>
              </w:rPr>
              <w:t>%</w:t>
            </w:r>
          </w:p>
        </w:tc>
        <w:tc>
          <w:tcPr>
            <w:tcW w:type="dxa" w:w="1701"/>
          </w:tcPr>
          <w:p>
            <w:r>
              <w:rPr>
                <w:b/>
              </w:rPr>
              <w:t>Óbitos</w:t>
            </w:r>
          </w:p>
        </w:tc>
        <w:tc>
          <w:tcPr>
            <w:tcW w:type="dxa" w:w="1701"/>
          </w:tcPr>
          <w:p>
            <w:r>
              <w:rPr>
                <w:b/>
              </w:rPr>
              <w:t>Letalidade (%)</w:t>
            </w:r>
          </w:p>
        </w:tc>
      </w:tr>
      <w:tr>
        <w:tc>
          <w:tcPr>
            <w:tcW w:type="dxa" w:w="1701"/>
          </w:tcPr>
          <w:p>
            <w:r>
              <w:t>2007</w:t>
            </w:r>
          </w:p>
        </w:tc>
        <w:tc>
          <w:tcPr>
            <w:tcW w:type="dxa" w:w="1701"/>
          </w:tcPr>
          <w:p>
            <w:r>
              <w:t>103.757</w:t>
            </w:r>
          </w:p>
        </w:tc>
        <w:tc>
          <w:tcPr>
            <w:tcW w:type="dxa" w:w="1701"/>
          </w:tcPr>
          <w:p>
            <w:r>
              <w:t>3,1</w:t>
            </w:r>
          </w:p>
        </w:tc>
        <w:tc>
          <w:tcPr>
            <w:tcW w:type="dxa" w:w="1701"/>
          </w:tcPr>
          <w:p>
            <w:r>
              <w:t>231</w:t>
            </w:r>
          </w:p>
        </w:tc>
        <w:tc>
          <w:tcPr>
            <w:tcW w:type="dxa" w:w="1701"/>
          </w:tcPr>
          <w:p>
            <w:r>
              <w:t>0,22</w:t>
            </w:r>
          </w:p>
        </w:tc>
      </w:tr>
      <w:tr>
        <w:tc>
          <w:tcPr>
            <w:tcW w:type="dxa" w:w="1701"/>
          </w:tcPr>
          <w:p>
            <w:r>
              <w:t>2008</w:t>
            </w:r>
          </w:p>
        </w:tc>
        <w:tc>
          <w:tcPr>
            <w:tcW w:type="dxa" w:w="1701"/>
          </w:tcPr>
          <w:p>
            <w:r>
              <w:t>106.559</w:t>
            </w:r>
          </w:p>
        </w:tc>
        <w:tc>
          <w:tcPr>
            <w:tcW w:type="dxa" w:w="1701"/>
          </w:tcPr>
          <w:p>
            <w:r>
              <w:t>3,2</w:t>
            </w:r>
          </w:p>
        </w:tc>
        <w:tc>
          <w:tcPr>
            <w:tcW w:type="dxa" w:w="1701"/>
          </w:tcPr>
          <w:p>
            <w:r>
              <w:t>241</w:t>
            </w:r>
          </w:p>
        </w:tc>
        <w:tc>
          <w:tcPr>
            <w:tcW w:type="dxa" w:w="1701"/>
          </w:tcPr>
          <w:p>
            <w:r>
              <w:t>0,23</w:t>
            </w:r>
          </w:p>
        </w:tc>
      </w:tr>
      <w:tr>
        <w:tc>
          <w:tcPr>
            <w:tcW w:type="dxa" w:w="1701"/>
          </w:tcPr>
          <w:p>
            <w:r>
              <w:t>2009</w:t>
            </w:r>
          </w:p>
        </w:tc>
        <w:tc>
          <w:tcPr>
            <w:tcW w:type="dxa" w:w="1701"/>
          </w:tcPr>
          <w:p>
            <w:r>
              <w:t>124.520</w:t>
            </w:r>
          </w:p>
        </w:tc>
        <w:tc>
          <w:tcPr>
            <w:tcW w:type="dxa" w:w="1701"/>
          </w:tcPr>
          <w:p>
            <w:r>
              <w:t>3,7</w:t>
            </w:r>
          </w:p>
        </w:tc>
        <w:tc>
          <w:tcPr>
            <w:tcW w:type="dxa" w:w="1701"/>
          </w:tcPr>
          <w:p>
            <w:r>
              <w:t>263</w:t>
            </w:r>
          </w:p>
        </w:tc>
        <w:tc>
          <w:tcPr>
            <w:tcW w:type="dxa" w:w="1701"/>
          </w:tcPr>
          <w:p>
            <w:r>
              <w:t>0,21</w:t>
            </w:r>
          </w:p>
        </w:tc>
      </w:tr>
      <w:tr>
        <w:tc>
          <w:tcPr>
            <w:tcW w:type="dxa" w:w="1701"/>
          </w:tcPr>
          <w:p>
            <w:r>
              <w:t>2010</w:t>
            </w:r>
          </w:p>
        </w:tc>
        <w:tc>
          <w:tcPr>
            <w:tcW w:type="dxa" w:w="1701"/>
          </w:tcPr>
          <w:p>
            <w:r>
              <w:t>124.673</w:t>
            </w:r>
          </w:p>
        </w:tc>
        <w:tc>
          <w:tcPr>
            <w:tcW w:type="dxa" w:w="1701"/>
          </w:tcPr>
          <w:p>
            <w:r>
              <w:t>3,7</w:t>
            </w:r>
          </w:p>
        </w:tc>
        <w:tc>
          <w:tcPr>
            <w:tcW w:type="dxa" w:w="1701"/>
          </w:tcPr>
          <w:p>
            <w:r>
              <w:t>243</w:t>
            </w:r>
          </w:p>
        </w:tc>
        <w:tc>
          <w:tcPr>
            <w:tcW w:type="dxa" w:w="1701"/>
          </w:tcPr>
          <w:p>
            <w:r>
              <w:t>0,19</w:t>
            </w:r>
          </w:p>
        </w:tc>
      </w:tr>
      <w:tr>
        <w:tc>
          <w:tcPr>
            <w:tcW w:type="dxa" w:w="1701"/>
          </w:tcPr>
          <w:p>
            <w:r>
              <w:t>2011</w:t>
            </w:r>
          </w:p>
        </w:tc>
        <w:tc>
          <w:tcPr>
            <w:tcW w:type="dxa" w:w="1701"/>
          </w:tcPr>
          <w:p>
            <w:r>
              <w:t>137.834</w:t>
            </w:r>
          </w:p>
        </w:tc>
        <w:tc>
          <w:tcPr>
            <w:tcW w:type="dxa" w:w="1701"/>
          </w:tcPr>
          <w:p>
            <w:r>
              <w:t>4,1</w:t>
            </w:r>
          </w:p>
        </w:tc>
        <w:tc>
          <w:tcPr>
            <w:tcW w:type="dxa" w:w="1701"/>
          </w:tcPr>
          <w:p>
            <w:r>
              <w:t>281</w:t>
            </w:r>
          </w:p>
        </w:tc>
        <w:tc>
          <w:tcPr>
            <w:tcW w:type="dxa" w:w="1701"/>
          </w:tcPr>
          <w:p>
            <w:r>
              <w:t>0,20</w:t>
            </w:r>
          </w:p>
        </w:tc>
      </w:tr>
      <w:tr>
        <w:tc>
          <w:tcPr>
            <w:tcW w:type="dxa" w:w="1701"/>
          </w:tcPr>
          <w:p>
            <w:r>
              <w:t>2012</w:t>
            </w:r>
          </w:p>
        </w:tc>
        <w:tc>
          <w:tcPr>
            <w:tcW w:type="dxa" w:w="1701"/>
          </w:tcPr>
          <w:p>
            <w:r>
              <w:t>141.242</w:t>
            </w:r>
          </w:p>
        </w:tc>
        <w:tc>
          <w:tcPr>
            <w:tcW w:type="dxa" w:w="1701"/>
          </w:tcPr>
          <w:p>
            <w:r>
              <w:t>4,2</w:t>
            </w:r>
          </w:p>
        </w:tc>
        <w:tc>
          <w:tcPr>
            <w:tcW w:type="dxa" w:w="1701"/>
          </w:tcPr>
          <w:p>
            <w:r>
              <w:t>247</w:t>
            </w:r>
          </w:p>
        </w:tc>
        <w:tc>
          <w:tcPr>
            <w:tcW w:type="dxa" w:w="1701"/>
          </w:tcPr>
          <w:p>
            <w:r>
              <w:t>0,17</w:t>
            </w:r>
          </w:p>
        </w:tc>
      </w:tr>
      <w:tr>
        <w:tc>
          <w:tcPr>
            <w:tcW w:type="dxa" w:w="1701"/>
          </w:tcPr>
          <w:p>
            <w:r>
              <w:t>2013</w:t>
            </w:r>
          </w:p>
        </w:tc>
        <w:tc>
          <w:tcPr>
            <w:tcW w:type="dxa" w:w="1701"/>
          </w:tcPr>
          <w:p>
            <w:r>
              <w:t>159.807</w:t>
            </w:r>
          </w:p>
        </w:tc>
        <w:tc>
          <w:tcPr>
            <w:tcW w:type="dxa" w:w="1701"/>
          </w:tcPr>
          <w:p>
            <w:r>
              <w:t>4,8</w:t>
            </w:r>
          </w:p>
        </w:tc>
        <w:tc>
          <w:tcPr>
            <w:tcW w:type="dxa" w:w="1701"/>
          </w:tcPr>
          <w:p>
            <w:r>
              <w:t>241</w:t>
            </w:r>
          </w:p>
        </w:tc>
        <w:tc>
          <w:tcPr>
            <w:tcW w:type="dxa" w:w="1701"/>
          </w:tcPr>
          <w:p>
            <w:r>
              <w:t>0,15</w:t>
            </w:r>
          </w:p>
        </w:tc>
      </w:tr>
      <w:tr>
        <w:tc>
          <w:tcPr>
            <w:tcW w:type="dxa" w:w="1701"/>
          </w:tcPr>
          <w:p>
            <w:r>
              <w:t>2014</w:t>
            </w:r>
          </w:p>
        </w:tc>
        <w:tc>
          <w:tcPr>
            <w:tcW w:type="dxa" w:w="1701"/>
          </w:tcPr>
          <w:p>
            <w:r>
              <w:t>168.130</w:t>
            </w:r>
          </w:p>
        </w:tc>
        <w:tc>
          <w:tcPr>
            <w:tcW w:type="dxa" w:w="1701"/>
          </w:tcPr>
          <w:p>
            <w:r>
              <w:t>5,0</w:t>
            </w:r>
          </w:p>
        </w:tc>
        <w:tc>
          <w:tcPr>
            <w:tcW w:type="dxa" w:w="1701"/>
          </w:tcPr>
          <w:p>
            <w:r>
              <w:t>221</w:t>
            </w:r>
          </w:p>
        </w:tc>
        <w:tc>
          <w:tcPr>
            <w:tcW w:type="dxa" w:w="1701"/>
          </w:tcPr>
          <w:p>
            <w:r>
              <w:t>0,13</w:t>
            </w:r>
          </w:p>
        </w:tc>
      </w:tr>
      <w:tr>
        <w:tc>
          <w:tcPr>
            <w:tcW w:type="dxa" w:w="1701"/>
          </w:tcPr>
          <w:p>
            <w:r>
              <w:t>2015</w:t>
            </w:r>
          </w:p>
        </w:tc>
        <w:tc>
          <w:tcPr>
            <w:tcW w:type="dxa" w:w="1701"/>
          </w:tcPr>
          <w:p>
            <w:r>
              <w:t>171.726</w:t>
            </w:r>
          </w:p>
        </w:tc>
        <w:tc>
          <w:tcPr>
            <w:tcW w:type="dxa" w:w="1701"/>
          </w:tcPr>
          <w:p>
            <w:r>
              <w:t>5,1</w:t>
            </w:r>
          </w:p>
        </w:tc>
        <w:tc>
          <w:tcPr>
            <w:tcW w:type="dxa" w:w="1701"/>
          </w:tcPr>
          <w:p>
            <w:r>
              <w:t>272</w:t>
            </w:r>
          </w:p>
        </w:tc>
        <w:tc>
          <w:tcPr>
            <w:tcW w:type="dxa" w:w="1701"/>
          </w:tcPr>
          <w:p>
            <w:r>
              <w:t>0,16</w:t>
            </w:r>
          </w:p>
        </w:tc>
      </w:tr>
      <w:tr>
        <w:tc>
          <w:tcPr>
            <w:tcW w:type="dxa" w:w="1701"/>
          </w:tcPr>
          <w:p>
            <w:r>
              <w:t>2016</w:t>
            </w:r>
          </w:p>
        </w:tc>
        <w:tc>
          <w:tcPr>
            <w:tcW w:type="dxa" w:w="1701"/>
          </w:tcPr>
          <w:p>
            <w:r>
              <w:t>174.220</w:t>
            </w:r>
          </w:p>
        </w:tc>
        <w:tc>
          <w:tcPr>
            <w:tcW w:type="dxa" w:w="1701"/>
          </w:tcPr>
          <w:p>
            <w:r>
              <w:t>5,2</w:t>
            </w:r>
          </w:p>
        </w:tc>
        <w:tc>
          <w:tcPr>
            <w:tcW w:type="dxa" w:w="1701"/>
          </w:tcPr>
          <w:p>
            <w:r>
              <w:t>305</w:t>
            </w:r>
          </w:p>
        </w:tc>
        <w:tc>
          <w:tcPr>
            <w:tcW w:type="dxa" w:w="1701"/>
          </w:tcPr>
          <w:p>
            <w:r>
              <w:t>0,18</w:t>
            </w:r>
          </w:p>
        </w:tc>
      </w:tr>
      <w:tr>
        <w:tc>
          <w:tcPr>
            <w:tcW w:type="dxa" w:w="1701"/>
          </w:tcPr>
          <w:p>
            <w:r>
              <w:t>2017</w:t>
            </w:r>
          </w:p>
        </w:tc>
        <w:tc>
          <w:tcPr>
            <w:tcW w:type="dxa" w:w="1701"/>
          </w:tcPr>
          <w:p>
            <w:r>
              <w:t>223.261</w:t>
            </w:r>
          </w:p>
        </w:tc>
        <w:tc>
          <w:tcPr>
            <w:tcW w:type="dxa" w:w="1701"/>
          </w:tcPr>
          <w:p>
            <w:r>
              <w:t>6,7</w:t>
            </w:r>
          </w:p>
        </w:tc>
        <w:tc>
          <w:tcPr>
            <w:tcW w:type="dxa" w:w="1701"/>
          </w:tcPr>
          <w:p>
            <w:r>
              <w:t>283</w:t>
            </w:r>
          </w:p>
        </w:tc>
        <w:tc>
          <w:tcPr>
            <w:tcW w:type="dxa" w:w="1701"/>
          </w:tcPr>
          <w:p>
            <w:r>
              <w:t>0,13</w:t>
            </w:r>
          </w:p>
        </w:tc>
      </w:tr>
      <w:tr>
        <w:tc>
          <w:tcPr>
            <w:tcW w:type="dxa" w:w="1701"/>
          </w:tcPr>
          <w:p>
            <w:r>
              <w:t>2018</w:t>
            </w:r>
          </w:p>
        </w:tc>
        <w:tc>
          <w:tcPr>
            <w:tcW w:type="dxa" w:w="1701"/>
          </w:tcPr>
          <w:p>
            <w:r>
              <w:t>267.210</w:t>
            </w:r>
          </w:p>
        </w:tc>
        <w:tc>
          <w:tcPr>
            <w:tcW w:type="dxa" w:w="1701"/>
          </w:tcPr>
          <w:p>
            <w:r>
              <w:t>8,0</w:t>
            </w:r>
          </w:p>
        </w:tc>
        <w:tc>
          <w:tcPr>
            <w:tcW w:type="dxa" w:w="1701"/>
          </w:tcPr>
          <w:p>
            <w:r>
              <w:t>270</w:t>
            </w:r>
          </w:p>
        </w:tc>
        <w:tc>
          <w:tcPr>
            <w:tcW w:type="dxa" w:w="1701"/>
          </w:tcPr>
          <w:p>
            <w:r>
              <w:t>0,10</w:t>
            </w:r>
          </w:p>
        </w:tc>
      </w:tr>
      <w:tr>
        <w:tc>
          <w:tcPr>
            <w:tcW w:type="dxa" w:w="1701"/>
          </w:tcPr>
          <w:p>
            <w:r>
              <w:t>2019</w:t>
            </w:r>
          </w:p>
        </w:tc>
        <w:tc>
          <w:tcPr>
            <w:tcW w:type="dxa" w:w="1701"/>
          </w:tcPr>
          <w:p>
            <w:r>
              <w:t>291.590</w:t>
            </w:r>
          </w:p>
        </w:tc>
        <w:tc>
          <w:tcPr>
            <w:tcW w:type="dxa" w:w="1701"/>
          </w:tcPr>
          <w:p>
            <w:r>
              <w:t>8,7</w:t>
            </w:r>
          </w:p>
        </w:tc>
        <w:tc>
          <w:tcPr>
            <w:tcW w:type="dxa" w:w="1701"/>
          </w:tcPr>
          <w:p>
            <w:r>
              <w:t>360</w:t>
            </w:r>
          </w:p>
        </w:tc>
        <w:tc>
          <w:tcPr>
            <w:tcW w:type="dxa" w:w="1701"/>
          </w:tcPr>
          <w:p>
            <w:r>
              <w:t>0,12</w:t>
            </w:r>
          </w:p>
        </w:tc>
      </w:tr>
      <w:tr>
        <w:tc>
          <w:tcPr>
            <w:tcW w:type="dxa" w:w="1701"/>
          </w:tcPr>
          <w:p>
            <w:r>
              <w:t>2020</w:t>
            </w:r>
          </w:p>
        </w:tc>
        <w:tc>
          <w:tcPr>
            <w:tcW w:type="dxa" w:w="1701"/>
          </w:tcPr>
          <w:p>
            <w:r>
              <w:t>253.252</w:t>
            </w:r>
          </w:p>
        </w:tc>
        <w:tc>
          <w:tcPr>
            <w:tcW w:type="dxa" w:w="1701"/>
          </w:tcPr>
          <w:p>
            <w:r>
              <w:t>7,6</w:t>
            </w:r>
          </w:p>
        </w:tc>
        <w:tc>
          <w:tcPr>
            <w:tcW w:type="dxa" w:w="1701"/>
          </w:tcPr>
          <w:p>
            <w:r>
              <w:t>353</w:t>
            </w:r>
          </w:p>
        </w:tc>
        <w:tc>
          <w:tcPr>
            <w:tcW w:type="dxa" w:w="1701"/>
          </w:tcPr>
          <w:p>
            <w:r>
              <w:t>0,14</w:t>
            </w:r>
          </w:p>
        </w:tc>
      </w:tr>
      <w:tr>
        <w:tc>
          <w:tcPr>
            <w:tcW w:type="dxa" w:w="1701"/>
          </w:tcPr>
          <w:p>
            <w:r>
              <w:t>2021</w:t>
            </w:r>
          </w:p>
        </w:tc>
        <w:tc>
          <w:tcPr>
            <w:tcW w:type="dxa" w:w="1701"/>
          </w:tcPr>
          <w:p>
            <w:r>
              <w:t>260.553</w:t>
            </w:r>
          </w:p>
        </w:tc>
        <w:tc>
          <w:tcPr>
            <w:tcW w:type="dxa" w:w="1701"/>
          </w:tcPr>
          <w:p>
            <w:r>
              <w:t>7,8</w:t>
            </w:r>
          </w:p>
        </w:tc>
        <w:tc>
          <w:tcPr>
            <w:tcW w:type="dxa" w:w="1701"/>
          </w:tcPr>
          <w:p>
            <w:r>
              <w:t>378</w:t>
            </w:r>
          </w:p>
        </w:tc>
        <w:tc>
          <w:tcPr>
            <w:tcW w:type="dxa" w:w="1701"/>
          </w:tcPr>
          <w:p>
            <w:r>
              <w:t>0,15</w:t>
            </w:r>
          </w:p>
        </w:tc>
      </w:tr>
      <w:tr>
        <w:tc>
          <w:tcPr>
            <w:tcW w:type="dxa" w:w="1701"/>
          </w:tcPr>
          <w:p>
            <w:r>
              <w:t>2022</w:t>
            </w:r>
          </w:p>
        </w:tc>
        <w:tc>
          <w:tcPr>
            <w:tcW w:type="dxa" w:w="1701"/>
          </w:tcPr>
          <w:p>
            <w:r>
              <w:t>296.148</w:t>
            </w:r>
          </w:p>
        </w:tc>
        <w:tc>
          <w:tcPr>
            <w:tcW w:type="dxa" w:w="1701"/>
          </w:tcPr>
          <w:p>
            <w:r>
              <w:t>8,8</w:t>
            </w:r>
          </w:p>
        </w:tc>
        <w:tc>
          <w:tcPr>
            <w:tcW w:type="dxa" w:w="1701"/>
          </w:tcPr>
          <w:p>
            <w:r>
              <w:t>295</w:t>
            </w:r>
          </w:p>
        </w:tc>
        <w:tc>
          <w:tcPr>
            <w:tcW w:type="dxa" w:w="1701"/>
          </w:tcPr>
          <w:p>
            <w:r>
              <w:t>0,10</w:t>
            </w:r>
          </w:p>
        </w:tc>
      </w:tr>
      <w:tr>
        <w:tc>
          <w:tcPr>
            <w:tcW w:type="dxa" w:w="1701"/>
          </w:tcPr>
          <w:p>
            <w:r>
              <w:t>2023</w:t>
            </w:r>
          </w:p>
        </w:tc>
        <w:tc>
          <w:tcPr>
            <w:tcW w:type="dxa" w:w="1701"/>
          </w:tcPr>
          <w:p>
            <w:r>
              <w:t>349.548</w:t>
            </w:r>
          </w:p>
        </w:tc>
        <w:tc>
          <w:tcPr>
            <w:tcW w:type="dxa" w:w="1701"/>
          </w:tcPr>
          <w:p>
            <w:r>
              <w:t>10,4</w:t>
            </w:r>
          </w:p>
        </w:tc>
        <w:tc>
          <w:tcPr>
            <w:tcW w:type="dxa" w:w="1701"/>
          </w:tcPr>
          <w:p>
            <w:r>
              <w:t>431</w:t>
            </w:r>
          </w:p>
        </w:tc>
        <w:tc>
          <w:tcPr>
            <w:tcW w:type="dxa" w:w="1701"/>
          </w:tcPr>
          <w:p>
            <w:r>
              <w:t>0,12</w:t>
            </w:r>
          </w:p>
        </w:tc>
      </w:tr>
    </w:tbl>
    <w:p>
      <w:pPr>
        <w:spacing w:line="480" w:lineRule="auto"/>
      </w:pPr>
      <w:r>
        <w:rPr>
          <w:rFonts w:ascii="Times New Roman" w:hAnsi="Times New Roman"/>
          <w:b w:val="0"/>
          <w:i/>
          <w:sz w:val="22"/>
        </w:rPr>
        <w:t>Fonte: Sinan/DataSUS, 2007-2023.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/>
          <w:i w:val="0"/>
          <w:sz w:val="24"/>
        </w:rPr>
        <w:t>Tabela 2. Distribuição de notificações, óbitos, taxa de letalidade, casos graves e tendência temporal por tipo de acidente com animais peçonhentos. Brasil, 2007-2023 (N = 3.354.030)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c>
          <w:tcPr>
            <w:tcW w:type="dxa" w:w="1474"/>
          </w:tcPr>
          <w:p>
            <w:r>
              <w:rPr>
                <w:rFonts w:ascii="Times New Roman" w:hAnsi="Times New Roman"/>
                <w:b/>
                <w:sz w:val="20"/>
              </w:rPr>
              <w:t>Tipo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737"/>
          </w:tcPr>
          <w:p>
            <w:r>
              <w:rPr>
                <w:rFonts w:ascii="Times New Roman" w:hAnsi="Times New Roman"/>
                <w:b/>
                <w:sz w:val="20"/>
              </w:rPr>
              <w:t>%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/>
                <w:b/>
                <w:sz w:val="20"/>
              </w:rPr>
              <w:t>Óbitos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b/>
                <w:sz w:val="20"/>
              </w:rPr>
              <w:t>Letal. (%)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Graves (%)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/>
                <w:sz w:val="20"/>
              </w:rPr>
              <w:t>Slope</w:t>
            </w:r>
          </w:p>
        </w:tc>
        <w:tc>
          <w:tcPr>
            <w:tcW w:type="dxa" w:w="737"/>
          </w:tcPr>
          <w:p>
            <w:r>
              <w:rPr>
                <w:rFonts w:ascii="Times New Roman" w:hAnsi="Times New Roman"/>
                <w:b/>
                <w:sz w:val="20"/>
              </w:rPr>
              <w:t>R²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/>
                <w:sz w:val="20"/>
              </w:rPr>
              <w:t>Escorpião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1.801.390</w:t>
            </w:r>
          </w:p>
        </w:tc>
        <w:tc>
          <w:tcPr>
            <w:tcW w:type="dxa" w:w="737"/>
          </w:tcPr>
          <w:p>
            <w:r>
              <w:rPr>
                <w:rFonts w:ascii="Times New Roman" w:hAnsi="Times New Roman"/>
                <w:sz w:val="20"/>
              </w:rPr>
              <w:t>53,7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/>
                <w:sz w:val="20"/>
              </w:rPr>
              <w:t>1.532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sz w:val="20"/>
              </w:rPr>
              <w:t>0,09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0,99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+10.698</w:t>
            </w:r>
          </w:p>
        </w:tc>
        <w:tc>
          <w:tcPr>
            <w:tcW w:type="dxa" w:w="737"/>
          </w:tcPr>
          <w:p>
            <w:r>
              <w:rPr>
                <w:rFonts w:ascii="Times New Roman" w:hAnsi="Times New Roman"/>
                <w:sz w:val="20"/>
              </w:rPr>
              <w:t>0,94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/>
                <w:sz w:val="20"/>
              </w:rPr>
              <w:t>Serpente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511.473</w:t>
            </w:r>
          </w:p>
        </w:tc>
        <w:tc>
          <w:tcPr>
            <w:tcW w:type="dxa" w:w="737"/>
          </w:tcPr>
          <w:p>
            <w:r>
              <w:rPr>
                <w:rFonts w:ascii="Times New Roman" w:hAnsi="Times New Roman"/>
                <w:sz w:val="20"/>
              </w:rPr>
              <w:t>15,3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/>
                <w:sz w:val="20"/>
              </w:rPr>
              <w:t>2.121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sz w:val="20"/>
              </w:rPr>
              <w:t>0,41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7,11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+344</w:t>
            </w:r>
          </w:p>
        </w:tc>
        <w:tc>
          <w:tcPr>
            <w:tcW w:type="dxa" w:w="737"/>
          </w:tcPr>
          <w:p>
            <w:r>
              <w:rPr>
                <w:rFonts w:ascii="Times New Roman" w:hAnsi="Times New Roman"/>
                <w:sz w:val="20"/>
              </w:rPr>
              <w:t>0,48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/>
                <w:sz w:val="20"/>
              </w:rPr>
              <w:t>Aranha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505.832</w:t>
            </w:r>
          </w:p>
        </w:tc>
        <w:tc>
          <w:tcPr>
            <w:tcW w:type="dxa" w:w="737"/>
          </w:tcPr>
          <w:p>
            <w:r>
              <w:rPr>
                <w:rFonts w:ascii="Times New Roman" w:hAnsi="Times New Roman"/>
                <w:sz w:val="20"/>
              </w:rPr>
              <w:t>15,1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/>
                <w:sz w:val="20"/>
              </w:rPr>
              <w:t>263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sz w:val="20"/>
              </w:rPr>
              <w:t>0,05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0,65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+990</w:t>
            </w:r>
          </w:p>
        </w:tc>
        <w:tc>
          <w:tcPr>
            <w:tcW w:type="dxa" w:w="737"/>
          </w:tcPr>
          <w:p>
            <w:r>
              <w:rPr>
                <w:rFonts w:ascii="Times New Roman" w:hAnsi="Times New Roman"/>
                <w:sz w:val="20"/>
              </w:rPr>
              <w:t>0,68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/>
                <w:sz w:val="20"/>
              </w:rPr>
              <w:t>Abelha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252.267</w:t>
            </w:r>
          </w:p>
        </w:tc>
        <w:tc>
          <w:tcPr>
            <w:tcW w:type="dxa" w:w="737"/>
          </w:tcPr>
          <w:p>
            <w:r>
              <w:rPr>
                <w:rFonts w:ascii="Times New Roman" w:hAnsi="Times New Roman"/>
                <w:sz w:val="20"/>
              </w:rPr>
              <w:t>7,5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/>
                <w:sz w:val="20"/>
              </w:rPr>
              <w:t>791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sz w:val="20"/>
              </w:rPr>
              <w:t>0,31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0,99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+1.430</w:t>
            </w:r>
          </w:p>
        </w:tc>
        <w:tc>
          <w:tcPr>
            <w:tcW w:type="dxa" w:w="737"/>
          </w:tcPr>
          <w:p>
            <w:r>
              <w:rPr>
                <w:rFonts w:ascii="Times New Roman" w:hAnsi="Times New Roman"/>
                <w:sz w:val="20"/>
              </w:rPr>
              <w:t>0,86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/>
                <w:sz w:val="20"/>
              </w:rPr>
              <w:t>Outros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138.593</w:t>
            </w:r>
          </w:p>
        </w:tc>
        <w:tc>
          <w:tcPr>
            <w:tcW w:type="dxa" w:w="737"/>
          </w:tcPr>
          <w:p>
            <w:r>
              <w:rPr>
                <w:rFonts w:ascii="Times New Roman" w:hAnsi="Times New Roman"/>
                <w:sz w:val="20"/>
              </w:rPr>
              <w:t>4,1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/>
                <w:sz w:val="20"/>
              </w:rPr>
              <w:t>102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sz w:val="20"/>
              </w:rPr>
              <w:t>0,07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0,47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+729</w:t>
            </w:r>
          </w:p>
        </w:tc>
        <w:tc>
          <w:tcPr>
            <w:tcW w:type="dxa" w:w="737"/>
          </w:tcPr>
          <w:p>
            <w:r>
              <w:rPr>
                <w:rFonts w:ascii="Times New Roman" w:hAnsi="Times New Roman"/>
                <w:sz w:val="20"/>
              </w:rPr>
              <w:t>0,84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/>
                <w:sz w:val="20"/>
              </w:rPr>
              <w:t>Lagarta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76.001</w:t>
            </w:r>
          </w:p>
        </w:tc>
        <w:tc>
          <w:tcPr>
            <w:tcW w:type="dxa" w:w="737"/>
          </w:tcPr>
          <w:p>
            <w:r>
              <w:rPr>
                <w:rFonts w:ascii="Times New Roman" w:hAnsi="Times New Roman"/>
                <w:sz w:val="20"/>
              </w:rPr>
              <w:t>2,3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/>
                <w:sz w:val="20"/>
              </w:rPr>
              <w:t>36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sz w:val="20"/>
              </w:rPr>
              <w:t>0,05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0,47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+157</w:t>
            </w:r>
          </w:p>
        </w:tc>
        <w:tc>
          <w:tcPr>
            <w:tcW w:type="dxa" w:w="737"/>
          </w:tcPr>
          <w:p>
            <w:r>
              <w:rPr>
                <w:rFonts w:ascii="Times New Roman" w:hAnsi="Times New Roman"/>
                <w:sz w:val="20"/>
              </w:rPr>
              <w:t>0,44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/>
                <w:sz w:val="20"/>
              </w:rPr>
              <w:t>Ignorado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68.474</w:t>
            </w:r>
          </w:p>
        </w:tc>
        <w:tc>
          <w:tcPr>
            <w:tcW w:type="dxa" w:w="737"/>
          </w:tcPr>
          <w:p>
            <w:r>
              <w:rPr>
                <w:rFonts w:ascii="Times New Roman" w:hAnsi="Times New Roman"/>
                <w:sz w:val="20"/>
              </w:rPr>
              <w:t>2,0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/>
                <w:sz w:val="20"/>
              </w:rPr>
              <w:t>70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sz w:val="20"/>
              </w:rPr>
              <w:t>0,10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0,73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+62</w:t>
            </w:r>
          </w:p>
        </w:tc>
        <w:tc>
          <w:tcPr>
            <w:tcW w:type="dxa" w:w="737"/>
          </w:tcPr>
          <w:p>
            <w:r>
              <w:rPr>
                <w:rFonts w:ascii="Times New Roman" w:hAnsi="Times New Roman"/>
                <w:sz w:val="20"/>
              </w:rPr>
              <w:t>0,23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3.354.030</w:t>
            </w:r>
          </w:p>
        </w:tc>
        <w:tc>
          <w:tcPr>
            <w:tcW w:type="dxa" w:w="737"/>
          </w:tcPr>
          <w:p>
            <w:r>
              <w:rPr>
                <w:rFonts w:ascii="Times New Roman" w:hAnsi="Times New Roman"/>
                <w:sz w:val="20"/>
              </w:rPr>
              <w:t>100,0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/>
                <w:sz w:val="20"/>
              </w:rPr>
              <w:t>4.915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sz w:val="20"/>
              </w:rPr>
              <w:t>0,15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1,84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0"/>
              </w:rPr>
              <w:t>+14.408</w:t>
            </w:r>
          </w:p>
        </w:tc>
        <w:tc>
          <w:tcPr>
            <w:tcW w:type="dxa" w:w="737"/>
          </w:tcPr>
          <w:p>
            <w:r>
              <w:rPr>
                <w:rFonts w:ascii="Times New Roman" w:hAnsi="Times New Roman"/>
                <w:sz w:val="20"/>
              </w:rPr>
              <w:t>0,92</w:t>
            </w:r>
          </w:p>
        </w:tc>
      </w:tr>
    </w:tbl>
    <w:p>
      <w:pPr>
        <w:spacing w:line="480" w:lineRule="auto"/>
      </w:pPr>
      <w:r>
        <w:rPr>
          <w:rFonts w:ascii="Times New Roman" w:hAnsi="Times New Roman"/>
          <w:b w:val="0"/>
          <w:i/>
          <w:sz w:val="22"/>
        </w:rPr>
        <w:t>Fonte: Sinan/DataSUS, 2007-2023.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/>
          <w:i w:val="0"/>
          <w:sz w:val="24"/>
        </w:rPr>
        <w:t>Tabela 3. Perfil sociodemográfico e clínico dos casos notificados de acidentes com animais peçonhentos. Brasil, 2007-2023 (N = 3.354.030)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</w:tcPr>
          <w:p>
            <w:r>
              <w:rPr>
                <w:b/>
              </w:rPr>
              <w:t>Característica</w:t>
            </w:r>
          </w:p>
        </w:tc>
        <w:tc>
          <w:tcPr>
            <w:tcW w:type="dxa" w:w="2126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2126"/>
          </w:tcPr>
          <w:p>
            <w:r>
              <w:rPr>
                <w:b/>
              </w:rPr>
              <w:t>n</w:t>
            </w:r>
          </w:p>
        </w:tc>
        <w:tc>
          <w:tcPr>
            <w:tcW w:type="dxa" w:w="2126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126"/>
          </w:tcPr>
          <w:p>
            <w:r>
              <w:t>Sexo</w:t>
            </w:r>
          </w:p>
        </w:tc>
        <w:tc>
          <w:tcPr>
            <w:tcW w:type="dxa" w:w="2126"/>
          </w:tcPr>
          <w:p>
            <w:r>
              <w:t>Masculino</w:t>
            </w:r>
          </w:p>
        </w:tc>
        <w:tc>
          <w:tcPr>
            <w:tcW w:type="dxa" w:w="2126"/>
          </w:tcPr>
          <w:p>
            <w:r>
              <w:t>1.877.090</w:t>
            </w:r>
          </w:p>
        </w:tc>
        <w:tc>
          <w:tcPr>
            <w:tcW w:type="dxa" w:w="2126"/>
          </w:tcPr>
          <w:p>
            <w:r>
              <w:t>55,97</w:t>
            </w:r>
          </w:p>
        </w:tc>
      </w:tr>
      <w:tr>
        <w:tc>
          <w:tcPr>
            <w:tcW w:type="dxa" w:w="2126"/>
          </w:tcPr>
          <w:p>
            <w:r/>
          </w:p>
        </w:tc>
        <w:tc>
          <w:tcPr>
            <w:tcW w:type="dxa" w:w="2126"/>
          </w:tcPr>
          <w:p>
            <w:r>
              <w:t>Feminino</w:t>
            </w:r>
          </w:p>
        </w:tc>
        <w:tc>
          <w:tcPr>
            <w:tcW w:type="dxa" w:w="2126"/>
          </w:tcPr>
          <w:p>
            <w:r>
              <w:t>1.476.269</w:t>
            </w:r>
          </w:p>
        </w:tc>
        <w:tc>
          <w:tcPr>
            <w:tcW w:type="dxa" w:w="2126"/>
          </w:tcPr>
          <w:p>
            <w:r>
              <w:t>44,01</w:t>
            </w:r>
          </w:p>
        </w:tc>
      </w:tr>
      <w:tr>
        <w:tc>
          <w:tcPr>
            <w:tcW w:type="dxa" w:w="2126"/>
          </w:tcPr>
          <w:p>
            <w:r/>
          </w:p>
        </w:tc>
        <w:tc>
          <w:tcPr>
            <w:tcW w:type="dxa" w:w="2126"/>
          </w:tcPr>
          <w:p>
            <w:r>
              <w:t>Ignorado</w:t>
            </w:r>
          </w:p>
        </w:tc>
        <w:tc>
          <w:tcPr>
            <w:tcW w:type="dxa" w:w="2126"/>
          </w:tcPr>
          <w:p>
            <w:r>
              <w:t>671</w:t>
            </w:r>
          </w:p>
        </w:tc>
        <w:tc>
          <w:tcPr>
            <w:tcW w:type="dxa" w:w="2126"/>
          </w:tcPr>
          <w:p>
            <w:r>
              <w:t>0,02</w:t>
            </w:r>
          </w:p>
        </w:tc>
      </w:tr>
      <w:tr>
        <w:tc>
          <w:tcPr>
            <w:tcW w:type="dxa" w:w="2126"/>
          </w:tcPr>
          <w:p>
            <w:r>
              <w:t>Raça/cor</w:t>
            </w:r>
          </w:p>
        </w:tc>
        <w:tc>
          <w:tcPr>
            <w:tcW w:type="dxa" w:w="2126"/>
          </w:tcPr>
          <w:p>
            <w:r>
              <w:t>Parda</w:t>
            </w:r>
          </w:p>
        </w:tc>
        <w:tc>
          <w:tcPr>
            <w:tcW w:type="dxa" w:w="2126"/>
          </w:tcPr>
          <w:p>
            <w:r>
              <w:t>1.500.788</w:t>
            </w:r>
          </w:p>
        </w:tc>
        <w:tc>
          <w:tcPr>
            <w:tcW w:type="dxa" w:w="2126"/>
          </w:tcPr>
          <w:p>
            <w:r>
              <w:t>44,75</w:t>
            </w:r>
          </w:p>
        </w:tc>
      </w:tr>
      <w:tr>
        <w:tc>
          <w:tcPr>
            <w:tcW w:type="dxa" w:w="2126"/>
          </w:tcPr>
          <w:p>
            <w:r/>
          </w:p>
        </w:tc>
        <w:tc>
          <w:tcPr>
            <w:tcW w:type="dxa" w:w="2126"/>
          </w:tcPr>
          <w:p>
            <w:r>
              <w:t>Branca</w:t>
            </w:r>
          </w:p>
        </w:tc>
        <w:tc>
          <w:tcPr>
            <w:tcW w:type="dxa" w:w="2126"/>
          </w:tcPr>
          <w:p>
            <w:r>
              <w:t>1.178.086</w:t>
            </w:r>
          </w:p>
        </w:tc>
        <w:tc>
          <w:tcPr>
            <w:tcW w:type="dxa" w:w="2126"/>
          </w:tcPr>
          <w:p>
            <w:r>
              <w:t>35,12</w:t>
            </w:r>
          </w:p>
        </w:tc>
      </w:tr>
      <w:tr>
        <w:tc>
          <w:tcPr>
            <w:tcW w:type="dxa" w:w="2126"/>
          </w:tcPr>
          <w:p>
            <w:r/>
          </w:p>
        </w:tc>
        <w:tc>
          <w:tcPr>
            <w:tcW w:type="dxa" w:w="2126"/>
          </w:tcPr>
          <w:p>
            <w:r>
              <w:t>Preta</w:t>
            </w:r>
          </w:p>
        </w:tc>
        <w:tc>
          <w:tcPr>
            <w:tcW w:type="dxa" w:w="2126"/>
          </w:tcPr>
          <w:p>
            <w:r>
              <w:t>188.541</w:t>
            </w:r>
          </w:p>
        </w:tc>
        <w:tc>
          <w:tcPr>
            <w:tcW w:type="dxa" w:w="2126"/>
          </w:tcPr>
          <w:p>
            <w:r>
              <w:t>5,62</w:t>
            </w:r>
          </w:p>
        </w:tc>
      </w:tr>
      <w:tr>
        <w:tc>
          <w:tcPr>
            <w:tcW w:type="dxa" w:w="2126"/>
          </w:tcPr>
          <w:p>
            <w:r/>
          </w:p>
        </w:tc>
        <w:tc>
          <w:tcPr>
            <w:tcW w:type="dxa" w:w="2126"/>
          </w:tcPr>
          <w:p>
            <w:r>
              <w:t>Indígena</w:t>
            </w:r>
          </w:p>
        </w:tc>
        <w:tc>
          <w:tcPr>
            <w:tcW w:type="dxa" w:w="2126"/>
          </w:tcPr>
          <w:p>
            <w:r>
              <w:t>32.352</w:t>
            </w:r>
          </w:p>
        </w:tc>
        <w:tc>
          <w:tcPr>
            <w:tcW w:type="dxa" w:w="2126"/>
          </w:tcPr>
          <w:p>
            <w:r>
              <w:t>0,96</w:t>
            </w:r>
          </w:p>
        </w:tc>
      </w:tr>
      <w:tr>
        <w:tc>
          <w:tcPr>
            <w:tcW w:type="dxa" w:w="2126"/>
          </w:tcPr>
          <w:p>
            <w:r/>
          </w:p>
        </w:tc>
        <w:tc>
          <w:tcPr>
            <w:tcW w:type="dxa" w:w="2126"/>
          </w:tcPr>
          <w:p>
            <w:r>
              <w:t>Amarela</w:t>
            </w:r>
          </w:p>
        </w:tc>
        <w:tc>
          <w:tcPr>
            <w:tcW w:type="dxa" w:w="2126"/>
          </w:tcPr>
          <w:p>
            <w:r>
              <w:t>28.432</w:t>
            </w:r>
          </w:p>
        </w:tc>
        <w:tc>
          <w:tcPr>
            <w:tcW w:type="dxa" w:w="2126"/>
          </w:tcPr>
          <w:p>
            <w:r>
              <w:t>0,85</w:t>
            </w:r>
          </w:p>
        </w:tc>
      </w:tr>
      <w:tr>
        <w:tc>
          <w:tcPr>
            <w:tcW w:type="dxa" w:w="2126"/>
          </w:tcPr>
          <w:p>
            <w:r/>
          </w:p>
        </w:tc>
        <w:tc>
          <w:tcPr>
            <w:tcW w:type="dxa" w:w="2126"/>
          </w:tcPr>
          <w:p>
            <w:r>
              <w:t>Ignorado</w:t>
            </w:r>
          </w:p>
        </w:tc>
        <w:tc>
          <w:tcPr>
            <w:tcW w:type="dxa" w:w="2126"/>
          </w:tcPr>
          <w:p>
            <w:r>
              <w:t>425.831</w:t>
            </w:r>
          </w:p>
        </w:tc>
        <w:tc>
          <w:tcPr>
            <w:tcW w:type="dxa" w:w="2126"/>
          </w:tcPr>
          <w:p>
            <w:r>
              <w:t>12,70</w:t>
            </w:r>
          </w:p>
        </w:tc>
      </w:tr>
      <w:tr>
        <w:tc>
          <w:tcPr>
            <w:tcW w:type="dxa" w:w="2126"/>
          </w:tcPr>
          <w:p>
            <w:r>
              <w:t>Faixa etária</w:t>
            </w:r>
          </w:p>
        </w:tc>
        <w:tc>
          <w:tcPr>
            <w:tcW w:type="dxa" w:w="2126"/>
          </w:tcPr>
          <w:p>
            <w:r>
              <w:t>0-9</w:t>
            </w:r>
          </w:p>
        </w:tc>
        <w:tc>
          <w:tcPr>
            <w:tcW w:type="dxa" w:w="2126"/>
          </w:tcPr>
          <w:p>
            <w:r>
              <w:t>403.190</w:t>
            </w:r>
          </w:p>
        </w:tc>
        <w:tc>
          <w:tcPr>
            <w:tcW w:type="dxa" w:w="2126"/>
          </w:tcPr>
          <w:p>
            <w:r>
              <w:t>12,02</w:t>
            </w:r>
          </w:p>
        </w:tc>
      </w:tr>
      <w:tr>
        <w:tc>
          <w:tcPr>
            <w:tcW w:type="dxa" w:w="2126"/>
          </w:tcPr>
          <w:p>
            <w:r/>
          </w:p>
        </w:tc>
        <w:tc>
          <w:tcPr>
            <w:tcW w:type="dxa" w:w="2126"/>
          </w:tcPr>
          <w:p>
            <w:r>
              <w:t>10-19</w:t>
            </w:r>
          </w:p>
        </w:tc>
        <w:tc>
          <w:tcPr>
            <w:tcW w:type="dxa" w:w="2126"/>
          </w:tcPr>
          <w:p>
            <w:r>
              <w:t>479.383</w:t>
            </w:r>
          </w:p>
        </w:tc>
        <w:tc>
          <w:tcPr>
            <w:tcW w:type="dxa" w:w="2126"/>
          </w:tcPr>
          <w:p>
            <w:r>
              <w:t>14,29</w:t>
            </w:r>
          </w:p>
        </w:tc>
      </w:tr>
      <w:tr>
        <w:tc>
          <w:tcPr>
            <w:tcW w:type="dxa" w:w="2126"/>
          </w:tcPr>
          <w:p>
            <w:r/>
          </w:p>
        </w:tc>
        <w:tc>
          <w:tcPr>
            <w:tcW w:type="dxa" w:w="2126"/>
          </w:tcPr>
          <w:p>
            <w:r>
              <w:t>20-29</w:t>
            </w:r>
          </w:p>
        </w:tc>
        <w:tc>
          <w:tcPr>
            <w:tcW w:type="dxa" w:w="2126"/>
          </w:tcPr>
          <w:p>
            <w:r>
              <w:t>573.370</w:t>
            </w:r>
          </w:p>
        </w:tc>
        <w:tc>
          <w:tcPr>
            <w:tcW w:type="dxa" w:w="2126"/>
          </w:tcPr>
          <w:p>
            <w:r>
              <w:t>17,09</w:t>
            </w:r>
          </w:p>
        </w:tc>
      </w:tr>
      <w:tr>
        <w:tc>
          <w:tcPr>
            <w:tcW w:type="dxa" w:w="2126"/>
          </w:tcPr>
          <w:p>
            <w:r/>
          </w:p>
        </w:tc>
        <w:tc>
          <w:tcPr>
            <w:tcW w:type="dxa" w:w="2126"/>
          </w:tcPr>
          <w:p>
            <w:r>
              <w:t>30-39</w:t>
            </w:r>
          </w:p>
        </w:tc>
        <w:tc>
          <w:tcPr>
            <w:tcW w:type="dxa" w:w="2126"/>
          </w:tcPr>
          <w:p>
            <w:r>
              <w:t>520.116</w:t>
            </w:r>
          </w:p>
        </w:tc>
        <w:tc>
          <w:tcPr>
            <w:tcW w:type="dxa" w:w="2126"/>
          </w:tcPr>
          <w:p>
            <w:r>
              <w:t>15,51</w:t>
            </w:r>
          </w:p>
        </w:tc>
      </w:tr>
      <w:tr>
        <w:tc>
          <w:tcPr>
            <w:tcW w:type="dxa" w:w="2126"/>
          </w:tcPr>
          <w:p>
            <w:r/>
          </w:p>
        </w:tc>
        <w:tc>
          <w:tcPr>
            <w:tcW w:type="dxa" w:w="2126"/>
          </w:tcPr>
          <w:p>
            <w:r>
              <w:t>40-49</w:t>
            </w:r>
          </w:p>
        </w:tc>
        <w:tc>
          <w:tcPr>
            <w:tcW w:type="dxa" w:w="2126"/>
          </w:tcPr>
          <w:p>
            <w:r>
              <w:t>480.587</w:t>
            </w:r>
          </w:p>
        </w:tc>
        <w:tc>
          <w:tcPr>
            <w:tcW w:type="dxa" w:w="2126"/>
          </w:tcPr>
          <w:p>
            <w:r>
              <w:t>14,33</w:t>
            </w:r>
          </w:p>
        </w:tc>
      </w:tr>
      <w:tr>
        <w:tc>
          <w:tcPr>
            <w:tcW w:type="dxa" w:w="2126"/>
          </w:tcPr>
          <w:p>
            <w:r/>
          </w:p>
        </w:tc>
        <w:tc>
          <w:tcPr>
            <w:tcW w:type="dxa" w:w="2126"/>
          </w:tcPr>
          <w:p>
            <w:r>
              <w:t>50-59</w:t>
            </w:r>
          </w:p>
        </w:tc>
        <w:tc>
          <w:tcPr>
            <w:tcW w:type="dxa" w:w="2126"/>
          </w:tcPr>
          <w:p>
            <w:r>
              <w:t>423.010</w:t>
            </w:r>
          </w:p>
        </w:tc>
        <w:tc>
          <w:tcPr>
            <w:tcW w:type="dxa" w:w="2126"/>
          </w:tcPr>
          <w:p>
            <w:r>
              <w:t>12,61</w:t>
            </w:r>
          </w:p>
        </w:tc>
      </w:tr>
      <w:tr>
        <w:tc>
          <w:tcPr>
            <w:tcW w:type="dxa" w:w="2126"/>
          </w:tcPr>
          <w:p>
            <w:r/>
          </w:p>
        </w:tc>
        <w:tc>
          <w:tcPr>
            <w:tcW w:type="dxa" w:w="2126"/>
          </w:tcPr>
          <w:p>
            <w:r>
              <w:t>60-69</w:t>
            </w:r>
          </w:p>
        </w:tc>
        <w:tc>
          <w:tcPr>
            <w:tcW w:type="dxa" w:w="2126"/>
          </w:tcPr>
          <w:p>
            <w:r>
              <w:t>285.406</w:t>
            </w:r>
          </w:p>
        </w:tc>
        <w:tc>
          <w:tcPr>
            <w:tcW w:type="dxa" w:w="2126"/>
          </w:tcPr>
          <w:p>
            <w:r>
              <w:t>8,51</w:t>
            </w:r>
          </w:p>
        </w:tc>
      </w:tr>
      <w:tr>
        <w:tc>
          <w:tcPr>
            <w:tcW w:type="dxa" w:w="2126"/>
          </w:tcPr>
          <w:p>
            <w:r/>
          </w:p>
        </w:tc>
        <w:tc>
          <w:tcPr>
            <w:tcW w:type="dxa" w:w="2126"/>
          </w:tcPr>
          <w:p>
            <w:r>
              <w:t>70 ou mais</w:t>
            </w:r>
          </w:p>
        </w:tc>
        <w:tc>
          <w:tcPr>
            <w:tcW w:type="dxa" w:w="2126"/>
          </w:tcPr>
          <w:p>
            <w:r>
              <w:t>188.847</w:t>
            </w:r>
          </w:p>
        </w:tc>
        <w:tc>
          <w:tcPr>
            <w:tcW w:type="dxa" w:w="2126"/>
          </w:tcPr>
          <w:p>
            <w:r>
              <w:t>5,63</w:t>
            </w:r>
          </w:p>
        </w:tc>
      </w:tr>
      <w:tr>
        <w:tc>
          <w:tcPr>
            <w:tcW w:type="dxa" w:w="2126"/>
          </w:tcPr>
          <w:p>
            <w:r>
              <w:t>Classificação</w:t>
            </w:r>
          </w:p>
        </w:tc>
        <w:tc>
          <w:tcPr>
            <w:tcW w:type="dxa" w:w="2126"/>
          </w:tcPr>
          <w:p>
            <w:r>
              <w:t>Leve</w:t>
            </w:r>
          </w:p>
        </w:tc>
        <w:tc>
          <w:tcPr>
            <w:tcW w:type="dxa" w:w="2126"/>
          </w:tcPr>
          <w:p>
            <w:r>
              <w:t>2.707.660</w:t>
            </w:r>
          </w:p>
        </w:tc>
        <w:tc>
          <w:tcPr>
            <w:tcW w:type="dxa" w:w="2126"/>
          </w:tcPr>
          <w:p>
            <w:r>
              <w:t>80,73</w:t>
            </w:r>
          </w:p>
        </w:tc>
      </w:tr>
      <w:tr>
        <w:tc>
          <w:tcPr>
            <w:tcW w:type="dxa" w:w="2126"/>
          </w:tcPr>
          <w:p>
            <w:r/>
          </w:p>
        </w:tc>
        <w:tc>
          <w:tcPr>
            <w:tcW w:type="dxa" w:w="2126"/>
          </w:tcPr>
          <w:p>
            <w:r>
              <w:t>Moderado</w:t>
            </w:r>
          </w:p>
        </w:tc>
        <w:tc>
          <w:tcPr>
            <w:tcW w:type="dxa" w:w="2126"/>
          </w:tcPr>
          <w:p>
            <w:r>
              <w:t>422.900</w:t>
            </w:r>
          </w:p>
        </w:tc>
        <w:tc>
          <w:tcPr>
            <w:tcW w:type="dxa" w:w="2126"/>
          </w:tcPr>
          <w:p>
            <w:r>
              <w:t>12,61</w:t>
            </w:r>
          </w:p>
        </w:tc>
      </w:tr>
      <w:tr>
        <w:tc>
          <w:tcPr>
            <w:tcW w:type="dxa" w:w="2126"/>
          </w:tcPr>
          <w:p>
            <w:r/>
          </w:p>
        </w:tc>
        <w:tc>
          <w:tcPr>
            <w:tcW w:type="dxa" w:w="2126"/>
          </w:tcPr>
          <w:p>
            <w:r>
              <w:t>Grave</w:t>
            </w:r>
          </w:p>
        </w:tc>
        <w:tc>
          <w:tcPr>
            <w:tcW w:type="dxa" w:w="2126"/>
          </w:tcPr>
          <w:p>
            <w:r>
              <w:t>61.601</w:t>
            </w:r>
          </w:p>
        </w:tc>
        <w:tc>
          <w:tcPr>
            <w:tcW w:type="dxa" w:w="2126"/>
          </w:tcPr>
          <w:p>
            <w:r>
              <w:t>1,84</w:t>
            </w:r>
          </w:p>
        </w:tc>
      </w:tr>
      <w:tr>
        <w:tc>
          <w:tcPr>
            <w:tcW w:type="dxa" w:w="2126"/>
          </w:tcPr>
          <w:p>
            <w:r/>
          </w:p>
        </w:tc>
        <w:tc>
          <w:tcPr>
            <w:tcW w:type="dxa" w:w="2126"/>
          </w:tcPr>
          <w:p>
            <w:r>
              <w:t>Ignorado</w:t>
            </w:r>
          </w:p>
        </w:tc>
        <w:tc>
          <w:tcPr>
            <w:tcW w:type="dxa" w:w="2126"/>
          </w:tcPr>
          <w:p>
            <w:r>
              <w:t>161.869</w:t>
            </w:r>
          </w:p>
        </w:tc>
        <w:tc>
          <w:tcPr>
            <w:tcW w:type="dxa" w:w="2126"/>
          </w:tcPr>
          <w:p>
            <w:r>
              <w:t>4,83</w:t>
            </w:r>
          </w:p>
        </w:tc>
      </w:tr>
    </w:tbl>
    <w:p>
      <w:pPr>
        <w:spacing w:line="480" w:lineRule="auto"/>
      </w:pPr>
      <w:r>
        <w:rPr>
          <w:rFonts w:ascii="Times New Roman" w:hAnsi="Times New Roman"/>
          <w:b w:val="0"/>
          <w:i/>
          <w:sz w:val="22"/>
        </w:rPr>
        <w:t>Fonte: Sinan/DataSUS, 2007-2023.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/>
          <w:i w:val="0"/>
          <w:sz w:val="24"/>
        </w:rPr>
        <w:t>Figura 1. Distribuição mensal das notificações de acidentes com animais peçonhentos. Brasil, 2007-2023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9949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sazonalida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94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/>
      </w:pPr>
      <w:r>
        <w:rPr>
          <w:rFonts w:ascii="Times New Roman" w:hAnsi="Times New Roman"/>
          <w:b w:val="0"/>
          <w:i/>
          <w:sz w:val="22"/>
        </w:rPr>
        <w:t>Fonte: Sinan/DataSUS, 2007-2023.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/>
          <w:i w:val="0"/>
          <w:sz w:val="24"/>
        </w:rPr>
        <w:t>Figura 2. Série temporal de notificações, óbitos e taxa de letalidade de acidentes com animais peçonhentos, com destaque para o período da pandemia de COVID-19. Brasil, 2007-2023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1846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erie_tempor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84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/>
      </w:pPr>
      <w:r>
        <w:rPr>
          <w:rFonts w:ascii="Times New Roman" w:hAnsi="Times New Roman"/>
          <w:b w:val="0"/>
          <w:i/>
          <w:sz w:val="22"/>
        </w:rPr>
        <w:t>Fonte: Sinan/DataSUS, 2007-2023.</w:t>
      </w:r>
    </w:p>
    <w:sectPr w:rsidR="00FC693F" w:rsidRPr="0006063C" w:rsidSect="00034616">
      <w:pgSz w:w="11906" w:h="16838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