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B0" w:rsidRDefault="004A2968">
      <w:pPr>
        <w:pStyle w:val="afa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Тема 2.4. Нормализация – еще о регуляризации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План: </w:t>
      </w:r>
    </w:p>
    <w:p w:rsidR="003055B0" w:rsidRDefault="004A2968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Пакетная нормализация </w:t>
      </w:r>
    </w:p>
    <w:p w:rsidR="003055B0" w:rsidRDefault="004A2968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Особенности батч-нормализации</w:t>
      </w:r>
    </w:p>
    <w:p w:rsidR="003055B0" w:rsidRDefault="004A2968">
      <w:pPr>
        <w:pStyle w:val="afa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Другие методы нормализации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Пакетная нормализация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2015 году была предложена техника пакетной нормализации – батчнормализации (batch normalization, </w:t>
      </w:r>
      <w:r>
        <w:rPr>
          <w:sz w:val="28"/>
          <w:szCs w:val="28"/>
        </w:rPr>
        <w:t>batch- norm, технически будет правильней назвать межпакетная нормализация).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Идея метода батчнормализации заключалась в следующем. Различия статистических характеристик между такими мини пакетами замедляет обучение нейронной сети и повышает требования к т</w:t>
      </w:r>
      <w:r>
        <w:rPr>
          <w:sz w:val="28"/>
          <w:szCs w:val="28"/>
        </w:rPr>
        <w:t>очности подбора гиперпараметров и требования к инициализации весовых параметров – то есть повышает вероятность переобучения и снижает обобщающую способность. Под статистическими характеристиками авторы понимают в первую очередь среднее и дисперсию по каждо</w:t>
      </w:r>
      <w:r>
        <w:rPr>
          <w:sz w:val="28"/>
          <w:szCs w:val="28"/>
        </w:rPr>
        <w:t>му признаку для каждой подвыборки (мини-пакета) входных данных. Описанный эффект авторы назвали внутренний ковариационный сдвиг, internal covariate shift. Для решения проблемы ковариационного сдвига было предложено использование нормализации результатов ра</w:t>
      </w:r>
      <w:r>
        <w:rPr>
          <w:sz w:val="28"/>
          <w:szCs w:val="28"/>
        </w:rPr>
        <w:t>боты каждого слоя нейронной сети. При этом статистические характеристики должны усредняться по всем мини-пакетам и использоваться при работе обученной нейронной сети. То есть батчнормализация ведет себя по-разному во время тренировки и во время работы.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Осо</w:t>
      </w:r>
      <w:r>
        <w:rPr>
          <w:b/>
          <w:sz w:val="28"/>
          <w:szCs w:val="28"/>
        </w:rPr>
        <w:t>бенности батч-нормализации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Сам по себе принцип ковариационного сдвига не доказан до сих пор. Однако, известно, что батчнормалиазция работает. При использовании батч-нормализации сеть становится менее склонной к переобучению и менее чувствительна к выбору з</w:t>
      </w:r>
      <w:r>
        <w:rPr>
          <w:sz w:val="28"/>
          <w:szCs w:val="28"/>
        </w:rPr>
        <w:t xml:space="preserve">начений гиперпараметров. Однако, также сеть становится чувствительной к изменению размера батча или изменению </w:t>
      </w:r>
      <w:r>
        <w:rPr>
          <w:sz w:val="28"/>
          <w:szCs w:val="28"/>
        </w:rPr>
        <w:lastRenderedPageBreak/>
        <w:t>входных изображений; также сеть имеет понижение регуляризационных свойств при небольшом размере пакета. Для корректной̆ работы батчнормализации р</w:t>
      </w:r>
      <w:r>
        <w:rPr>
          <w:sz w:val="28"/>
          <w:szCs w:val="28"/>
        </w:rPr>
        <w:t xml:space="preserve">екомендуется использовать пакеты от 50−100 экземпляров данных. 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Другие методы нормализации</w:t>
      </w:r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Батчнормализация не всегда корректно работает для стратегии переноса обучения. Поэтому в ряде случаев предлагается заменять этот слой на альтернативы, например, норм</w:t>
      </w:r>
      <w:r>
        <w:rPr>
          <w:sz w:val="28"/>
          <w:szCs w:val="28"/>
        </w:rPr>
        <w:t>ализацию слоя или нормализацию весовых параметров сети.</w:t>
      </w:r>
    </w:p>
    <w:p w:rsidR="004D62BC" w:rsidRDefault="004D62BC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E14F5">
        <w:rPr>
          <w:b/>
          <w:sz w:val="28"/>
          <w:szCs w:val="28"/>
        </w:rPr>
        <w:t>Резюме</w:t>
      </w:r>
      <w:bookmarkStart w:id="0" w:name="_GoBack"/>
      <w:bookmarkEnd w:id="0"/>
    </w:p>
    <w:p w:rsidR="003055B0" w:rsidRDefault="004A2968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Использование батч-нормализации или ее аналогов остаётся сегодня наиболее популярных методом регуляризации в рамках архитектур сверточных нейронных сетей в задачах компьютерного зрения. </w:t>
      </w:r>
    </w:p>
    <w:p w:rsidR="003055B0" w:rsidRDefault="003055B0">
      <w:pPr>
        <w:pStyle w:val="afa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sectPr w:rsidR="003055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968" w:rsidRDefault="004A2968">
      <w:r>
        <w:separator/>
      </w:r>
    </w:p>
  </w:endnote>
  <w:endnote w:type="continuationSeparator" w:id="0">
    <w:p w:rsidR="004A2968" w:rsidRDefault="004A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968" w:rsidRDefault="004A2968">
      <w:r>
        <w:separator/>
      </w:r>
    </w:p>
  </w:footnote>
  <w:footnote w:type="continuationSeparator" w:id="0">
    <w:p w:rsidR="004A2968" w:rsidRDefault="004A2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C7B12"/>
    <w:multiLevelType w:val="hybridMultilevel"/>
    <w:tmpl w:val="4330E5B4"/>
    <w:lvl w:ilvl="0" w:tplc="E6FABB42">
      <w:start w:val="1"/>
      <w:numFmt w:val="decimal"/>
      <w:lvlText w:val="%1."/>
      <w:lvlJc w:val="right"/>
      <w:pPr>
        <w:ind w:left="709" w:hanging="360"/>
      </w:pPr>
    </w:lvl>
    <w:lvl w:ilvl="1" w:tplc="815E7496">
      <w:start w:val="1"/>
      <w:numFmt w:val="lowerLetter"/>
      <w:lvlText w:val="%2."/>
      <w:lvlJc w:val="left"/>
      <w:pPr>
        <w:ind w:left="1429" w:hanging="360"/>
      </w:pPr>
    </w:lvl>
    <w:lvl w:ilvl="2" w:tplc="35E290C4">
      <w:start w:val="1"/>
      <w:numFmt w:val="lowerRoman"/>
      <w:lvlText w:val="%3."/>
      <w:lvlJc w:val="right"/>
      <w:pPr>
        <w:ind w:left="2149" w:hanging="180"/>
      </w:pPr>
    </w:lvl>
    <w:lvl w:ilvl="3" w:tplc="1B42FF00">
      <w:start w:val="1"/>
      <w:numFmt w:val="decimal"/>
      <w:lvlText w:val="%4."/>
      <w:lvlJc w:val="left"/>
      <w:pPr>
        <w:ind w:left="2869" w:hanging="360"/>
      </w:pPr>
    </w:lvl>
    <w:lvl w:ilvl="4" w:tplc="44329CE0">
      <w:start w:val="1"/>
      <w:numFmt w:val="lowerLetter"/>
      <w:lvlText w:val="%5."/>
      <w:lvlJc w:val="left"/>
      <w:pPr>
        <w:ind w:left="3589" w:hanging="360"/>
      </w:pPr>
    </w:lvl>
    <w:lvl w:ilvl="5" w:tplc="D2488D96">
      <w:start w:val="1"/>
      <w:numFmt w:val="lowerRoman"/>
      <w:lvlText w:val="%6."/>
      <w:lvlJc w:val="right"/>
      <w:pPr>
        <w:ind w:left="4309" w:hanging="180"/>
      </w:pPr>
    </w:lvl>
    <w:lvl w:ilvl="6" w:tplc="37DAED88">
      <w:start w:val="1"/>
      <w:numFmt w:val="decimal"/>
      <w:lvlText w:val="%7."/>
      <w:lvlJc w:val="left"/>
      <w:pPr>
        <w:ind w:left="5029" w:hanging="360"/>
      </w:pPr>
    </w:lvl>
    <w:lvl w:ilvl="7" w:tplc="27CC4A2E">
      <w:start w:val="1"/>
      <w:numFmt w:val="lowerLetter"/>
      <w:lvlText w:val="%8."/>
      <w:lvlJc w:val="left"/>
      <w:pPr>
        <w:ind w:left="5749" w:hanging="360"/>
      </w:pPr>
    </w:lvl>
    <w:lvl w:ilvl="8" w:tplc="3ADED4A0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5B0"/>
    <w:rsid w:val="003055B0"/>
    <w:rsid w:val="004A2968"/>
    <w:rsid w:val="004D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FCF99"/>
  <w15:docId w15:val="{FB8D04B6-C1E6-44B9-B9AC-B5E8047B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13</cp:revision>
  <dcterms:created xsi:type="dcterms:W3CDTF">2022-09-18T13:05:00Z</dcterms:created>
  <dcterms:modified xsi:type="dcterms:W3CDTF">2022-12-14T13:25:00Z</dcterms:modified>
</cp:coreProperties>
</file>