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Supplementary Material</w:t>
      </w:r>
    </w:p>
    <w:p>
      <w:pPr>
        <w:jc w:val="center"/>
      </w:pPr>
      <w:r>
        <w:t>A Frozen-Classifier Audit for Subgroup Recall Loss Under Test-Time Feature Missingness</w:t>
      </w:r>
    </w:p>
    <w:p>
      <w:pPr>
        <w:pStyle w:val="Heading1"/>
      </w:pPr>
      <w:r>
        <w:t>Supplementary analysis notes</w:t>
      </w:r>
    </w:p>
    <w:p>
      <w:r>
        <w:t>All seed-level summaries below are descriptive repetitions of train/test splits on the same finite benchmark datasets. The splits are not treated as independent samples. No p-values, significance labels, or population-level confidence intervals are used in this supplement. Results are limited to the datasets, models, groups, preprocessing, and missingness mechanisms listed in each table.</w:t>
      </w:r>
    </w:p>
    <w:p>
      <w:r>
        <w:t>The full per-seed records, denominators, realized mask rates, and analysis code are in the reproducibility repository under the filenames given after each table. These files accompany, rather than replace, the tabular summaries below.</w:t>
      </w:r>
    </w:p>
    <w:p>
      <w:r>
        <w:t>Table S1. Complementary-group FMG summaries at 20% MCAR (ten repeated splits per dataset-model pair). g0 is the prespecified focus group; g1 is its complement. Positive-split counts are descriptive.</w:t>
      </w:r>
    </w:p>
    <w:p>
      <w:pPr>
        <w:pStyle w:val="Heading2"/>
      </w:pPr>
      <w:r>
        <w:t>Table S1. Complementary-group results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r>
              <w:rPr>
                <w:rFonts w:ascii="Times New Roman" w:hAnsi="Times New Roman"/>
                <w:b/>
                <w:sz w:val="16"/>
              </w:rPr>
              <w:t>Dataset</w:t>
            </w:r>
          </w:p>
        </w:tc>
        <w:tc>
          <w:tcPr>
            <w:tcW w:type="dxa" w:w="2074"/>
            <w:vAlign w:val="center"/>
            <w:shd w:fill="DCEEF4"/>
          </w:tcPr>
          <w:p>
            <w:pPr>
              <w:spacing w:after="0"/>
            </w:pPr>
            <w:r/>
            <w:r>
              <w:rPr>
                <w:rFonts w:ascii="Times New Roman" w:hAnsi="Times New Roman"/>
                <w:b/>
                <w:sz w:val="16"/>
              </w:rPr>
              <w:t>Model</w:t>
            </w:r>
          </w:p>
        </w:tc>
        <w:tc>
          <w:tcPr>
            <w:tcW w:type="dxa" w:w="2074"/>
            <w:vAlign w:val="center"/>
            <w:shd w:fill="DCEEF4"/>
          </w:tcPr>
          <w:p>
            <w:pPr>
              <w:spacing w:after="0"/>
            </w:pPr>
            <w:r/>
            <w:r>
              <w:rPr>
                <w:rFonts w:ascii="Times New Roman" w:hAnsi="Times New Roman"/>
                <w:b/>
                <w:sz w:val="16"/>
              </w:rPr>
              <w:t>Mean FMG g0</w:t>
            </w:r>
          </w:p>
        </w:tc>
        <w:tc>
          <w:tcPr>
            <w:tcW w:type="dxa" w:w="2074"/>
            <w:vAlign w:val="center"/>
            <w:shd w:fill="DCEEF4"/>
          </w:tcPr>
          <w:p>
            <w:pPr>
              <w:spacing w:after="0"/>
            </w:pPr>
            <w:r/>
            <w:r>
              <w:rPr>
                <w:rFonts w:ascii="Times New Roman" w:hAnsi="Times New Roman"/>
                <w:b/>
                <w:sz w:val="16"/>
              </w:rPr>
              <w:t>Mean FMG g1</w:t>
            </w:r>
          </w:p>
        </w:tc>
        <w:tc>
          <w:tcPr>
            <w:tcW w:type="dxa" w:w="2074"/>
            <w:vAlign w:val="center"/>
            <w:shd w:fill="DCEEF4"/>
          </w:tcPr>
          <w:p>
            <w:pPr>
              <w:spacing w:after="0"/>
            </w:pPr>
            <w:r/>
            <w:r>
              <w:rPr>
                <w:rFonts w:ascii="Times New Roman" w:hAnsi="Times New Roman"/>
                <w:b/>
                <w:sz w:val="16"/>
              </w:rPr>
              <w:t>Positive g1 splits</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0.0953</w:t>
            </w:r>
          </w:p>
        </w:tc>
        <w:tc>
          <w:tcPr>
            <w:tcW w:type="dxa" w:w="2074"/>
            <w:vAlign w:val="center"/>
          </w:tcPr>
          <w:p>
            <w:pPr>
              <w:spacing w:after="0"/>
            </w:pPr>
            <w:r/>
            <w:r>
              <w:rPr>
                <w:rFonts w:ascii="Times New Roman" w:hAnsi="Times New Roman"/>
                <w:b w:val="0"/>
                <w:sz w:val="16"/>
              </w:rPr>
              <w:t>0.1122</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0.0383</w:t>
            </w:r>
          </w:p>
        </w:tc>
        <w:tc>
          <w:tcPr>
            <w:tcW w:type="dxa" w:w="2074"/>
            <w:vAlign w:val="center"/>
          </w:tcPr>
          <w:p>
            <w:pPr>
              <w:spacing w:after="0"/>
            </w:pPr>
            <w:r/>
            <w:r>
              <w:rPr>
                <w:rFonts w:ascii="Times New Roman" w:hAnsi="Times New Roman"/>
                <w:b w:val="0"/>
                <w:sz w:val="16"/>
              </w:rPr>
              <w:t>0.0831</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0.0907</w:t>
            </w:r>
          </w:p>
        </w:tc>
        <w:tc>
          <w:tcPr>
            <w:tcW w:type="dxa" w:w="2074"/>
            <w:vAlign w:val="center"/>
          </w:tcPr>
          <w:p>
            <w:pPr>
              <w:spacing w:after="0"/>
            </w:pPr>
            <w:r/>
            <w:r>
              <w:rPr>
                <w:rFonts w:ascii="Times New Roman" w:hAnsi="Times New Roman"/>
                <w:b w:val="0"/>
                <w:sz w:val="16"/>
              </w:rPr>
              <w:t>0.1136</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0.0971</w:t>
            </w:r>
          </w:p>
        </w:tc>
        <w:tc>
          <w:tcPr>
            <w:tcW w:type="dxa" w:w="2074"/>
            <w:vAlign w:val="center"/>
          </w:tcPr>
          <w:p>
            <w:pPr>
              <w:spacing w:after="0"/>
            </w:pPr>
            <w:r/>
            <w:r>
              <w:rPr>
                <w:rFonts w:ascii="Times New Roman" w:hAnsi="Times New Roman"/>
                <w:b w:val="0"/>
                <w:sz w:val="16"/>
              </w:rPr>
              <w:t>0.1073</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0.0010</w:t>
            </w:r>
          </w:p>
        </w:tc>
        <w:tc>
          <w:tcPr>
            <w:tcW w:type="dxa" w:w="2074"/>
            <w:vAlign w:val="center"/>
          </w:tcPr>
          <w:p>
            <w:pPr>
              <w:spacing w:after="0"/>
            </w:pPr>
            <w:r/>
            <w:r>
              <w:rPr>
                <w:rFonts w:ascii="Times New Roman" w:hAnsi="Times New Roman"/>
                <w:b w:val="0"/>
                <w:sz w:val="16"/>
              </w:rPr>
              <w:t>-0.0349</w:t>
            </w:r>
          </w:p>
        </w:tc>
        <w:tc>
          <w:tcPr>
            <w:tcW w:type="dxa" w:w="2074"/>
            <w:vAlign w:val="center"/>
          </w:tcPr>
          <w:p>
            <w:pPr>
              <w:spacing w:after="0"/>
            </w:pPr>
            <w:r/>
            <w:r>
              <w:rPr>
                <w:rFonts w:ascii="Times New Roman" w:hAnsi="Times New Roman"/>
                <w:b w:val="0"/>
                <w:sz w:val="16"/>
              </w:rPr>
              <w:t>1/10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0.0293</w:t>
            </w:r>
          </w:p>
        </w:tc>
        <w:tc>
          <w:tcPr>
            <w:tcW w:type="dxa" w:w="2074"/>
            <w:vAlign w:val="center"/>
          </w:tcPr>
          <w:p>
            <w:pPr>
              <w:spacing w:after="0"/>
            </w:pPr>
            <w:r/>
            <w:r>
              <w:rPr>
                <w:rFonts w:ascii="Times New Roman" w:hAnsi="Times New Roman"/>
                <w:b w:val="0"/>
                <w:sz w:val="16"/>
              </w:rPr>
              <w:t>-0.0113</w:t>
            </w:r>
          </w:p>
        </w:tc>
        <w:tc>
          <w:tcPr>
            <w:tcW w:type="dxa" w:w="2074"/>
            <w:vAlign w:val="center"/>
          </w:tcPr>
          <w:p>
            <w:pPr>
              <w:spacing w:after="0"/>
            </w:pPr>
            <w:r/>
            <w:r>
              <w:rPr>
                <w:rFonts w:ascii="Times New Roman" w:hAnsi="Times New Roman"/>
                <w:b w:val="0"/>
                <w:sz w:val="16"/>
              </w:rPr>
              <w:t>3/10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0.0047</w:t>
            </w:r>
          </w:p>
        </w:tc>
        <w:tc>
          <w:tcPr>
            <w:tcW w:type="dxa" w:w="2074"/>
            <w:vAlign w:val="center"/>
          </w:tcPr>
          <w:p>
            <w:pPr>
              <w:spacing w:after="0"/>
            </w:pPr>
            <w:r/>
            <w:r>
              <w:rPr>
                <w:rFonts w:ascii="Times New Roman" w:hAnsi="Times New Roman"/>
                <w:b w:val="0"/>
                <w:sz w:val="16"/>
              </w:rPr>
              <w:t>-0.0150</w:t>
            </w:r>
          </w:p>
        </w:tc>
        <w:tc>
          <w:tcPr>
            <w:tcW w:type="dxa" w:w="2074"/>
            <w:vAlign w:val="center"/>
          </w:tcPr>
          <w:p>
            <w:pPr>
              <w:spacing w:after="0"/>
            </w:pPr>
            <w:r/>
            <w:r>
              <w:rPr>
                <w:rFonts w:ascii="Times New Roman" w:hAnsi="Times New Roman"/>
                <w:b w:val="0"/>
                <w:sz w:val="16"/>
              </w:rPr>
              <w:t>3/10</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-0.0060</w:t>
            </w:r>
          </w:p>
        </w:tc>
        <w:tc>
          <w:tcPr>
            <w:tcW w:type="dxa" w:w="2074"/>
            <w:vAlign w:val="center"/>
          </w:tcPr>
          <w:p>
            <w:pPr>
              <w:spacing w:after="0"/>
            </w:pPr>
            <w:r/>
            <w:r>
              <w:rPr>
                <w:rFonts w:ascii="Times New Roman" w:hAnsi="Times New Roman"/>
                <w:b w:val="0"/>
                <w:sz w:val="16"/>
              </w:rPr>
              <w:t>-0.0329</w:t>
            </w:r>
          </w:p>
        </w:tc>
        <w:tc>
          <w:tcPr>
            <w:tcW w:type="dxa" w:w="2074"/>
            <w:vAlign w:val="center"/>
          </w:tcPr>
          <w:p>
            <w:pPr>
              <w:spacing w:after="0"/>
            </w:pPr>
            <w:r/>
            <w:r>
              <w:rPr>
                <w:rFonts w:ascii="Times New Roman" w:hAnsi="Times New Roman"/>
                <w:b w:val="0"/>
                <w:sz w:val="16"/>
              </w:rPr>
              <w:t>1/10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0.0728</w:t>
            </w:r>
          </w:p>
        </w:tc>
        <w:tc>
          <w:tcPr>
            <w:tcW w:type="dxa" w:w="2074"/>
            <w:vAlign w:val="center"/>
          </w:tcPr>
          <w:p>
            <w:pPr>
              <w:spacing w:after="0"/>
            </w:pPr>
            <w:r/>
            <w:r>
              <w:rPr>
                <w:rFonts w:ascii="Times New Roman" w:hAnsi="Times New Roman"/>
                <w:b w:val="0"/>
                <w:sz w:val="16"/>
              </w:rPr>
              <w:t>0.0803</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0.0701</w:t>
            </w:r>
          </w:p>
        </w:tc>
        <w:tc>
          <w:tcPr>
            <w:tcW w:type="dxa" w:w="2074"/>
            <w:vAlign w:val="center"/>
          </w:tcPr>
          <w:p>
            <w:pPr>
              <w:spacing w:after="0"/>
            </w:pPr>
            <w:r/>
            <w:r>
              <w:rPr>
                <w:rFonts w:ascii="Times New Roman" w:hAnsi="Times New Roman"/>
                <w:b w:val="0"/>
                <w:sz w:val="16"/>
              </w:rPr>
              <w:t>0.0821</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0.0812</w:t>
            </w:r>
          </w:p>
        </w:tc>
        <w:tc>
          <w:tcPr>
            <w:tcW w:type="dxa" w:w="2074"/>
            <w:vAlign w:val="center"/>
          </w:tcPr>
          <w:p>
            <w:pPr>
              <w:spacing w:after="0"/>
            </w:pPr>
            <w:r/>
            <w:r>
              <w:rPr>
                <w:rFonts w:ascii="Times New Roman" w:hAnsi="Times New Roman"/>
                <w:b w:val="0"/>
                <w:sz w:val="16"/>
              </w:rPr>
              <w:t>0.0856</w:t>
            </w:r>
          </w:p>
        </w:tc>
        <w:tc>
          <w:tcPr>
            <w:tcW w:type="dxa" w:w="2074"/>
            <w:vAlign w:val="center"/>
          </w:tcPr>
          <w:p>
            <w:pPr>
              <w:spacing w:after="0"/>
            </w:pPr>
            <w:r/>
            <w:r>
              <w:rPr>
                <w:rFonts w:ascii="Times New Roman" w:hAnsi="Times New Roman"/>
                <w:b w:val="0"/>
                <w:sz w:val="16"/>
              </w:rPr>
              <w:t>10/10</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0.0658</w:t>
            </w:r>
          </w:p>
        </w:tc>
        <w:tc>
          <w:tcPr>
            <w:tcW w:type="dxa" w:w="2074"/>
            <w:vAlign w:val="center"/>
          </w:tcPr>
          <w:p>
            <w:pPr>
              <w:spacing w:after="0"/>
            </w:pPr>
            <w:r/>
            <w:r>
              <w:rPr>
                <w:rFonts w:ascii="Times New Roman" w:hAnsi="Times New Roman"/>
                <w:b w:val="0"/>
                <w:sz w:val="16"/>
              </w:rPr>
              <w:t>0.0742</w:t>
            </w:r>
          </w:p>
        </w:tc>
        <w:tc>
          <w:tcPr>
            <w:tcW w:type="dxa" w:w="2074"/>
            <w:vAlign w:val="center"/>
          </w:tcPr>
          <w:p>
            <w:pPr>
              <w:spacing w:after="0"/>
            </w:pPr>
            <w:r/>
            <w:r>
              <w:rPr>
                <w:rFonts w:ascii="Times New Roman" w:hAnsi="Times New Roman"/>
                <w:b w:val="0"/>
                <w:sz w:val="16"/>
              </w:rPr>
              <w:t>10/10</w:t>
            </w:r>
          </w:p>
        </w:tc>
      </w:tr>
    </w:tbl>
    <w:p/>
    <w:p>
      <w:r>
        <w:t>Source file: `sensitivity/complementary_group_sensitivity_summary.csv` and `sensitivity/complementary_group_sensitivity_per_seed.csv`.</w:t>
      </w:r>
    </w:p>
    <w:p>
      <w:r>
        <w:t>Table S2. Association between clean baseline focus-group recall and FMG at 20% MCAR, calculated separately for each dataset-model pair across ten repeated splits. Spearman coefficients are descriptive and are not interpreted as explanatory or causal.</w:t>
      </w:r>
    </w:p>
    <w:p>
      <w:pPr>
        <w:pStyle w:val="Heading2"/>
      </w:pPr>
      <w:r>
        <w:t>Table S2. Baseline-recall association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r>
              <w:rPr>
                <w:rFonts w:ascii="Times New Roman" w:hAnsi="Times New Roman"/>
                <w:b/>
                <w:sz w:val="16"/>
              </w:rPr>
              <w:t>Dataset</w:t>
            </w:r>
          </w:p>
        </w:tc>
        <w:tc>
          <w:tcPr>
            <w:tcW w:type="dxa" w:w="2074"/>
            <w:vAlign w:val="center"/>
            <w:shd w:fill="DCEEF4"/>
          </w:tcPr>
          <w:p>
            <w:pPr>
              <w:spacing w:after="0"/>
            </w:pPr>
            <w:r/>
            <w:r>
              <w:rPr>
                <w:rFonts w:ascii="Times New Roman" w:hAnsi="Times New Roman"/>
                <w:b/>
                <w:sz w:val="16"/>
              </w:rPr>
              <w:t>Model</w:t>
            </w:r>
          </w:p>
        </w:tc>
        <w:tc>
          <w:tcPr>
            <w:tcW w:type="dxa" w:w="2074"/>
            <w:vAlign w:val="center"/>
            <w:shd w:fill="DCEEF4"/>
          </w:tcPr>
          <w:p>
            <w:pPr>
              <w:spacing w:after="0"/>
            </w:pPr>
            <w:r/>
            <w:r>
              <w:rPr>
                <w:rFonts w:ascii="Times New Roman" w:hAnsi="Times New Roman"/>
                <w:b/>
                <w:sz w:val="16"/>
              </w:rPr>
              <w:t>Split pairs</w:t>
            </w:r>
          </w:p>
        </w:tc>
        <w:tc>
          <w:tcPr>
            <w:tcW w:type="dxa" w:w="2074"/>
            <w:vAlign w:val="center"/>
            <w:shd w:fill="DCEEF4"/>
          </w:tcPr>
          <w:p>
            <w:pPr>
              <w:spacing w:after="0"/>
            </w:pPr>
            <w:r/>
            <w:r>
              <w:rPr>
                <w:rFonts w:ascii="Times New Roman" w:hAnsi="Times New Roman"/>
                <w:b/>
                <w:sz w:val="16"/>
              </w:rPr>
              <w:t>Baseline recall range</w:t>
            </w:r>
          </w:p>
        </w:tc>
        <w:tc>
          <w:tcPr>
            <w:tcW w:type="dxa" w:w="2074"/>
            <w:vAlign w:val="center"/>
            <w:shd w:fill="DCEEF4"/>
          </w:tcPr>
          <w:p>
            <w:pPr>
              <w:spacing w:after="0"/>
            </w:pPr>
            <w:r/>
            <w:r>
              <w:rPr>
                <w:rFonts w:ascii="Times New Roman" w:hAnsi="Times New Roman"/>
                <w:b/>
                <w:sz w:val="16"/>
              </w:rPr>
              <w:t>Spearman rho</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0.5424–0.6369</w:t>
            </w:r>
          </w:p>
        </w:tc>
        <w:tc>
          <w:tcPr>
            <w:tcW w:type="dxa" w:w="2074"/>
            <w:vAlign w:val="center"/>
          </w:tcPr>
          <w:p>
            <w:pPr>
              <w:spacing w:after="0"/>
            </w:pPr>
            <w:r/>
            <w:r>
              <w:rPr>
                <w:rFonts w:ascii="Times New Roman" w:hAnsi="Times New Roman"/>
                <w:b w:val="0"/>
                <w:sz w:val="16"/>
              </w:rPr>
              <w:t>0.673</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0.2973–0.4940</w:t>
            </w:r>
          </w:p>
        </w:tc>
        <w:tc>
          <w:tcPr>
            <w:tcW w:type="dxa" w:w="2074"/>
            <w:vAlign w:val="center"/>
          </w:tcPr>
          <w:p>
            <w:pPr>
              <w:spacing w:after="0"/>
            </w:pPr>
            <w:r/>
            <w:r>
              <w:rPr>
                <w:rFonts w:ascii="Times New Roman" w:hAnsi="Times New Roman"/>
                <w:b w:val="0"/>
                <w:sz w:val="16"/>
              </w:rPr>
              <w:t>0.515</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0.5108–0.5978</w:t>
            </w:r>
          </w:p>
        </w:tc>
        <w:tc>
          <w:tcPr>
            <w:tcW w:type="dxa" w:w="2074"/>
            <w:vAlign w:val="center"/>
          </w:tcPr>
          <w:p>
            <w:pPr>
              <w:spacing w:after="0"/>
            </w:pPr>
            <w:r/>
            <w:r>
              <w:rPr>
                <w:rFonts w:ascii="Times New Roman" w:hAnsi="Times New Roman"/>
                <w:b w:val="0"/>
                <w:sz w:val="16"/>
              </w:rPr>
              <w:t>-0.042</w:t>
            </w:r>
          </w:p>
        </w:tc>
      </w:tr>
      <w:tr>
        <w:tc>
          <w:tcPr>
            <w:tcW w:type="dxa" w:w="2074"/>
            <w:vAlign w:val="center"/>
          </w:tcPr>
          <w:p>
            <w:pPr>
              <w:spacing w:after="0"/>
            </w:pPr>
            <w:r/>
            <w:r>
              <w:rPr>
                <w:rFonts w:ascii="Times New Roman" w:hAnsi="Times New Roman"/>
                <w:b w:val="0"/>
                <w:sz w:val="16"/>
              </w:rPr>
              <w:t>Adult Income</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0.5621–0.6544</w:t>
            </w:r>
          </w:p>
        </w:tc>
        <w:tc>
          <w:tcPr>
            <w:tcW w:type="dxa" w:w="2074"/>
            <w:vAlign w:val="center"/>
          </w:tcPr>
          <w:p>
            <w:pPr>
              <w:spacing w:after="0"/>
            </w:pPr>
            <w:r/>
            <w:r>
              <w:rPr>
                <w:rFonts w:ascii="Times New Roman" w:hAnsi="Times New Roman"/>
                <w:b w:val="0"/>
                <w:sz w:val="16"/>
              </w:rPr>
              <w:t>0.358</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0.6703–0.7173</w:t>
            </w:r>
          </w:p>
        </w:tc>
        <w:tc>
          <w:tcPr>
            <w:tcW w:type="dxa" w:w="2074"/>
            <w:vAlign w:val="center"/>
          </w:tcPr>
          <w:p>
            <w:pPr>
              <w:spacing w:after="0"/>
            </w:pPr>
            <w:r/>
            <w:r>
              <w:rPr>
                <w:rFonts w:ascii="Times New Roman" w:hAnsi="Times New Roman"/>
                <w:b w:val="0"/>
                <w:sz w:val="16"/>
              </w:rPr>
              <w:t>0.333</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0.6417–0.7962</w:t>
            </w:r>
          </w:p>
        </w:tc>
        <w:tc>
          <w:tcPr>
            <w:tcW w:type="dxa" w:w="2074"/>
            <w:vAlign w:val="center"/>
          </w:tcPr>
          <w:p>
            <w:pPr>
              <w:spacing w:after="0"/>
            </w:pPr>
            <w:r/>
            <w:r>
              <w:rPr>
                <w:rFonts w:ascii="Times New Roman" w:hAnsi="Times New Roman"/>
                <w:b w:val="0"/>
                <w:sz w:val="16"/>
              </w:rPr>
              <w:t>-0.394</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0.6340–0.7062</w:t>
            </w:r>
          </w:p>
        </w:tc>
        <w:tc>
          <w:tcPr>
            <w:tcW w:type="dxa" w:w="2074"/>
            <w:vAlign w:val="center"/>
          </w:tcPr>
          <w:p>
            <w:pPr>
              <w:spacing w:after="0"/>
            </w:pPr>
            <w:r/>
            <w:r>
              <w:rPr>
                <w:rFonts w:ascii="Times New Roman" w:hAnsi="Times New Roman"/>
                <w:b w:val="0"/>
                <w:sz w:val="16"/>
              </w:rPr>
              <w:t>0.188</w:t>
            </w:r>
          </w:p>
        </w:tc>
      </w:tr>
      <w:tr>
        <w:tc>
          <w:tcPr>
            <w:tcW w:type="dxa" w:w="2074"/>
            <w:vAlign w:val="center"/>
          </w:tcPr>
          <w:p>
            <w:pPr>
              <w:spacing w:after="0"/>
            </w:pPr>
            <w:r/>
            <w:r>
              <w:rPr>
                <w:rFonts w:ascii="Times New Roman" w:hAnsi="Times New Roman"/>
                <w:b w:val="0"/>
                <w:sz w:val="16"/>
              </w:rPr>
              <w:t>COMPAS</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0.6612–0.7261</w:t>
            </w:r>
          </w:p>
        </w:tc>
        <w:tc>
          <w:tcPr>
            <w:tcW w:type="dxa" w:w="2074"/>
            <w:vAlign w:val="center"/>
          </w:tcPr>
          <w:p>
            <w:pPr>
              <w:spacing w:after="0"/>
            </w:pPr>
            <w:r/>
            <w:r>
              <w:rPr>
                <w:rFonts w:ascii="Times New Roman" w:hAnsi="Times New Roman"/>
                <w:b w:val="0"/>
                <w:sz w:val="16"/>
              </w:rPr>
              <w:t>0.576</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LGB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0.3330–0.3752</w:t>
            </w:r>
          </w:p>
        </w:tc>
        <w:tc>
          <w:tcPr>
            <w:tcW w:type="dxa" w:w="2074"/>
            <w:vAlign w:val="center"/>
          </w:tcPr>
          <w:p>
            <w:pPr>
              <w:spacing w:after="0"/>
            </w:pPr>
            <w:r/>
            <w:r>
              <w:rPr>
                <w:rFonts w:ascii="Times New Roman" w:hAnsi="Times New Roman"/>
                <w:b w:val="0"/>
                <w:sz w:val="16"/>
              </w:rPr>
              <w:t>-0.079</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MLP</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0.3339–0.4112</w:t>
            </w:r>
          </w:p>
        </w:tc>
        <w:tc>
          <w:tcPr>
            <w:tcW w:type="dxa" w:w="2074"/>
            <w:vAlign w:val="center"/>
          </w:tcPr>
          <w:p>
            <w:pPr>
              <w:spacing w:after="0"/>
            </w:pPr>
            <w:r/>
            <w:r>
              <w:rPr>
                <w:rFonts w:ascii="Times New Roman" w:hAnsi="Times New Roman"/>
                <w:b w:val="0"/>
                <w:sz w:val="16"/>
              </w:rPr>
              <w:t>0.576</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RF</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0.3410–0.3770</w:t>
            </w:r>
          </w:p>
        </w:tc>
        <w:tc>
          <w:tcPr>
            <w:tcW w:type="dxa" w:w="2074"/>
            <w:vAlign w:val="center"/>
          </w:tcPr>
          <w:p>
            <w:pPr>
              <w:spacing w:after="0"/>
            </w:pPr>
            <w:r/>
            <w:r>
              <w:rPr>
                <w:rFonts w:ascii="Times New Roman" w:hAnsi="Times New Roman"/>
                <w:b w:val="0"/>
                <w:sz w:val="16"/>
              </w:rPr>
              <w:t>0.345</w:t>
            </w:r>
          </w:p>
        </w:tc>
      </w:tr>
      <w:tr>
        <w:tc>
          <w:tcPr>
            <w:tcW w:type="dxa" w:w="2074"/>
            <w:vAlign w:val="center"/>
          </w:tcPr>
          <w:p>
            <w:pPr>
              <w:spacing w:after="0"/>
            </w:pPr>
            <w:r/>
            <w:r>
              <w:rPr>
                <w:rFonts w:ascii="Times New Roman" w:hAnsi="Times New Roman"/>
                <w:b w:val="0"/>
                <w:sz w:val="16"/>
              </w:rPr>
              <w:t>Taiwan Credit</w:t>
            </w:r>
          </w:p>
        </w:tc>
        <w:tc>
          <w:tcPr>
            <w:tcW w:type="dxa" w:w="2074"/>
            <w:vAlign w:val="center"/>
          </w:tcPr>
          <w:p>
            <w:pPr>
              <w:spacing w:after="0"/>
            </w:pPr>
            <w:r/>
            <w:r>
              <w:rPr>
                <w:rFonts w:ascii="Times New Roman" w:hAnsi="Times New Roman"/>
                <w:b w:val="0"/>
                <w:sz w:val="16"/>
              </w:rPr>
              <w:t>XGB</w:t>
            </w:r>
          </w:p>
        </w:tc>
        <w:tc>
          <w:tcPr>
            <w:tcW w:type="dxa" w:w="2074"/>
            <w:vAlign w:val="center"/>
          </w:tcPr>
          <w:p>
            <w:pPr>
              <w:spacing w:after="0"/>
            </w:pPr>
            <w:r/>
            <w:r>
              <w:rPr>
                <w:rFonts w:ascii="Times New Roman" w:hAnsi="Times New Roman"/>
                <w:b w:val="0"/>
                <w:sz w:val="16"/>
              </w:rPr>
              <w:t>10</w:t>
            </w:r>
          </w:p>
        </w:tc>
        <w:tc>
          <w:tcPr>
            <w:tcW w:type="dxa" w:w="2074"/>
            <w:vAlign w:val="center"/>
          </w:tcPr>
          <w:p>
            <w:pPr>
              <w:spacing w:after="0"/>
            </w:pPr>
            <w:r/>
            <w:r>
              <w:rPr>
                <w:rFonts w:ascii="Times New Roman" w:hAnsi="Times New Roman"/>
                <w:b w:val="0"/>
                <w:sz w:val="16"/>
              </w:rPr>
              <w:t>0.3316–0.3709</w:t>
            </w:r>
          </w:p>
        </w:tc>
        <w:tc>
          <w:tcPr>
            <w:tcW w:type="dxa" w:w="2074"/>
            <w:vAlign w:val="center"/>
          </w:tcPr>
          <w:p>
            <w:pPr>
              <w:spacing w:after="0"/>
            </w:pPr>
            <w:r/>
            <w:r>
              <w:rPr>
                <w:rFonts w:ascii="Times New Roman" w:hAnsi="Times New Roman"/>
                <w:b w:val="0"/>
                <w:sz w:val="16"/>
              </w:rPr>
              <w:t>-0.285</w:t>
            </w:r>
          </w:p>
        </w:tc>
      </w:tr>
    </w:tbl>
    <w:p/>
    <w:p>
      <w:r>
        <w:t>Source file: `sensitivity/baseline_recall_sensitivity_summary.csv` and `sensitivity/baseline_recall_sensitivity_per_seed.csv`.</w:t>
      </w:r>
    </w:p>
    <w:p>
      <w:r>
        <w:t>Table S3. Group-conditional MAR versus MCAR. The mechanism conditions cell-masking probabilities on the prespecified audit group. Means and positive-split counts describe the stated constructed mechanism only.</w:t>
      </w:r>
    </w:p>
    <w:p>
      <w:pPr>
        <w:pStyle w:val="Heading2"/>
      </w:pPr>
      <w:r>
        <w:t>Table S3. Group-conditional MAR summaries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CEEF4"/>
          </w:tcPr>
          <w:p>
            <w:pPr>
              <w:spacing w:after="0"/>
            </w:pPr>
            <w:r/>
            <w:r>
              <w:rPr>
                <w:rFonts w:ascii="Times New Roman" w:hAnsi="Times New Roman"/>
                <w:b/>
                <w:sz w:val="16"/>
              </w:rPr>
              <w:t>Dataset</w:t>
            </w:r>
          </w:p>
        </w:tc>
        <w:tc>
          <w:tcPr>
            <w:tcW w:type="dxa" w:w="1481"/>
            <w:vAlign w:val="center"/>
            <w:shd w:fill="DCEEF4"/>
          </w:tcPr>
          <w:p>
            <w:pPr>
              <w:spacing w:after="0"/>
            </w:pPr>
            <w:r/>
            <w:r>
              <w:rPr>
                <w:rFonts w:ascii="Times New Roman" w:hAnsi="Times New Roman"/>
                <w:b/>
                <w:sz w:val="16"/>
              </w:rPr>
              <w:t>Model</w:t>
            </w:r>
          </w:p>
        </w:tc>
        <w:tc>
          <w:tcPr>
            <w:tcW w:type="dxa" w:w="1481"/>
            <w:vAlign w:val="center"/>
            <w:shd w:fill="DCEEF4"/>
          </w:tcPr>
          <w:p>
            <w:pPr>
              <w:spacing w:after="0"/>
            </w:pPr>
            <w:r/>
            <w:r>
              <w:rPr>
                <w:rFonts w:ascii="Times New Roman" w:hAnsi="Times New Roman"/>
                <w:b/>
                <w:sz w:val="16"/>
              </w:rPr>
              <w:t>Rate</w:t>
            </w:r>
          </w:p>
        </w:tc>
        <w:tc>
          <w:tcPr>
            <w:tcW w:type="dxa" w:w="1481"/>
            <w:vAlign w:val="center"/>
            <w:shd w:fill="DCEEF4"/>
          </w:tcPr>
          <w:p>
            <w:pPr>
              <w:spacing w:after="0"/>
            </w:pPr>
            <w:r/>
            <w:r>
              <w:rPr>
                <w:rFonts w:ascii="Times New Roman" w:hAnsi="Times New Roman"/>
                <w:b/>
                <w:sz w:val="16"/>
              </w:rPr>
              <w:t>Mean MCAR FMG</w:t>
            </w:r>
          </w:p>
        </w:tc>
        <w:tc>
          <w:tcPr>
            <w:tcW w:type="dxa" w:w="1481"/>
            <w:vAlign w:val="center"/>
            <w:shd w:fill="DCEEF4"/>
          </w:tcPr>
          <w:p>
            <w:pPr>
              <w:spacing w:after="0"/>
            </w:pPr>
            <w:r/>
            <w:r>
              <w:rPr>
                <w:rFonts w:ascii="Times New Roman" w:hAnsi="Times New Roman"/>
                <w:b/>
                <w:sz w:val="16"/>
              </w:rPr>
              <w:t>Mean MAR FMG</w:t>
            </w:r>
          </w:p>
        </w:tc>
        <w:tc>
          <w:tcPr>
            <w:tcW w:type="dxa" w:w="1481"/>
            <w:vAlign w:val="center"/>
            <w:shd w:fill="DCEEF4"/>
          </w:tcPr>
          <w:p>
            <w:pPr>
              <w:spacing w:after="0"/>
            </w:pPr>
            <w:r/>
            <w:r>
              <w:rPr>
                <w:rFonts w:ascii="Times New Roman" w:hAnsi="Times New Roman"/>
                <w:b/>
                <w:sz w:val="16"/>
              </w:rPr>
              <w:t>Mean difference</w:t>
            </w:r>
          </w:p>
        </w:tc>
        <w:tc>
          <w:tcPr>
            <w:tcW w:type="dxa" w:w="1481"/>
            <w:vAlign w:val="center"/>
            <w:shd w:fill="DCEEF4"/>
          </w:tcPr>
          <w:p>
            <w:pPr>
              <w:spacing w:after="0"/>
            </w:pPr>
            <w:r/>
            <w:r>
              <w:rPr>
                <w:rFonts w:ascii="Times New Roman" w:hAnsi="Times New Roman"/>
                <w:b/>
                <w:sz w:val="16"/>
              </w:rPr>
              <w:t>Positive splits</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0.0468</w:t>
            </w:r>
          </w:p>
        </w:tc>
        <w:tc>
          <w:tcPr>
            <w:tcW w:type="dxa" w:w="1481"/>
            <w:vAlign w:val="center"/>
          </w:tcPr>
          <w:p>
            <w:pPr>
              <w:spacing w:after="0"/>
            </w:pPr>
            <w:r/>
            <w:r>
              <w:rPr>
                <w:rFonts w:ascii="Times New Roman" w:hAnsi="Times New Roman"/>
                <w:b w:val="0"/>
                <w:sz w:val="16"/>
              </w:rPr>
              <w:t>0.0710</w:t>
            </w:r>
          </w:p>
        </w:tc>
        <w:tc>
          <w:tcPr>
            <w:tcW w:type="dxa" w:w="1481"/>
            <w:vAlign w:val="center"/>
          </w:tcPr>
          <w:p>
            <w:pPr>
              <w:spacing w:after="0"/>
            </w:pPr>
            <w:r/>
            <w:r>
              <w:rPr>
                <w:rFonts w:ascii="Times New Roman" w:hAnsi="Times New Roman"/>
                <w:b w:val="0"/>
                <w:sz w:val="16"/>
              </w:rPr>
              <w:t>0.0242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0.0953</w:t>
            </w:r>
          </w:p>
        </w:tc>
        <w:tc>
          <w:tcPr>
            <w:tcW w:type="dxa" w:w="1481"/>
            <w:vAlign w:val="center"/>
          </w:tcPr>
          <w:p>
            <w:pPr>
              <w:spacing w:after="0"/>
            </w:pPr>
            <w:r/>
            <w:r>
              <w:rPr>
                <w:rFonts w:ascii="Times New Roman" w:hAnsi="Times New Roman"/>
                <w:b w:val="0"/>
                <w:sz w:val="16"/>
              </w:rPr>
              <w:t>0.1435</w:t>
            </w:r>
          </w:p>
        </w:tc>
        <w:tc>
          <w:tcPr>
            <w:tcW w:type="dxa" w:w="1481"/>
            <w:vAlign w:val="center"/>
          </w:tcPr>
          <w:p>
            <w:pPr>
              <w:spacing w:after="0"/>
            </w:pPr>
            <w:r/>
            <w:r>
              <w:rPr>
                <w:rFonts w:ascii="Times New Roman" w:hAnsi="Times New Roman"/>
                <w:b w:val="0"/>
                <w:sz w:val="16"/>
              </w:rPr>
              <w:t>0.0482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0.0128</w:t>
            </w:r>
          </w:p>
        </w:tc>
        <w:tc>
          <w:tcPr>
            <w:tcW w:type="dxa" w:w="1481"/>
            <w:vAlign w:val="center"/>
          </w:tcPr>
          <w:p>
            <w:pPr>
              <w:spacing w:after="0"/>
            </w:pPr>
            <w:r/>
            <w:r>
              <w:rPr>
                <w:rFonts w:ascii="Times New Roman" w:hAnsi="Times New Roman"/>
                <w:b w:val="0"/>
                <w:sz w:val="16"/>
              </w:rPr>
              <w:t>0.0251</w:t>
            </w:r>
          </w:p>
        </w:tc>
        <w:tc>
          <w:tcPr>
            <w:tcW w:type="dxa" w:w="1481"/>
            <w:vAlign w:val="center"/>
          </w:tcPr>
          <w:p>
            <w:pPr>
              <w:spacing w:after="0"/>
            </w:pPr>
            <w:r/>
            <w:r>
              <w:rPr>
                <w:rFonts w:ascii="Times New Roman" w:hAnsi="Times New Roman"/>
                <w:b w:val="0"/>
                <w:sz w:val="16"/>
              </w:rPr>
              <w:t>0.0124</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0.0383</w:t>
            </w:r>
          </w:p>
        </w:tc>
        <w:tc>
          <w:tcPr>
            <w:tcW w:type="dxa" w:w="1481"/>
            <w:vAlign w:val="center"/>
          </w:tcPr>
          <w:p>
            <w:pPr>
              <w:spacing w:after="0"/>
            </w:pPr>
            <w:r/>
            <w:r>
              <w:rPr>
                <w:rFonts w:ascii="Times New Roman" w:hAnsi="Times New Roman"/>
                <w:b w:val="0"/>
                <w:sz w:val="16"/>
              </w:rPr>
              <w:t>0.0577</w:t>
            </w:r>
          </w:p>
        </w:tc>
        <w:tc>
          <w:tcPr>
            <w:tcW w:type="dxa" w:w="1481"/>
            <w:vAlign w:val="center"/>
          </w:tcPr>
          <w:p>
            <w:pPr>
              <w:spacing w:after="0"/>
            </w:pPr>
            <w:r/>
            <w:r>
              <w:rPr>
                <w:rFonts w:ascii="Times New Roman" w:hAnsi="Times New Roman"/>
                <w:b w:val="0"/>
                <w:sz w:val="16"/>
              </w:rPr>
              <w:t>0.0194</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0.0379</w:t>
            </w:r>
          </w:p>
        </w:tc>
        <w:tc>
          <w:tcPr>
            <w:tcW w:type="dxa" w:w="1481"/>
            <w:vAlign w:val="center"/>
          </w:tcPr>
          <w:p>
            <w:pPr>
              <w:spacing w:after="0"/>
            </w:pPr>
            <w:r/>
            <w:r>
              <w:rPr>
                <w:rFonts w:ascii="Times New Roman" w:hAnsi="Times New Roman"/>
                <w:b w:val="0"/>
                <w:sz w:val="16"/>
              </w:rPr>
              <w:t>0.0621</w:t>
            </w:r>
          </w:p>
        </w:tc>
        <w:tc>
          <w:tcPr>
            <w:tcW w:type="dxa" w:w="1481"/>
            <w:vAlign w:val="center"/>
          </w:tcPr>
          <w:p>
            <w:pPr>
              <w:spacing w:after="0"/>
            </w:pPr>
            <w:r/>
            <w:r>
              <w:rPr>
                <w:rFonts w:ascii="Times New Roman" w:hAnsi="Times New Roman"/>
                <w:b w:val="0"/>
                <w:sz w:val="16"/>
              </w:rPr>
              <w:t>0.0243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0.0907</w:t>
            </w:r>
          </w:p>
        </w:tc>
        <w:tc>
          <w:tcPr>
            <w:tcW w:type="dxa" w:w="1481"/>
            <w:vAlign w:val="center"/>
          </w:tcPr>
          <w:p>
            <w:pPr>
              <w:spacing w:after="0"/>
            </w:pPr>
            <w:r/>
            <w:r>
              <w:rPr>
                <w:rFonts w:ascii="Times New Roman" w:hAnsi="Times New Roman"/>
                <w:b w:val="0"/>
                <w:sz w:val="16"/>
              </w:rPr>
              <w:t>0.1334</w:t>
            </w:r>
          </w:p>
        </w:tc>
        <w:tc>
          <w:tcPr>
            <w:tcW w:type="dxa" w:w="1481"/>
            <w:vAlign w:val="center"/>
          </w:tcPr>
          <w:p>
            <w:pPr>
              <w:spacing w:after="0"/>
            </w:pPr>
            <w:r/>
            <w:r>
              <w:rPr>
                <w:rFonts w:ascii="Times New Roman" w:hAnsi="Times New Roman"/>
                <w:b w:val="0"/>
                <w:sz w:val="16"/>
              </w:rPr>
              <w:t>0.0426</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0.0443</w:t>
            </w:r>
          </w:p>
        </w:tc>
        <w:tc>
          <w:tcPr>
            <w:tcW w:type="dxa" w:w="1481"/>
            <w:vAlign w:val="center"/>
          </w:tcPr>
          <w:p>
            <w:pPr>
              <w:spacing w:after="0"/>
            </w:pPr>
            <w:r/>
            <w:r>
              <w:rPr>
                <w:rFonts w:ascii="Times New Roman" w:hAnsi="Times New Roman"/>
                <w:b w:val="0"/>
                <w:sz w:val="16"/>
              </w:rPr>
              <w:t>0.0718</w:t>
            </w:r>
          </w:p>
        </w:tc>
        <w:tc>
          <w:tcPr>
            <w:tcW w:type="dxa" w:w="1481"/>
            <w:vAlign w:val="center"/>
          </w:tcPr>
          <w:p>
            <w:pPr>
              <w:spacing w:after="0"/>
            </w:pPr>
            <w:r/>
            <w:r>
              <w:rPr>
                <w:rFonts w:ascii="Times New Roman" w:hAnsi="Times New Roman"/>
                <w:b w:val="0"/>
                <w:sz w:val="16"/>
              </w:rPr>
              <w:t>0.0275</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Adult Income</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0.0971</w:t>
            </w:r>
          </w:p>
        </w:tc>
        <w:tc>
          <w:tcPr>
            <w:tcW w:type="dxa" w:w="1481"/>
            <w:vAlign w:val="center"/>
          </w:tcPr>
          <w:p>
            <w:pPr>
              <w:spacing w:after="0"/>
            </w:pPr>
            <w:r/>
            <w:r>
              <w:rPr>
                <w:rFonts w:ascii="Times New Roman" w:hAnsi="Times New Roman"/>
                <w:b w:val="0"/>
                <w:sz w:val="16"/>
              </w:rPr>
              <w:t>0.1370</w:t>
            </w:r>
          </w:p>
        </w:tc>
        <w:tc>
          <w:tcPr>
            <w:tcW w:type="dxa" w:w="1481"/>
            <w:vAlign w:val="center"/>
          </w:tcPr>
          <w:p>
            <w:pPr>
              <w:spacing w:after="0"/>
            </w:pPr>
            <w:r/>
            <w:r>
              <w:rPr>
                <w:rFonts w:ascii="Times New Roman" w:hAnsi="Times New Roman"/>
                <w:b w:val="0"/>
                <w:sz w:val="16"/>
              </w:rPr>
              <w:t>0.0399</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0.0031</w:t>
            </w:r>
          </w:p>
        </w:tc>
        <w:tc>
          <w:tcPr>
            <w:tcW w:type="dxa" w:w="1481"/>
            <w:vAlign w:val="center"/>
          </w:tcPr>
          <w:p>
            <w:pPr>
              <w:spacing w:after="0"/>
            </w:pPr>
            <w:r/>
            <w:r>
              <w:rPr>
                <w:rFonts w:ascii="Times New Roman" w:hAnsi="Times New Roman"/>
                <w:b w:val="0"/>
                <w:sz w:val="16"/>
              </w:rPr>
              <w:t>0.0059</w:t>
            </w:r>
          </w:p>
        </w:tc>
        <w:tc>
          <w:tcPr>
            <w:tcW w:type="dxa" w:w="1481"/>
            <w:vAlign w:val="center"/>
          </w:tcPr>
          <w:p>
            <w:pPr>
              <w:spacing w:after="0"/>
            </w:pPr>
            <w:r/>
            <w:r>
              <w:rPr>
                <w:rFonts w:ascii="Times New Roman" w:hAnsi="Times New Roman"/>
                <w:b w:val="0"/>
                <w:sz w:val="16"/>
              </w:rPr>
              <w:t>0.0028</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0.0010</w:t>
            </w:r>
          </w:p>
        </w:tc>
        <w:tc>
          <w:tcPr>
            <w:tcW w:type="dxa" w:w="1481"/>
            <w:vAlign w:val="center"/>
          </w:tcPr>
          <w:p>
            <w:pPr>
              <w:spacing w:after="0"/>
            </w:pPr>
            <w:r/>
            <w:r>
              <w:rPr>
                <w:rFonts w:ascii="Times New Roman" w:hAnsi="Times New Roman"/>
                <w:b w:val="0"/>
                <w:sz w:val="16"/>
              </w:rPr>
              <w:t>0.0026</w:t>
            </w:r>
          </w:p>
        </w:tc>
        <w:tc>
          <w:tcPr>
            <w:tcW w:type="dxa" w:w="1481"/>
            <w:vAlign w:val="center"/>
          </w:tcPr>
          <w:p>
            <w:pPr>
              <w:spacing w:after="0"/>
            </w:pPr>
            <w:r/>
            <w:r>
              <w:rPr>
                <w:rFonts w:ascii="Times New Roman" w:hAnsi="Times New Roman"/>
                <w:b w:val="0"/>
                <w:sz w:val="16"/>
              </w:rPr>
              <w:t>0.0016</w:t>
            </w:r>
          </w:p>
        </w:tc>
        <w:tc>
          <w:tcPr>
            <w:tcW w:type="dxa" w:w="1481"/>
            <w:vAlign w:val="center"/>
          </w:tcPr>
          <w:p>
            <w:pPr>
              <w:spacing w:after="0"/>
            </w:pPr>
            <w:r/>
            <w:r>
              <w:rPr>
                <w:rFonts w:ascii="Times New Roman" w:hAnsi="Times New Roman"/>
                <w:b w:val="0"/>
                <w:sz w:val="16"/>
              </w:rPr>
              <w:t>4/10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0.0163</w:t>
            </w:r>
          </w:p>
        </w:tc>
        <w:tc>
          <w:tcPr>
            <w:tcW w:type="dxa" w:w="1481"/>
            <w:vAlign w:val="center"/>
          </w:tcPr>
          <w:p>
            <w:pPr>
              <w:spacing w:after="0"/>
            </w:pPr>
            <w:r/>
            <w:r>
              <w:rPr>
                <w:rFonts w:ascii="Times New Roman" w:hAnsi="Times New Roman"/>
                <w:b w:val="0"/>
                <w:sz w:val="16"/>
              </w:rPr>
              <w:t>0.0209</w:t>
            </w:r>
          </w:p>
        </w:tc>
        <w:tc>
          <w:tcPr>
            <w:tcW w:type="dxa" w:w="1481"/>
            <w:vAlign w:val="center"/>
          </w:tcPr>
          <w:p>
            <w:pPr>
              <w:spacing w:after="0"/>
            </w:pPr>
            <w:r/>
            <w:r>
              <w:rPr>
                <w:rFonts w:ascii="Times New Roman" w:hAnsi="Times New Roman"/>
                <w:b w:val="0"/>
                <w:sz w:val="16"/>
              </w:rPr>
              <w:t>0.0046</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0.0293</w:t>
            </w:r>
          </w:p>
        </w:tc>
        <w:tc>
          <w:tcPr>
            <w:tcW w:type="dxa" w:w="1481"/>
            <w:vAlign w:val="center"/>
          </w:tcPr>
          <w:p>
            <w:pPr>
              <w:spacing w:after="0"/>
            </w:pPr>
            <w:r/>
            <w:r>
              <w:rPr>
                <w:rFonts w:ascii="Times New Roman" w:hAnsi="Times New Roman"/>
                <w:b w:val="0"/>
                <w:sz w:val="16"/>
              </w:rPr>
              <w:t>0.0393</w:t>
            </w:r>
          </w:p>
        </w:tc>
        <w:tc>
          <w:tcPr>
            <w:tcW w:type="dxa" w:w="1481"/>
            <w:vAlign w:val="center"/>
          </w:tcPr>
          <w:p>
            <w:pPr>
              <w:spacing w:after="0"/>
            </w:pPr>
            <w:r/>
            <w:r>
              <w:rPr>
                <w:rFonts w:ascii="Times New Roman" w:hAnsi="Times New Roman"/>
                <w:b w:val="0"/>
                <w:sz w:val="16"/>
              </w:rPr>
              <w:t>0.0100</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0.0016</w:t>
            </w:r>
          </w:p>
        </w:tc>
        <w:tc>
          <w:tcPr>
            <w:tcW w:type="dxa" w:w="1481"/>
            <w:vAlign w:val="center"/>
          </w:tcPr>
          <w:p>
            <w:pPr>
              <w:spacing w:after="0"/>
            </w:pPr>
            <w:r/>
            <w:r>
              <w:rPr>
                <w:rFonts w:ascii="Times New Roman" w:hAnsi="Times New Roman"/>
                <w:b w:val="0"/>
                <w:sz w:val="16"/>
              </w:rPr>
              <w:t>0.0048</w:t>
            </w:r>
          </w:p>
        </w:tc>
        <w:tc>
          <w:tcPr>
            <w:tcW w:type="dxa" w:w="1481"/>
            <w:vAlign w:val="center"/>
          </w:tcPr>
          <w:p>
            <w:pPr>
              <w:spacing w:after="0"/>
            </w:pPr>
            <w:r/>
            <w:r>
              <w:rPr>
                <w:rFonts w:ascii="Times New Roman" w:hAnsi="Times New Roman"/>
                <w:b w:val="0"/>
                <w:sz w:val="16"/>
              </w:rPr>
              <w:t>0.0033</w:t>
            </w:r>
          </w:p>
        </w:tc>
        <w:tc>
          <w:tcPr>
            <w:tcW w:type="dxa" w:w="1481"/>
            <w:vAlign w:val="center"/>
          </w:tcPr>
          <w:p>
            <w:pPr>
              <w:spacing w:after="0"/>
            </w:pPr>
            <w:r/>
            <w:r>
              <w:rPr>
                <w:rFonts w:ascii="Times New Roman" w:hAnsi="Times New Roman"/>
                <w:b w:val="0"/>
                <w:sz w:val="16"/>
              </w:rPr>
              <w:t>8/10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0.0047</w:t>
            </w:r>
          </w:p>
        </w:tc>
        <w:tc>
          <w:tcPr>
            <w:tcW w:type="dxa" w:w="1481"/>
            <w:vAlign w:val="center"/>
          </w:tcPr>
          <w:p>
            <w:pPr>
              <w:spacing w:after="0"/>
            </w:pPr>
            <w:r/>
            <w:r>
              <w:rPr>
                <w:rFonts w:ascii="Times New Roman" w:hAnsi="Times New Roman"/>
                <w:b w:val="0"/>
                <w:sz w:val="16"/>
              </w:rPr>
              <w:t>0.0093</w:t>
            </w:r>
          </w:p>
        </w:tc>
        <w:tc>
          <w:tcPr>
            <w:tcW w:type="dxa" w:w="1481"/>
            <w:vAlign w:val="center"/>
          </w:tcPr>
          <w:p>
            <w:pPr>
              <w:spacing w:after="0"/>
            </w:pPr>
            <w:r/>
            <w:r>
              <w:rPr>
                <w:rFonts w:ascii="Times New Roman" w:hAnsi="Times New Roman"/>
                <w:b w:val="0"/>
                <w:sz w:val="16"/>
              </w:rPr>
              <w:t>0.0046</w:t>
            </w:r>
          </w:p>
        </w:tc>
        <w:tc>
          <w:tcPr>
            <w:tcW w:type="dxa" w:w="1481"/>
            <w:vAlign w:val="center"/>
          </w:tcPr>
          <w:p>
            <w:pPr>
              <w:spacing w:after="0"/>
            </w:pPr>
            <w:r/>
            <w:r>
              <w:rPr>
                <w:rFonts w:ascii="Times New Roman" w:hAnsi="Times New Roman"/>
                <w:b w:val="0"/>
                <w:sz w:val="16"/>
              </w:rPr>
              <w:t>7/10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-0.0012</w:t>
            </w:r>
          </w:p>
        </w:tc>
        <w:tc>
          <w:tcPr>
            <w:tcW w:type="dxa" w:w="1481"/>
            <w:vAlign w:val="center"/>
          </w:tcPr>
          <w:p>
            <w:pPr>
              <w:spacing w:after="0"/>
            </w:pPr>
            <w:r/>
            <w:r>
              <w:rPr>
                <w:rFonts w:ascii="Times New Roman" w:hAnsi="Times New Roman"/>
                <w:b w:val="0"/>
                <w:sz w:val="16"/>
              </w:rPr>
              <w:t>0.0025</w:t>
            </w:r>
          </w:p>
        </w:tc>
        <w:tc>
          <w:tcPr>
            <w:tcW w:type="dxa" w:w="1481"/>
            <w:vAlign w:val="center"/>
          </w:tcPr>
          <w:p>
            <w:pPr>
              <w:spacing w:after="0"/>
            </w:pPr>
            <w:r/>
            <w:r>
              <w:rPr>
                <w:rFonts w:ascii="Times New Roman" w:hAnsi="Times New Roman"/>
                <w:b w:val="0"/>
                <w:sz w:val="16"/>
              </w:rPr>
              <w:t>0.0037</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COMPAS</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-0.0060</w:t>
            </w:r>
          </w:p>
        </w:tc>
        <w:tc>
          <w:tcPr>
            <w:tcW w:type="dxa" w:w="1481"/>
            <w:vAlign w:val="center"/>
          </w:tcPr>
          <w:p>
            <w:pPr>
              <w:spacing w:after="0"/>
            </w:pPr>
            <w:r/>
            <w:r>
              <w:rPr>
                <w:rFonts w:ascii="Times New Roman" w:hAnsi="Times New Roman"/>
                <w:b w:val="0"/>
                <w:sz w:val="16"/>
              </w:rPr>
              <w:t>-0.0068</w:t>
            </w:r>
          </w:p>
        </w:tc>
        <w:tc>
          <w:tcPr>
            <w:tcW w:type="dxa" w:w="1481"/>
            <w:vAlign w:val="center"/>
          </w:tcPr>
          <w:p>
            <w:pPr>
              <w:spacing w:after="0"/>
            </w:pPr>
            <w:r/>
            <w:r>
              <w:rPr>
                <w:rFonts w:ascii="Times New Roman" w:hAnsi="Times New Roman"/>
                <w:b w:val="0"/>
                <w:sz w:val="16"/>
              </w:rPr>
              <w:t>-0.0007</w:t>
            </w:r>
          </w:p>
        </w:tc>
        <w:tc>
          <w:tcPr>
            <w:tcW w:type="dxa" w:w="1481"/>
            <w:vAlign w:val="center"/>
          </w:tcPr>
          <w:p>
            <w:pPr>
              <w:spacing w:after="0"/>
            </w:pPr>
            <w:r/>
            <w:r>
              <w:rPr>
                <w:rFonts w:ascii="Times New Roman" w:hAnsi="Times New Roman"/>
                <w:b w:val="0"/>
                <w:sz w:val="16"/>
              </w:rPr>
              <w:t>5/10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0.0374</w:t>
            </w:r>
          </w:p>
        </w:tc>
        <w:tc>
          <w:tcPr>
            <w:tcW w:type="dxa" w:w="1481"/>
            <w:vAlign w:val="center"/>
          </w:tcPr>
          <w:p>
            <w:pPr>
              <w:spacing w:after="0"/>
            </w:pPr>
            <w:r/>
            <w:r>
              <w:rPr>
                <w:rFonts w:ascii="Times New Roman" w:hAnsi="Times New Roman"/>
                <w:b w:val="0"/>
                <w:sz w:val="16"/>
              </w:rPr>
              <w:t>0.0456</w:t>
            </w:r>
          </w:p>
        </w:tc>
        <w:tc>
          <w:tcPr>
            <w:tcW w:type="dxa" w:w="1481"/>
            <w:vAlign w:val="center"/>
          </w:tcPr>
          <w:p>
            <w:pPr>
              <w:spacing w:after="0"/>
            </w:pPr>
            <w:r/>
            <w:r>
              <w:rPr>
                <w:rFonts w:ascii="Times New Roman" w:hAnsi="Times New Roman"/>
                <w:b w:val="0"/>
                <w:sz w:val="16"/>
              </w:rPr>
              <w:t>0.0082</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LGB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0.0728</w:t>
            </w:r>
          </w:p>
        </w:tc>
        <w:tc>
          <w:tcPr>
            <w:tcW w:type="dxa" w:w="1481"/>
            <w:vAlign w:val="center"/>
          </w:tcPr>
          <w:p>
            <w:pPr>
              <w:spacing w:after="0"/>
            </w:pPr>
            <w:r/>
            <w:r>
              <w:rPr>
                <w:rFonts w:ascii="Times New Roman" w:hAnsi="Times New Roman"/>
                <w:b w:val="0"/>
                <w:sz w:val="16"/>
              </w:rPr>
              <w:t>0.0913</w:t>
            </w:r>
          </w:p>
        </w:tc>
        <w:tc>
          <w:tcPr>
            <w:tcW w:type="dxa" w:w="1481"/>
            <w:vAlign w:val="center"/>
          </w:tcPr>
          <w:p>
            <w:pPr>
              <w:spacing w:after="0"/>
            </w:pPr>
            <w:r/>
            <w:r>
              <w:rPr>
                <w:rFonts w:ascii="Times New Roman" w:hAnsi="Times New Roman"/>
                <w:b w:val="0"/>
                <w:sz w:val="16"/>
              </w:rPr>
              <w:t>0.0186</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0.0357</w:t>
            </w:r>
          </w:p>
        </w:tc>
        <w:tc>
          <w:tcPr>
            <w:tcW w:type="dxa" w:w="1481"/>
            <w:vAlign w:val="center"/>
          </w:tcPr>
          <w:p>
            <w:pPr>
              <w:spacing w:after="0"/>
            </w:pPr>
            <w:r/>
            <w:r>
              <w:rPr>
                <w:rFonts w:ascii="Times New Roman" w:hAnsi="Times New Roman"/>
                <w:b w:val="0"/>
                <w:sz w:val="16"/>
              </w:rPr>
              <w:t>0.0441</w:t>
            </w:r>
          </w:p>
        </w:tc>
        <w:tc>
          <w:tcPr>
            <w:tcW w:type="dxa" w:w="1481"/>
            <w:vAlign w:val="center"/>
          </w:tcPr>
          <w:p>
            <w:pPr>
              <w:spacing w:after="0"/>
            </w:pPr>
            <w:r/>
            <w:r>
              <w:rPr>
                <w:rFonts w:ascii="Times New Roman" w:hAnsi="Times New Roman"/>
                <w:b w:val="0"/>
                <w:sz w:val="16"/>
              </w:rPr>
              <w:t>0.0083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MLP</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0.0701</w:t>
            </w:r>
          </w:p>
        </w:tc>
        <w:tc>
          <w:tcPr>
            <w:tcW w:type="dxa" w:w="1481"/>
            <w:vAlign w:val="center"/>
          </w:tcPr>
          <w:p>
            <w:pPr>
              <w:spacing w:after="0"/>
            </w:pPr>
            <w:r/>
            <w:r>
              <w:rPr>
                <w:rFonts w:ascii="Times New Roman" w:hAnsi="Times New Roman"/>
                <w:b w:val="0"/>
                <w:sz w:val="16"/>
              </w:rPr>
              <w:t>0.0870</w:t>
            </w:r>
          </w:p>
        </w:tc>
        <w:tc>
          <w:tcPr>
            <w:tcW w:type="dxa" w:w="1481"/>
            <w:vAlign w:val="center"/>
          </w:tcPr>
          <w:p>
            <w:pPr>
              <w:spacing w:after="0"/>
            </w:pPr>
            <w:r/>
            <w:r>
              <w:rPr>
                <w:rFonts w:ascii="Times New Roman" w:hAnsi="Times New Roman"/>
                <w:b w:val="0"/>
                <w:sz w:val="16"/>
              </w:rPr>
              <w:t>0.0169</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0.0444</w:t>
            </w:r>
          </w:p>
        </w:tc>
        <w:tc>
          <w:tcPr>
            <w:tcW w:type="dxa" w:w="1481"/>
            <w:vAlign w:val="center"/>
          </w:tcPr>
          <w:p>
            <w:pPr>
              <w:spacing w:after="0"/>
            </w:pPr>
            <w:r/>
            <w:r>
              <w:rPr>
                <w:rFonts w:ascii="Times New Roman" w:hAnsi="Times New Roman"/>
                <w:b w:val="0"/>
                <w:sz w:val="16"/>
              </w:rPr>
              <w:t>0.0528</w:t>
            </w:r>
          </w:p>
        </w:tc>
        <w:tc>
          <w:tcPr>
            <w:tcW w:type="dxa" w:w="1481"/>
            <w:vAlign w:val="center"/>
          </w:tcPr>
          <w:p>
            <w:pPr>
              <w:spacing w:after="0"/>
            </w:pPr>
            <w:r/>
            <w:r>
              <w:rPr>
                <w:rFonts w:ascii="Times New Roman" w:hAnsi="Times New Roman"/>
                <w:b w:val="0"/>
                <w:sz w:val="16"/>
              </w:rPr>
              <w:t>0.0083</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RF</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0.0812</w:t>
            </w:r>
          </w:p>
        </w:tc>
        <w:tc>
          <w:tcPr>
            <w:tcW w:type="dxa" w:w="1481"/>
            <w:vAlign w:val="center"/>
          </w:tcPr>
          <w:p>
            <w:pPr>
              <w:spacing w:after="0"/>
            </w:pPr>
            <w:r/>
            <w:r>
              <w:rPr>
                <w:rFonts w:ascii="Times New Roman" w:hAnsi="Times New Roman"/>
                <w:b w:val="0"/>
                <w:sz w:val="16"/>
              </w:rPr>
              <w:t>0.0972</w:t>
            </w:r>
          </w:p>
        </w:tc>
        <w:tc>
          <w:tcPr>
            <w:tcW w:type="dxa" w:w="1481"/>
            <w:vAlign w:val="center"/>
          </w:tcPr>
          <w:p>
            <w:pPr>
              <w:spacing w:after="0"/>
            </w:pPr>
            <w:r/>
            <w:r>
              <w:rPr>
                <w:rFonts w:ascii="Times New Roman" w:hAnsi="Times New Roman"/>
                <w:b w:val="0"/>
                <w:sz w:val="16"/>
              </w:rPr>
              <w:t>0.0160</w:t>
            </w:r>
          </w:p>
        </w:tc>
        <w:tc>
          <w:tcPr>
            <w:tcW w:type="dxa" w:w="1481"/>
            <w:vAlign w:val="center"/>
          </w:tcPr>
          <w:p>
            <w:pPr>
              <w:spacing w:after="0"/>
            </w:pPr>
            <w:r/>
            <w:r>
              <w:rPr>
                <w:rFonts w:ascii="Times New Roman" w:hAnsi="Times New Roman"/>
                <w:b w:val="0"/>
                <w:sz w:val="16"/>
              </w:rPr>
              <w:t>10/10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10%</w:t>
            </w:r>
          </w:p>
        </w:tc>
        <w:tc>
          <w:tcPr>
            <w:tcW w:type="dxa" w:w="1481"/>
            <w:vAlign w:val="center"/>
          </w:tcPr>
          <w:p>
            <w:pPr>
              <w:spacing w:after="0"/>
            </w:pPr>
            <w:r/>
            <w:r>
              <w:rPr>
                <w:rFonts w:ascii="Times New Roman" w:hAnsi="Times New Roman"/>
                <w:b w:val="0"/>
                <w:sz w:val="16"/>
              </w:rPr>
              <w:t>0.0355</w:t>
            </w:r>
          </w:p>
        </w:tc>
        <w:tc>
          <w:tcPr>
            <w:tcW w:type="dxa" w:w="1481"/>
            <w:vAlign w:val="center"/>
          </w:tcPr>
          <w:p>
            <w:pPr>
              <w:spacing w:after="0"/>
            </w:pPr>
            <w:r/>
            <w:r>
              <w:rPr>
                <w:rFonts w:ascii="Times New Roman" w:hAnsi="Times New Roman"/>
                <w:b w:val="0"/>
                <w:sz w:val="16"/>
              </w:rPr>
              <w:t>0.0416</w:t>
            </w:r>
          </w:p>
        </w:tc>
        <w:tc>
          <w:tcPr>
            <w:tcW w:type="dxa" w:w="1481"/>
            <w:vAlign w:val="center"/>
          </w:tcPr>
          <w:p>
            <w:pPr>
              <w:spacing w:after="0"/>
            </w:pPr>
            <w:r/>
            <w:r>
              <w:rPr>
                <w:rFonts w:ascii="Times New Roman" w:hAnsi="Times New Roman"/>
                <w:b w:val="0"/>
                <w:sz w:val="16"/>
              </w:rPr>
              <w:t>0.0061</w:t>
            </w:r>
          </w:p>
        </w:tc>
        <w:tc>
          <w:tcPr>
            <w:tcW w:type="dxa" w:w="1481"/>
            <w:vAlign w:val="center"/>
          </w:tcPr>
          <w:p>
            <w:pPr>
              <w:spacing w:after="0"/>
            </w:pPr>
            <w:r/>
            <w:r>
              <w:rPr>
                <w:rFonts w:ascii="Times New Roman" w:hAnsi="Times New Roman"/>
                <w:b w:val="0"/>
                <w:sz w:val="16"/>
              </w:rPr>
              <w:t>9/10</w:t>
            </w:r>
          </w:p>
        </w:tc>
      </w:tr>
      <w:tr>
        <w:tc>
          <w:tcPr>
            <w:tcW w:type="dxa" w:w="1481"/>
            <w:vAlign w:val="center"/>
          </w:tcPr>
          <w:p>
            <w:pPr>
              <w:spacing w:after="0"/>
            </w:pPr>
            <w:r/>
            <w:r>
              <w:rPr>
                <w:rFonts w:ascii="Times New Roman" w:hAnsi="Times New Roman"/>
                <w:b w:val="0"/>
                <w:sz w:val="16"/>
              </w:rPr>
              <w:t>Taiwan Credit</w:t>
            </w:r>
          </w:p>
        </w:tc>
        <w:tc>
          <w:tcPr>
            <w:tcW w:type="dxa" w:w="1481"/>
            <w:vAlign w:val="center"/>
          </w:tcPr>
          <w:p>
            <w:pPr>
              <w:spacing w:after="0"/>
            </w:pPr>
            <w:r/>
            <w:r>
              <w:rPr>
                <w:rFonts w:ascii="Times New Roman" w:hAnsi="Times New Roman"/>
                <w:b w:val="0"/>
                <w:sz w:val="16"/>
              </w:rPr>
              <w:t>XGB</w:t>
            </w:r>
          </w:p>
        </w:tc>
        <w:tc>
          <w:tcPr>
            <w:tcW w:type="dxa" w:w="1481"/>
            <w:vAlign w:val="center"/>
          </w:tcPr>
          <w:p>
            <w:pPr>
              <w:spacing w:after="0"/>
            </w:pPr>
            <w:r/>
            <w:r>
              <w:rPr>
                <w:rFonts w:ascii="Times New Roman" w:hAnsi="Times New Roman"/>
                <w:b w:val="0"/>
                <w:sz w:val="16"/>
              </w:rPr>
              <w:t>20%</w:t>
            </w:r>
          </w:p>
        </w:tc>
        <w:tc>
          <w:tcPr>
            <w:tcW w:type="dxa" w:w="1481"/>
            <w:vAlign w:val="center"/>
          </w:tcPr>
          <w:p>
            <w:pPr>
              <w:spacing w:after="0"/>
            </w:pPr>
            <w:r/>
            <w:r>
              <w:rPr>
                <w:rFonts w:ascii="Times New Roman" w:hAnsi="Times New Roman"/>
                <w:b w:val="0"/>
                <w:sz w:val="16"/>
              </w:rPr>
              <w:t>0.0658</w:t>
            </w:r>
          </w:p>
        </w:tc>
        <w:tc>
          <w:tcPr>
            <w:tcW w:type="dxa" w:w="1481"/>
            <w:vAlign w:val="center"/>
          </w:tcPr>
          <w:p>
            <w:pPr>
              <w:spacing w:after="0"/>
            </w:pPr>
            <w:r/>
            <w:r>
              <w:rPr>
                <w:rFonts w:ascii="Times New Roman" w:hAnsi="Times New Roman"/>
                <w:b w:val="0"/>
                <w:sz w:val="16"/>
              </w:rPr>
              <w:t>0.0848</w:t>
            </w:r>
          </w:p>
        </w:tc>
        <w:tc>
          <w:tcPr>
            <w:tcW w:type="dxa" w:w="1481"/>
            <w:vAlign w:val="center"/>
          </w:tcPr>
          <w:p>
            <w:pPr>
              <w:spacing w:after="0"/>
            </w:pPr>
            <w:r/>
            <w:r>
              <w:rPr>
                <w:rFonts w:ascii="Times New Roman" w:hAnsi="Times New Roman"/>
                <w:b w:val="0"/>
                <w:sz w:val="16"/>
              </w:rPr>
              <w:t>0.0190</w:t>
            </w:r>
          </w:p>
        </w:tc>
        <w:tc>
          <w:tcPr>
            <w:tcW w:type="dxa" w:w="1481"/>
            <w:vAlign w:val="center"/>
          </w:tcPr>
          <w:p>
            <w:pPr>
              <w:spacing w:after="0"/>
            </w:pPr>
            <w:r/>
            <w:r>
              <w:rPr>
                <w:rFonts w:ascii="Times New Roman" w:hAnsi="Times New Roman"/>
                <w:b w:val="0"/>
                <w:sz w:val="16"/>
              </w:rPr>
              <w:t>10/10</w:t>
            </w:r>
          </w:p>
        </w:tc>
      </w:tr>
    </w:tbl>
    <w:p/>
    <w:p>
      <w:r>
        <w:t>Source files: `sensitivity/group_conditional_mar_per_seed.csv` and `sensitivity/group_conditional_mar_statistics.csv`. This constructed mechanism does not represent all MAR processes or MNAR.</w:t>
      </w:r>
    </w:p>
    <w:p>
      <w:r>
        <w:t>Table S4. Age-conditioned MAR versus matched-eligible-feature MCAR. Each row summarizes ten paired repeated splits. The odds ratio is the conditional odds ratio per standard deviation of observed age.</w:t>
      </w:r>
    </w:p>
    <w:p>
      <w:pPr>
        <w:pStyle w:val="Heading2"/>
      </w:pPr>
      <w:r>
        <w:t>Table S4. Age-conditioned MAR descriptive summaries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r>
              <w:rPr>
                <w:rFonts w:ascii="Times New Roman" w:hAnsi="Times New Roman"/>
                <w:b/>
                <w:sz w:val="16"/>
              </w:rPr>
              <w:t>Dataset</w:t>
            </w:r>
          </w:p>
        </w:tc>
        <w:tc>
          <w:tcPr>
            <w:tcW w:type="dxa" w:w="1728"/>
            <w:vAlign w:val="center"/>
            <w:shd w:fill="DCEEF4"/>
          </w:tcPr>
          <w:p>
            <w:pPr>
              <w:spacing w:after="0"/>
            </w:pPr>
            <w:r/>
            <w:r>
              <w:rPr>
                <w:rFonts w:ascii="Times New Roman" w:hAnsi="Times New Roman"/>
                <w:b/>
                <w:sz w:val="16"/>
              </w:rPr>
              <w:t>Model</w:t>
            </w:r>
          </w:p>
        </w:tc>
        <w:tc>
          <w:tcPr>
            <w:tcW w:type="dxa" w:w="1728"/>
            <w:vAlign w:val="center"/>
            <w:shd w:fill="DCEEF4"/>
          </w:tcPr>
          <w:p>
            <w:pPr>
              <w:spacing w:after="0"/>
            </w:pPr>
            <w:r/>
            <w:r>
              <w:rPr>
                <w:rFonts w:ascii="Times New Roman" w:hAnsi="Times New Roman"/>
                <w:b/>
                <w:sz w:val="16"/>
              </w:rPr>
              <w:t>Rate</w:t>
            </w:r>
          </w:p>
        </w:tc>
        <w:tc>
          <w:tcPr>
            <w:tcW w:type="dxa" w:w="1728"/>
            <w:vAlign w:val="center"/>
            <w:shd w:fill="DCEEF4"/>
          </w:tcPr>
          <w:p>
            <w:pPr>
              <w:spacing w:after="0"/>
            </w:pPr>
            <w:r/>
            <w:r>
              <w:rPr>
                <w:rFonts w:ascii="Times New Roman" w:hAnsi="Times New Roman"/>
                <w:b/>
                <w:sz w:val="16"/>
              </w:rPr>
              <w:t>Age OR/SD</w:t>
            </w:r>
          </w:p>
        </w:tc>
        <w:tc>
          <w:tcPr>
            <w:tcW w:type="dxa" w:w="1728"/>
            <w:vAlign w:val="center"/>
            <w:shd w:fill="DCEEF4"/>
          </w:tcPr>
          <w:p>
            <w:pPr>
              <w:spacing w:after="0"/>
            </w:pPr>
            <w:r/>
            <w:r>
              <w:rPr>
                <w:rFonts w:ascii="Times New Roman" w:hAnsi="Times New Roman"/>
                <w:b/>
                <w:sz w:val="16"/>
              </w:rPr>
              <w:t>Mean FMG difference</w:t>
            </w:r>
          </w:p>
        </w:tc>
        <w:tc>
          <w:tcPr>
            <w:tcW w:type="dxa" w:w="1728"/>
            <w:vAlign w:val="center"/>
            <w:shd w:fill="DCEEF4"/>
          </w:tcPr>
          <w:p>
            <w:pPr>
              <w:spacing w:after="0"/>
            </w:pPr>
            <w:r/>
            <w:r>
              <w:rPr>
                <w:rFonts w:ascii="Times New Roman" w:hAnsi="Times New Roman"/>
                <w:b/>
                <w:sz w:val="16"/>
              </w:rPr>
              <w:t>Positive splits</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-0.0062</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-0.0044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-0.0134</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-0.0078</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-0.0060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-0.0034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-0.0116</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-0.0099</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-0.0069</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-0.0065</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-0.0108</w:t>
            </w:r>
          </w:p>
        </w:tc>
        <w:tc>
          <w:tcPr>
            <w:tcW w:type="dxa" w:w="1728"/>
            <w:vAlign w:val="center"/>
          </w:tcPr>
          <w:p>
            <w:pPr>
              <w:spacing w:after="0"/>
            </w:pPr>
            <w:r/>
            <w:r>
              <w:rPr>
                <w:rFonts w:ascii="Times New Roman" w:hAnsi="Times New Roman"/>
                <w:b w:val="0"/>
                <w:sz w:val="16"/>
              </w:rPr>
              <w:t>2/10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-0.0006</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-0.0005</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-0.0046</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-0.0113</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0.0048</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0.0033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0.0070</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0.0154</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0.0089</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0.0163</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0.0284</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0.0086</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0.0123</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0.0174</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0.0081</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0.0156</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0.0259</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0.0037</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0.0107</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0.0058</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0.0130</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0.0206</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0.0059</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0.0096</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0.0169</w:t>
            </w:r>
          </w:p>
        </w:tc>
        <w:tc>
          <w:tcPr>
            <w:tcW w:type="dxa" w:w="1728"/>
            <w:vAlign w:val="center"/>
          </w:tcPr>
          <w:p>
            <w:pPr>
              <w:spacing w:after="0"/>
            </w:pPr>
            <w:r/>
            <w:r>
              <w:rPr>
                <w:rFonts w:ascii="Times New Roman" w:hAnsi="Times New Roman"/>
                <w:b w:val="0"/>
                <w:sz w:val="16"/>
              </w:rPr>
              <w:t>9/10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0.0122</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0.0198</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0.0318</w:t>
            </w:r>
          </w:p>
        </w:tc>
        <w:tc>
          <w:tcPr>
            <w:tcW w:type="dxa" w:w="1728"/>
            <w:vAlign w:val="center"/>
          </w:tcPr>
          <w:p>
            <w:pPr>
              <w:spacing w:after="0"/>
            </w:pPr>
            <w:r/>
            <w:r>
              <w:rPr>
                <w:rFonts w:ascii="Times New Roman" w:hAnsi="Times New Roman"/>
                <w:b w:val="0"/>
                <w:sz w:val="16"/>
              </w:rPr>
              <w:t>10/10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0.0035</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0.0042</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-0.0010</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LGB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-0.0034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0.0022</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7/10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-0.0016</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-0.0032</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MLP</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-0.0050</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0.0004</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-0.0009</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0.0021</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5/10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RF</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-0.0017</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0.0023</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0.0026</w:t>
            </w:r>
          </w:p>
        </w:tc>
        <w:tc>
          <w:tcPr>
            <w:tcW w:type="dxa" w:w="1728"/>
            <w:vAlign w:val="center"/>
          </w:tcPr>
          <w:p>
            <w:pPr>
              <w:spacing w:after="0"/>
            </w:pPr>
            <w:r/>
            <w:r>
              <w:rPr>
                <w:rFonts w:ascii="Times New Roman" w:hAnsi="Times New Roman"/>
                <w:b w:val="0"/>
                <w:sz w:val="16"/>
              </w:rPr>
              <w:t>6/10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10%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0.0064</w:t>
            </w:r>
          </w:p>
        </w:tc>
        <w:tc>
          <w:tcPr>
            <w:tcW w:type="dxa" w:w="1728"/>
            <w:vAlign w:val="center"/>
          </w:tcPr>
          <w:p>
            <w:pPr>
              <w:spacing w:after="0"/>
            </w:pPr>
            <w:r/>
            <w:r>
              <w:rPr>
                <w:rFonts w:ascii="Times New Roman" w:hAnsi="Times New Roman"/>
                <w:b w:val="0"/>
                <w:sz w:val="16"/>
              </w:rPr>
              <w:t>8/10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1.5</w:t>
            </w:r>
          </w:p>
        </w:tc>
        <w:tc>
          <w:tcPr>
            <w:tcW w:type="dxa" w:w="1728"/>
            <w:vAlign w:val="center"/>
          </w:tcPr>
          <w:p>
            <w:pPr>
              <w:spacing w:after="0"/>
            </w:pPr>
            <w:r/>
            <w:r>
              <w:rPr>
                <w:rFonts w:ascii="Times New Roman" w:hAnsi="Times New Roman"/>
                <w:b w:val="0"/>
                <w:sz w:val="16"/>
              </w:rPr>
              <w:t>-0.0025</w:t>
            </w:r>
          </w:p>
        </w:tc>
        <w:tc>
          <w:tcPr>
            <w:tcW w:type="dxa" w:w="1728"/>
            <w:vAlign w:val="center"/>
          </w:tcPr>
          <w:p>
            <w:pPr>
              <w:spacing w:after="0"/>
            </w:pPr>
            <w:r/>
            <w:r>
              <w:rPr>
                <w:rFonts w:ascii="Times New Roman" w:hAnsi="Times New Roman"/>
                <w:b w:val="0"/>
                <w:sz w:val="16"/>
              </w:rPr>
              <w:t>4/10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2</w:t>
            </w:r>
          </w:p>
        </w:tc>
        <w:tc>
          <w:tcPr>
            <w:tcW w:type="dxa" w:w="1728"/>
            <w:vAlign w:val="center"/>
          </w:tcPr>
          <w:p>
            <w:pPr>
              <w:spacing w:after="0"/>
            </w:pPr>
            <w:r/>
            <w:r>
              <w:rPr>
                <w:rFonts w:ascii="Times New Roman" w:hAnsi="Times New Roman"/>
                <w:b w:val="0"/>
                <w:sz w:val="16"/>
              </w:rPr>
              <w:t>-0.0024</w:t>
            </w:r>
          </w:p>
        </w:tc>
        <w:tc>
          <w:tcPr>
            <w:tcW w:type="dxa" w:w="1728"/>
            <w:vAlign w:val="center"/>
          </w:tcPr>
          <w:p>
            <w:pPr>
              <w:spacing w:after="0"/>
            </w:pPr>
            <w:r/>
            <w:r>
              <w:rPr>
                <w:rFonts w:ascii="Times New Roman" w:hAnsi="Times New Roman"/>
                <w:b w:val="0"/>
                <w:sz w:val="16"/>
              </w:rPr>
              <w:t>3/10</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XGB</w:t>
            </w:r>
          </w:p>
        </w:tc>
        <w:tc>
          <w:tcPr>
            <w:tcW w:type="dxa" w:w="1728"/>
            <w:vAlign w:val="center"/>
          </w:tcPr>
          <w:p>
            <w:pPr>
              <w:spacing w:after="0"/>
            </w:pPr>
            <w:r/>
            <w:r>
              <w:rPr>
                <w:rFonts w:ascii="Times New Roman" w:hAnsi="Times New Roman"/>
                <w:b w:val="0"/>
                <w:sz w:val="16"/>
              </w:rPr>
              <w:t>20%</w:t>
            </w:r>
          </w:p>
        </w:tc>
        <w:tc>
          <w:tcPr>
            <w:tcW w:type="dxa" w:w="1728"/>
            <w:vAlign w:val="center"/>
          </w:tcPr>
          <w:p>
            <w:pPr>
              <w:spacing w:after="0"/>
            </w:pPr>
            <w:r/>
            <w:r>
              <w:rPr>
                <w:rFonts w:ascii="Times New Roman" w:hAnsi="Times New Roman"/>
                <w:b w:val="0"/>
                <w:sz w:val="16"/>
              </w:rPr>
              <w:t>4</w:t>
            </w:r>
          </w:p>
        </w:tc>
        <w:tc>
          <w:tcPr>
            <w:tcW w:type="dxa" w:w="1728"/>
            <w:vAlign w:val="center"/>
          </w:tcPr>
          <w:p>
            <w:pPr>
              <w:spacing w:after="0"/>
            </w:pPr>
            <w:r/>
            <w:r>
              <w:rPr>
                <w:rFonts w:ascii="Times New Roman" w:hAnsi="Times New Roman"/>
                <w:b w:val="0"/>
                <w:sz w:val="16"/>
              </w:rPr>
              <w:t>0.0005</w:t>
            </w:r>
          </w:p>
        </w:tc>
        <w:tc>
          <w:tcPr>
            <w:tcW w:type="dxa" w:w="1728"/>
            <w:vAlign w:val="center"/>
          </w:tcPr>
          <w:p>
            <w:pPr>
              <w:spacing w:after="0"/>
            </w:pPr>
            <w:r/>
            <w:r>
              <w:rPr>
                <w:rFonts w:ascii="Times New Roman" w:hAnsi="Times New Roman"/>
                <w:b w:val="0"/>
                <w:sz w:val="16"/>
              </w:rPr>
              <w:t>4/10</w:t>
            </w:r>
          </w:p>
        </w:tc>
      </w:tr>
    </w:tbl>
    <w:p/>
    <w:p>
      <w:r>
        <w:t>Source files: `sensitivity/age_mar_strength_outputs/age_conditional_mar_statistics.csv` and `sensitivity/age_mar_strength_outputs/age_conditional_mar_per_seed.csv`. The mechanism tests one observed covariate and a specified logistic propensity form; it does not establish a general MAR result.</w:t>
      </w:r>
    </w:p>
    <w:p>
      <w:r>
        <w:t>Table S5. Type-aware preprocessing sensitivity at 20% MCAR. Classifiers are trained on clean data under each pipeline and held fixed during that pipeline’s clean and masked evaluation. These rows are descriptive, with no inferential test.</w:t>
      </w:r>
    </w:p>
    <w:p>
      <w:pPr>
        <w:pStyle w:val="Heading2"/>
      </w:pPr>
      <w:r>
        <w:t>Table S5. Type-aware preprocessing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r>
              <w:rPr>
                <w:rFonts w:ascii="Times New Roman" w:hAnsi="Times New Roman"/>
                <w:b/>
                <w:sz w:val="16"/>
              </w:rPr>
              <w:t>Dataset</w:t>
            </w:r>
          </w:p>
        </w:tc>
        <w:tc>
          <w:tcPr>
            <w:tcW w:type="dxa" w:w="1728"/>
            <w:vAlign w:val="center"/>
            <w:shd w:fill="DCEEF4"/>
          </w:tcPr>
          <w:p>
            <w:pPr>
              <w:spacing w:after="0"/>
            </w:pPr>
            <w:r/>
            <w:r>
              <w:rPr>
                <w:rFonts w:ascii="Times New Roman" w:hAnsi="Times New Roman"/>
                <w:b/>
                <w:sz w:val="16"/>
              </w:rPr>
              <w:t>Pipeline</w:t>
            </w:r>
          </w:p>
        </w:tc>
        <w:tc>
          <w:tcPr>
            <w:tcW w:type="dxa" w:w="1728"/>
            <w:vAlign w:val="center"/>
            <w:shd w:fill="DCEEF4"/>
          </w:tcPr>
          <w:p>
            <w:pPr>
              <w:spacing w:after="0"/>
            </w:pPr>
            <w:r/>
            <w:r>
              <w:rPr>
                <w:rFonts w:ascii="Times New Roman" w:hAnsi="Times New Roman"/>
                <w:b/>
                <w:sz w:val="16"/>
              </w:rPr>
              <w:t>Mean FMG ± SD</w:t>
            </w:r>
          </w:p>
        </w:tc>
        <w:tc>
          <w:tcPr>
            <w:tcW w:type="dxa" w:w="1728"/>
            <w:vAlign w:val="center"/>
            <w:shd w:fill="DCEEF4"/>
          </w:tcPr>
          <w:p>
            <w:pPr>
              <w:spacing w:after="0"/>
            </w:pPr>
            <w:r/>
            <w:r>
              <w:rPr>
                <w:rFonts w:ascii="Times New Roman" w:hAnsi="Times New Roman"/>
                <w:b/>
                <w:sz w:val="16"/>
              </w:rPr>
              <w:t>Positive splits</w:t>
            </w:r>
          </w:p>
        </w:tc>
        <w:tc>
          <w:tcPr>
            <w:tcW w:type="dxa" w:w="1728"/>
            <w:vAlign w:val="center"/>
            <w:shd w:fill="DCEEF4"/>
          </w:tcPr>
          <w:p>
            <w:pPr>
              <w:spacing w:after="0"/>
            </w:pPr>
            <w:r/>
            <w:r>
              <w:rPr>
                <w:rFonts w:ascii="Times New Roman" w:hAnsi="Times New Roman"/>
                <w:b/>
                <w:sz w:val="16"/>
              </w:rPr>
              <w:t>Accuracy loss</w:t>
            </w:r>
          </w:p>
        </w:tc>
        <w:tc>
          <w:tcPr>
            <w:tcW w:type="dxa" w:w="1728"/>
            <w:vAlign w:val="center"/>
            <w:shd w:fill="DCEEF4"/>
          </w:tcPr>
          <w:p>
            <w:pPr>
              <w:spacing w:after="0"/>
            </w:pPr>
            <w:r/>
            <w:r>
              <w:rPr>
                <w:rFonts w:ascii="Times New Roman" w:hAnsi="Times New Roman"/>
                <w:b/>
                <w:sz w:val="16"/>
              </w:rPr>
              <w:t>g0 recall loss</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0.0297 ± 0.0234</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0.0187</w:t>
            </w:r>
          </w:p>
        </w:tc>
        <w:tc>
          <w:tcPr>
            <w:tcW w:type="dxa" w:w="1728"/>
            <w:vAlign w:val="center"/>
          </w:tcPr>
          <w:p>
            <w:pPr>
              <w:spacing w:after="0"/>
            </w:pPr>
            <w:r/>
            <w:r>
              <w:rPr>
                <w:rFonts w:ascii="Times New Roman" w:hAnsi="Times New Roman"/>
                <w:b w:val="0"/>
                <w:sz w:val="16"/>
              </w:rPr>
              <w:t>0.0484</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0.0293 ± 0.0262</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0.0207</w:t>
            </w:r>
          </w:p>
        </w:tc>
        <w:tc>
          <w:tcPr>
            <w:tcW w:type="dxa" w:w="1728"/>
            <w:vAlign w:val="center"/>
          </w:tcPr>
          <w:p>
            <w:pPr>
              <w:spacing w:after="0"/>
            </w:pPr>
            <w:r/>
            <w:r>
              <w:rPr>
                <w:rFonts w:ascii="Times New Roman" w:hAnsi="Times New Roman"/>
                <w:b w:val="0"/>
                <w:sz w:val="16"/>
              </w:rPr>
              <w:t>0.0501</w:t>
            </w:r>
          </w:p>
        </w:tc>
      </w:tr>
      <w:tr>
        <w:tc>
          <w:tcPr>
            <w:tcW w:type="dxa" w:w="1728"/>
            <w:vAlign w:val="center"/>
          </w:tcPr>
          <w:p>
            <w:pPr>
              <w:spacing w:after="0"/>
            </w:pPr>
            <w:r/>
            <w:r>
              <w:rPr>
                <w:rFonts w:ascii="Times New Roman" w:hAnsi="Times New Roman"/>
                <w:b w:val="0"/>
                <w:sz w:val="16"/>
              </w:rPr>
              <w:t>Adult Income</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0.0279 ± 0.0259</w:t>
            </w:r>
          </w:p>
        </w:tc>
        <w:tc>
          <w:tcPr>
            <w:tcW w:type="dxa" w:w="1728"/>
            <w:vAlign w:val="center"/>
          </w:tcPr>
          <w:p>
            <w:pPr>
              <w:spacing w:after="0"/>
            </w:pPr>
            <w:r/>
            <w:r>
              <w:rPr>
                <w:rFonts w:ascii="Times New Roman" w:hAnsi="Times New Roman"/>
                <w:b w:val="0"/>
                <w:sz w:val="16"/>
              </w:rPr>
              <w:t>9/10</w:t>
            </w:r>
          </w:p>
        </w:tc>
        <w:tc>
          <w:tcPr>
            <w:tcW w:type="dxa" w:w="1728"/>
            <w:vAlign w:val="center"/>
          </w:tcPr>
          <w:p>
            <w:pPr>
              <w:spacing w:after="0"/>
            </w:pPr>
            <w:r/>
            <w:r>
              <w:rPr>
                <w:rFonts w:ascii="Times New Roman" w:hAnsi="Times New Roman"/>
                <w:b w:val="0"/>
                <w:sz w:val="16"/>
              </w:rPr>
              <w:t>0.0196</w:t>
            </w:r>
          </w:p>
        </w:tc>
        <w:tc>
          <w:tcPr>
            <w:tcW w:type="dxa" w:w="1728"/>
            <w:vAlign w:val="center"/>
          </w:tcPr>
          <w:p>
            <w:pPr>
              <w:spacing w:after="0"/>
            </w:pPr>
            <w:r/>
            <w:r>
              <w:rPr>
                <w:rFonts w:ascii="Times New Roman" w:hAnsi="Times New Roman"/>
                <w:b w:val="0"/>
                <w:sz w:val="16"/>
              </w:rPr>
              <w:t>0.0475</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-0.0131 ± 0.0270</w:t>
            </w:r>
          </w:p>
        </w:tc>
        <w:tc>
          <w:tcPr>
            <w:tcW w:type="dxa" w:w="1728"/>
            <w:vAlign w:val="center"/>
          </w:tcPr>
          <w:p>
            <w:pPr>
              <w:spacing w:after="0"/>
            </w:pPr>
            <w:r/>
            <w:r>
              <w:rPr>
                <w:rFonts w:ascii="Times New Roman" w:hAnsi="Times New Roman"/>
                <w:b w:val="0"/>
                <w:sz w:val="16"/>
              </w:rPr>
              <w:t>3/10</w:t>
            </w:r>
          </w:p>
        </w:tc>
        <w:tc>
          <w:tcPr>
            <w:tcW w:type="dxa" w:w="1728"/>
            <w:vAlign w:val="center"/>
          </w:tcPr>
          <w:p>
            <w:pPr>
              <w:spacing w:after="0"/>
            </w:pPr>
            <w:r/>
            <w:r>
              <w:rPr>
                <w:rFonts w:ascii="Times New Roman" w:hAnsi="Times New Roman"/>
                <w:b w:val="0"/>
                <w:sz w:val="16"/>
              </w:rPr>
              <w:t>0.0187</w:t>
            </w:r>
          </w:p>
        </w:tc>
        <w:tc>
          <w:tcPr>
            <w:tcW w:type="dxa" w:w="1728"/>
            <w:vAlign w:val="center"/>
          </w:tcPr>
          <w:p>
            <w:pPr>
              <w:spacing w:after="0"/>
            </w:pPr>
            <w:r/>
            <w:r>
              <w:rPr>
                <w:rFonts w:ascii="Times New Roman" w:hAnsi="Times New Roman"/>
                <w:b w:val="0"/>
                <w:sz w:val="16"/>
              </w:rPr>
              <w:t>0.0056</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-0.0043 ± 0.0177</w:t>
            </w:r>
          </w:p>
        </w:tc>
        <w:tc>
          <w:tcPr>
            <w:tcW w:type="dxa" w:w="1728"/>
            <w:vAlign w:val="center"/>
          </w:tcPr>
          <w:p>
            <w:pPr>
              <w:spacing w:after="0"/>
            </w:pPr>
            <w:r/>
            <w:r>
              <w:rPr>
                <w:rFonts w:ascii="Times New Roman" w:hAnsi="Times New Roman"/>
                <w:b w:val="0"/>
                <w:sz w:val="16"/>
              </w:rPr>
              <w:t>4/10</w:t>
            </w:r>
          </w:p>
        </w:tc>
        <w:tc>
          <w:tcPr>
            <w:tcW w:type="dxa" w:w="1728"/>
            <w:vAlign w:val="center"/>
          </w:tcPr>
          <w:p>
            <w:pPr>
              <w:spacing w:after="0"/>
            </w:pPr>
            <w:r/>
            <w:r>
              <w:rPr>
                <w:rFonts w:ascii="Times New Roman" w:hAnsi="Times New Roman"/>
                <w:b w:val="0"/>
                <w:sz w:val="16"/>
              </w:rPr>
              <w:t>0.0245</w:t>
            </w:r>
          </w:p>
        </w:tc>
        <w:tc>
          <w:tcPr>
            <w:tcW w:type="dxa" w:w="1728"/>
            <w:vAlign w:val="center"/>
          </w:tcPr>
          <w:p>
            <w:pPr>
              <w:spacing w:after="0"/>
            </w:pPr>
            <w:r/>
            <w:r>
              <w:rPr>
                <w:rFonts w:ascii="Times New Roman" w:hAnsi="Times New Roman"/>
                <w:b w:val="0"/>
                <w:sz w:val="16"/>
              </w:rPr>
              <w:t>0.0202</w:t>
            </w:r>
          </w:p>
        </w:tc>
      </w:tr>
      <w:tr>
        <w:tc>
          <w:tcPr>
            <w:tcW w:type="dxa" w:w="1728"/>
            <w:vAlign w:val="center"/>
          </w:tcPr>
          <w:p>
            <w:pPr>
              <w:spacing w:after="0"/>
            </w:pPr>
            <w:r/>
            <w:r>
              <w:rPr>
                <w:rFonts w:ascii="Times New Roman" w:hAnsi="Times New Roman"/>
                <w:b w:val="0"/>
                <w:sz w:val="16"/>
              </w:rPr>
              <w:t>COMPAS</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0.0049 ± 0.0262</w:t>
            </w:r>
          </w:p>
        </w:tc>
        <w:tc>
          <w:tcPr>
            <w:tcW w:type="dxa" w:w="1728"/>
            <w:vAlign w:val="center"/>
          </w:tcPr>
          <w:p>
            <w:pPr>
              <w:spacing w:after="0"/>
            </w:pPr>
            <w:r/>
            <w:r>
              <w:rPr>
                <w:rFonts w:ascii="Times New Roman" w:hAnsi="Times New Roman"/>
                <w:b w:val="0"/>
                <w:sz w:val="16"/>
              </w:rPr>
              <w:t>5/10</w:t>
            </w:r>
          </w:p>
        </w:tc>
        <w:tc>
          <w:tcPr>
            <w:tcW w:type="dxa" w:w="1728"/>
            <w:vAlign w:val="center"/>
          </w:tcPr>
          <w:p>
            <w:pPr>
              <w:spacing w:after="0"/>
            </w:pPr>
            <w:r/>
            <w:r>
              <w:rPr>
                <w:rFonts w:ascii="Times New Roman" w:hAnsi="Times New Roman"/>
                <w:b w:val="0"/>
                <w:sz w:val="16"/>
              </w:rPr>
              <w:t>0.0249</w:t>
            </w:r>
          </w:p>
        </w:tc>
        <w:tc>
          <w:tcPr>
            <w:tcW w:type="dxa" w:w="1728"/>
            <w:vAlign w:val="center"/>
          </w:tcPr>
          <w:p>
            <w:pPr>
              <w:spacing w:after="0"/>
            </w:pPr>
            <w:r/>
            <w:r>
              <w:rPr>
                <w:rFonts w:ascii="Times New Roman" w:hAnsi="Times New Roman"/>
                <w:b w:val="0"/>
                <w:sz w:val="16"/>
              </w:rPr>
              <w:t>0.0297</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Iterative/mode</w:t>
            </w:r>
          </w:p>
        </w:tc>
        <w:tc>
          <w:tcPr>
            <w:tcW w:type="dxa" w:w="1728"/>
            <w:vAlign w:val="center"/>
          </w:tcPr>
          <w:p>
            <w:pPr>
              <w:spacing w:after="0"/>
            </w:pPr>
            <w:r/>
            <w:r>
              <w:rPr>
                <w:rFonts w:ascii="Times New Roman" w:hAnsi="Times New Roman"/>
                <w:b w:val="0"/>
                <w:sz w:val="16"/>
              </w:rPr>
              <w:t>0.0856 ± 0.0148</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0.0049</w:t>
            </w:r>
          </w:p>
        </w:tc>
        <w:tc>
          <w:tcPr>
            <w:tcW w:type="dxa" w:w="1728"/>
            <w:vAlign w:val="center"/>
          </w:tcPr>
          <w:p>
            <w:pPr>
              <w:spacing w:after="0"/>
            </w:pPr>
            <w:r/>
            <w:r>
              <w:rPr>
                <w:rFonts w:ascii="Times New Roman" w:hAnsi="Times New Roman"/>
                <w:b w:val="0"/>
                <w:sz w:val="16"/>
              </w:rPr>
              <w:t>0.0906</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KNN/mode</w:t>
            </w:r>
          </w:p>
        </w:tc>
        <w:tc>
          <w:tcPr>
            <w:tcW w:type="dxa" w:w="1728"/>
            <w:vAlign w:val="center"/>
          </w:tcPr>
          <w:p>
            <w:pPr>
              <w:spacing w:after="0"/>
            </w:pPr>
            <w:r/>
            <w:r>
              <w:rPr>
                <w:rFonts w:ascii="Times New Roman" w:hAnsi="Times New Roman"/>
                <w:b w:val="0"/>
                <w:sz w:val="16"/>
              </w:rPr>
              <w:t>0.0689 ± 0.0146</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0.0055</w:t>
            </w:r>
          </w:p>
        </w:tc>
        <w:tc>
          <w:tcPr>
            <w:tcW w:type="dxa" w:w="1728"/>
            <w:vAlign w:val="center"/>
          </w:tcPr>
          <w:p>
            <w:pPr>
              <w:spacing w:after="0"/>
            </w:pPr>
            <w:r/>
            <w:r>
              <w:rPr>
                <w:rFonts w:ascii="Times New Roman" w:hAnsi="Times New Roman"/>
                <w:b w:val="0"/>
                <w:sz w:val="16"/>
              </w:rPr>
              <w:t>0.0744</w:t>
            </w:r>
          </w:p>
        </w:tc>
      </w:tr>
      <w:tr>
        <w:tc>
          <w:tcPr>
            <w:tcW w:type="dxa" w:w="1728"/>
            <w:vAlign w:val="center"/>
          </w:tcPr>
          <w:p>
            <w:pPr>
              <w:spacing w:after="0"/>
            </w:pPr>
            <w:r/>
            <w:r>
              <w:rPr>
                <w:rFonts w:ascii="Times New Roman" w:hAnsi="Times New Roman"/>
                <w:b w:val="0"/>
                <w:sz w:val="16"/>
              </w:rPr>
              <w:t>Taiwan Credit</w:t>
            </w:r>
          </w:p>
        </w:tc>
        <w:tc>
          <w:tcPr>
            <w:tcW w:type="dxa" w:w="1728"/>
            <w:vAlign w:val="center"/>
          </w:tcPr>
          <w:p>
            <w:pPr>
              <w:spacing w:after="0"/>
            </w:pPr>
            <w:r/>
            <w:r>
              <w:rPr>
                <w:rFonts w:ascii="Times New Roman" w:hAnsi="Times New Roman"/>
                <w:b w:val="0"/>
                <w:sz w:val="16"/>
              </w:rPr>
              <w:t>median_mode</w:t>
            </w:r>
          </w:p>
        </w:tc>
        <w:tc>
          <w:tcPr>
            <w:tcW w:type="dxa" w:w="1728"/>
            <w:vAlign w:val="center"/>
          </w:tcPr>
          <w:p>
            <w:pPr>
              <w:spacing w:after="0"/>
            </w:pPr>
            <w:r/>
            <w:r>
              <w:rPr>
                <w:rFonts w:ascii="Times New Roman" w:hAnsi="Times New Roman"/>
                <w:b w:val="0"/>
                <w:sz w:val="16"/>
              </w:rPr>
              <w:t>0.0831 ± 0.0143</w:t>
            </w:r>
          </w:p>
        </w:tc>
        <w:tc>
          <w:tcPr>
            <w:tcW w:type="dxa" w:w="1728"/>
            <w:vAlign w:val="center"/>
          </w:tcPr>
          <w:p>
            <w:pPr>
              <w:spacing w:after="0"/>
            </w:pPr>
            <w:r/>
            <w:r>
              <w:rPr>
                <w:rFonts w:ascii="Times New Roman" w:hAnsi="Times New Roman"/>
                <w:b w:val="0"/>
                <w:sz w:val="16"/>
              </w:rPr>
              <w:t>10/10</w:t>
            </w:r>
          </w:p>
        </w:tc>
        <w:tc>
          <w:tcPr>
            <w:tcW w:type="dxa" w:w="1728"/>
            <w:vAlign w:val="center"/>
          </w:tcPr>
          <w:p>
            <w:pPr>
              <w:spacing w:after="0"/>
            </w:pPr>
            <w:r/>
            <w:r>
              <w:rPr>
                <w:rFonts w:ascii="Times New Roman" w:hAnsi="Times New Roman"/>
                <w:b w:val="0"/>
                <w:sz w:val="16"/>
              </w:rPr>
              <w:t>0.0044</w:t>
            </w:r>
          </w:p>
        </w:tc>
        <w:tc>
          <w:tcPr>
            <w:tcW w:type="dxa" w:w="1728"/>
            <w:vAlign w:val="center"/>
          </w:tcPr>
          <w:p>
            <w:pPr>
              <w:spacing w:after="0"/>
            </w:pPr>
            <w:r/>
            <w:r>
              <w:rPr>
                <w:rFonts w:ascii="Times New Roman" w:hAnsi="Times New Roman"/>
                <w:b w:val="0"/>
                <w:sz w:val="16"/>
              </w:rPr>
              <w:t>0.0875</w:t>
            </w:r>
          </w:p>
        </w:tc>
      </w:tr>
    </w:tbl>
    <w:p/>
    <w:p>
      <w:r>
        <w:t>Source files: `sensitivity/typeaware_imputation_sensitivity_summary.csv` and `sensitivity/typeaware_imputation_sensitivity_per_seed.csv`. This comparison does not establish general preprocessing robustness across model families, rates, or datasets.</w:t>
      </w:r>
    </w:p>
    <w:p>
      <w:pPr>
        <w:pStyle w:val="Heading1"/>
      </w:pPr>
      <w:r>
        <w:t>Archived seed-based test outputs</w:t>
      </w:r>
    </w:p>
    <w:p>
      <w:r>
        <w:t>Earlier repository summary CSVs contain Wilcoxon p-values and significance flags computed from repeated split-level values. Because the split repetitions reuse observations, those values are not used as inferential support in this revised manuscript. The revised canonical notebook reports descriptive means, standard deviations, ranges, and sign counts instead. Archived CSV files are retained for provenance and should not be interpreted as independent-sample inference.</w:t>
      </w:r>
    </w:p>
    <w:p>
      <w:pPr>
        <w:pStyle w:val="Heading1"/>
      </w:pPr>
      <w:r>
        <w:t>Public-Health Benchmark Extension</w:t>
      </w:r>
    </w:p>
    <w:p>
      <w:r>
        <w:t>This extension is separate from the original primary benchmark and does not alter its saved results. It evaluates a CDC BRFSS 2024 cross-sectional self-reported diabetes task and a UCI Diabetes 130-US Hospitals early-readmission task. The eligible cohorts contained 353,573 BRFSS respondents and 99,493 UCI encounters. The focus group was non-Hispanic Black for BRFSS and African-American for UCI; the respective comparison groups were non-Hispanic White respondents and other records with reported race. Audit-group labels were excluded from predictors. In UCI, patient_nbr was used only for patient-disjoint splits and cluster resampling, not as a model input.</w:t>
      </w:r>
    </w:p>
    <w:p>
      <w:r>
        <w:t>The protocol used five classifiers (LR, RF, XGB, LGB, and MLP), three seeds (42, 123, 456), 80/20 main and 70/30 sensitivity split settings, three controlled missingness mechanisms (MCAR, one constructed group-conditional MAR mechanism, and one constructed value-conditional MNAR mechanism), rates of 5%, 10%, and 20%, and five mask repetitions. Each classifier was fit on clean training data and held fixed for clean and masked test evaluation. Preprocessing and median imputation were fit on training data. BRFSS model fitting was unweighted; its held-out evaluation used the CDC final person weight, with PSU resampling within strata for the paired unit-bootstrap intervals. The UCI group split kept patients disjoint across train and test. The MAR and MNAR labels refer only to the constructed mechanisms defined in experiments/public_health/README.md.</w:t>
      </w:r>
    </w:p>
    <w:p>
      <w:r>
        <w:t>Table S6 summarizes the datasets and evaluation design. BRFSS is a cross-sectional survey classification benchmark, not a prospective diabetes-risk prediction study. UCI uses historical hospital encounters from 1999-2008 and is not prospective validation.</w:t>
      </w:r>
    </w:p>
    <w:p>
      <w:pPr/>
      <w:r>
        <w:t>Table S6. Public-health extension datasets and evaluation design.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sz w:val="17"/>
              </w:rPr>
              <w:t>Dataset</w:t>
            </w:r>
          </w:p>
        </w:tc>
        <w:tc>
          <w:tcPr>
            <w:tcW w:type="dxa" w:w="2074"/>
          </w:tcPr>
          <w:p>
            <w:r>
              <w:rPr>
                <w:b/>
                <w:sz w:val="17"/>
              </w:rPr>
              <w:t>Eligible records</w:t>
            </w:r>
          </w:p>
        </w:tc>
        <w:tc>
          <w:tcPr>
            <w:tcW w:type="dxa" w:w="2074"/>
          </w:tcPr>
          <w:p>
            <w:r>
              <w:rPr>
                <w:b/>
                <w:sz w:val="17"/>
              </w:rPr>
              <w:t>Outcome</w:t>
            </w:r>
          </w:p>
        </w:tc>
        <w:tc>
          <w:tcPr>
            <w:tcW w:type="dxa" w:w="2074"/>
          </w:tcPr>
          <w:p>
            <w:r>
              <w:rPr>
                <w:b/>
                <w:sz w:val="17"/>
              </w:rPr>
              <w:t>Focus vs comparison group</w:t>
            </w:r>
          </w:p>
        </w:tc>
        <w:tc>
          <w:tcPr>
            <w:tcW w:type="dxa" w:w="2074"/>
          </w:tcPr>
          <w:p>
            <w:r>
              <w:rPr>
                <w:b/>
                <w:sz w:val="17"/>
              </w:rPr>
              <w:t>Evaluation design</w:t>
            </w:r>
          </w:p>
        </w:tc>
      </w:tr>
      <w:tr>
        <w:tc>
          <w:tcPr>
            <w:tcW w:type="dxa" w:w="2074"/>
          </w:tcPr>
          <w:p>
            <w:r>
              <w:rPr>
                <w:b w:val="0"/>
                <w:sz w:val="16"/>
              </w:rPr>
              <w:t>CDC BRFSS 2024</w:t>
            </w:r>
          </w:p>
        </w:tc>
        <w:tc>
          <w:tcPr>
            <w:tcW w:type="dxa" w:w="2074"/>
          </w:tcPr>
          <w:p>
            <w:r>
              <w:rPr>
                <w:b w:val="0"/>
                <w:sz w:val="16"/>
              </w:rPr>
              <w:t>353,573 respondents</w:t>
            </w:r>
          </w:p>
        </w:tc>
        <w:tc>
          <w:tcPr>
            <w:tcW w:type="dxa" w:w="2074"/>
          </w:tcPr>
          <w:p>
            <w:r>
              <w:rPr>
                <w:b w:val="0"/>
                <w:sz w:val="16"/>
              </w:rPr>
              <w:t>Self-reported diabetes (yes vs no)</w:t>
            </w:r>
          </w:p>
        </w:tc>
        <w:tc>
          <w:tcPr>
            <w:tcW w:type="dxa" w:w="2074"/>
          </w:tcPr>
          <w:p>
            <w:r>
              <w:rPr>
                <w:b w:val="0"/>
                <w:sz w:val="16"/>
              </w:rPr>
              <w:t>Non-Hispanic Black vs non-Hispanic White; race excluded from predictors</w:t>
            </w:r>
          </w:p>
        </w:tc>
        <w:tc>
          <w:tcPr>
            <w:tcW w:type="dxa" w:w="2074"/>
          </w:tcPr>
          <w:p>
            <w:r>
              <w:rPr>
                <w:b w:val="0"/>
                <w:sz w:val="16"/>
              </w:rPr>
              <w:t>Stratified splits; unweighted fit; weighted test metrics; PSU bootstrap within strata</w:t>
            </w:r>
          </w:p>
        </w:tc>
      </w:tr>
      <w:tr>
        <w:tc>
          <w:tcPr>
            <w:tcW w:type="dxa" w:w="2074"/>
          </w:tcPr>
          <w:p>
            <w:r>
              <w:rPr>
                <w:b w:val="0"/>
                <w:sz w:val="16"/>
              </w:rPr>
              <w:t>UCI Diabetes 130-US Hospitals</w:t>
            </w:r>
          </w:p>
        </w:tc>
        <w:tc>
          <w:tcPr>
            <w:tcW w:type="dxa" w:w="2074"/>
          </w:tcPr>
          <w:p>
            <w:r>
              <w:rPr>
                <w:b w:val="0"/>
                <w:sz w:val="16"/>
              </w:rPr>
              <w:t>99,493 encounters</w:t>
            </w:r>
          </w:p>
        </w:tc>
        <w:tc>
          <w:tcPr>
            <w:tcW w:type="dxa" w:w="2074"/>
          </w:tcPr>
          <w:p>
            <w:r>
              <w:rPr>
                <w:b w:val="0"/>
                <w:sz w:val="16"/>
              </w:rPr>
              <w:t>Early readmission (&lt;30 days vs no/&gt;30 days)</w:t>
            </w:r>
          </w:p>
        </w:tc>
        <w:tc>
          <w:tcPr>
            <w:tcW w:type="dxa" w:w="2074"/>
          </w:tcPr>
          <w:p>
            <w:r>
              <w:rPr>
                <w:b w:val="0"/>
                <w:sz w:val="16"/>
              </w:rPr>
              <w:t>African-American vs other reported race; race excluded from predictors</w:t>
            </w:r>
          </w:p>
        </w:tc>
        <w:tc>
          <w:tcPr>
            <w:tcW w:type="dxa" w:w="2074"/>
          </w:tcPr>
          <w:p>
            <w:r>
              <w:rPr>
                <w:b w:val="0"/>
                <w:sz w:val="16"/>
              </w:rPr>
              <w:t>Patient-disjoint splits; patient_nbr excluded from predictors; patient-cluster bootstrap</w:t>
            </w:r>
          </w:p>
        </w:tc>
      </w:tr>
    </w:tbl>
    <w:p>
      <w:r>
        <w:t>Table S7 reports the 80/20, 20% MCAR condition. FMG means and standard deviations summarize 15 paired seed-by-mask-repetition records (three seeds and five repeats) per dataset-model and are descriptive, not inferential. The table reports clean focus-group recall, both focus-group (g0) and comparison-group (g1) recall losses, and their signed difference (g0 minus g1), alongside aggregate-accuracy loss and FMG. “Positive seed means” counts the three seed-level FMG averages above zero; “seed means &gt;0.01” uses the manuscript’s unvalidated descriptive reference, not an operational threshold. BRFSS g1 recall loss is larger than g0 loss for all five models. UCI clean focus-group recall is 0.000–0.020 across model means; RF has zero clean recall in both groups, so its near-zero FMG is a floor-effect limitation. The paired unit-bootstrap files are conditional on the fitted model and split and do not provide external population validation.</w:t>
      </w:r>
    </w:p>
    <w:p>
      <w:pPr/>
      <w:r>
        <w:t>Table S7. Public-health extension results at 20% MCAR under the 80/20 split setting.</w:t>
      </w:r>
    </w:p>
    <w:tbl>
      <w:tblPr>
        <w:tblStyle w:val="TableGrid"/>
        <w:tblW w:type="auto" w:w="0"/>
        <w:tblLayout w:type="fixed"/>
        <w:tblLook w:firstColumn="1" w:firstRow="1" w:lastColumn="0" w:lastRow="0" w:noHBand="0" w:noVBand="1" w:val="04A0"/>
      </w:tblPr>
      <w:tblGrid>
        <w:gridCol w:w="1325"/>
        <w:gridCol w:w="605"/>
        <w:gridCol w:w="1181"/>
        <w:gridCol w:w="1469"/>
        <w:gridCol w:w="936"/>
        <w:gridCol w:w="1008"/>
        <w:gridCol w:w="1066"/>
        <w:gridCol w:w="979"/>
        <w:gridCol w:w="1123"/>
      </w:tblGrid>
      <w:tr>
        <w:trPr>
          <w:tblHeader w:val="true"/>
          <w:tblHeader w:val="true"/>
          <w:tblHeader w:val="true"/>
        </w:trPr>
        <w:tc>
          <w:tcPr>
            <w:tcW w:type="dxa" w:w="1325"/>
            <w:vAlign w:val="center"/>
          </w:tcPr>
          <w:p>
            <w:pPr>
              <w:spacing w:before="0" w:after="0"/>
              <w:jc w:val="left"/>
            </w:pPr>
            <w:r>
              <w:rPr>
                <w:b/>
                <w:sz w:val="15"/>
              </w:rPr>
              <w:t>Dataset</w:t>
            </w:r>
          </w:p>
        </w:tc>
        <w:tc>
          <w:tcPr>
            <w:tcW w:type="dxa" w:w="605"/>
            <w:vAlign w:val="center"/>
          </w:tcPr>
          <w:p>
            <w:pPr>
              <w:spacing w:before="0" w:after="0"/>
              <w:jc w:val="center"/>
            </w:pPr>
            <w:r>
              <w:rPr>
                <w:b/>
                <w:sz w:val="15"/>
              </w:rPr>
              <w:t>Model</w:t>
            </w:r>
          </w:p>
        </w:tc>
        <w:tc>
          <w:tcPr>
            <w:tcW w:type="dxa" w:w="1181"/>
            <w:vAlign w:val="center"/>
          </w:tcPr>
          <w:p>
            <w:pPr>
              <w:spacing w:before="0" w:after="0"/>
              <w:jc w:val="center"/>
            </w:pPr>
            <w:r>
              <w:rPr>
                <w:b/>
                <w:sz w:val="15"/>
              </w:rPr>
              <w:t>FMG mean (SD)</w:t>
            </w:r>
          </w:p>
        </w:tc>
        <w:tc>
          <w:tcPr>
            <w:tcW w:type="dxa" w:w="1469"/>
            <w:vAlign w:val="center"/>
          </w:tcPr>
          <w:p>
            <w:pPr>
              <w:spacing w:before="0" w:after="0"/>
              <w:jc w:val="center"/>
            </w:pPr>
            <w:r>
              <w:rPr>
                <w:b/>
                <w:sz w:val="15"/>
              </w:rPr>
              <w:t>Recall loss g0 / g1</w:t>
            </w:r>
          </w:p>
        </w:tc>
        <w:tc>
          <w:tcPr>
            <w:tcW w:type="dxa" w:w="936"/>
            <w:vAlign w:val="center"/>
          </w:tcPr>
          <w:p>
            <w:pPr>
              <w:spacing w:before="0" w:after="0"/>
              <w:jc w:val="center"/>
            </w:pPr>
            <w:r>
              <w:rPr>
                <w:b/>
                <w:sz w:val="15"/>
              </w:rPr>
              <w:t>Accuracy loss</w:t>
            </w:r>
          </w:p>
        </w:tc>
        <w:tc>
          <w:tcPr>
            <w:tcW w:type="dxa" w:w="1008"/>
            <w:vAlign w:val="center"/>
          </w:tcPr>
          <w:p>
            <w:pPr>
              <w:spacing w:before="0" w:after="0"/>
              <w:jc w:val="center"/>
            </w:pPr>
            <w:r>
              <w:rPr>
                <w:b/>
                <w:sz w:val="15"/>
              </w:rPr>
              <w:t>Positive seed means (n/3)</w:t>
            </w:r>
          </w:p>
        </w:tc>
        <w:tc>
          <w:tcPr>
            <w:tcW w:type="dxa" w:w="1066"/>
            <w:vAlign w:val="center"/>
          </w:tcPr>
          <w:p>
            <w:pPr>
              <w:spacing w:before="0" w:after="0"/>
              <w:jc w:val="center"/>
            </w:pPr>
            <w:r>
              <w:rPr>
                <w:b/>
                <w:sz w:val="15"/>
              </w:rPr>
              <w:t>Seed means &gt;0.01 (n/3)</w:t>
            </w:r>
          </w:p>
        </w:tc>
        <w:tc>
          <w:tcPr>
            <w:tcW w:type="dxa" w:w="979"/>
            <w:vAlign w:val="center"/>
          </w:tcPr>
          <w:p>
            <w:pPr>
              <w:spacing w:before="0" w:after="0"/>
              <w:jc w:val="center"/>
            </w:pPr>
            <w:r>
              <w:rPr>
                <w:b/>
                <w:sz w:val="15"/>
              </w:rPr>
              <w:t>Clean g0 recall</w:t>
            </w:r>
          </w:p>
        </w:tc>
        <w:tc>
          <w:tcPr>
            <w:tcW w:type="dxa" w:w="1123"/>
            <w:vAlign w:val="center"/>
          </w:tcPr>
          <w:p>
            <w:pPr>
              <w:spacing w:before="0" w:after="0"/>
              <w:jc w:val="center"/>
            </w:pPr>
            <w:r>
              <w:rPr>
                <w:b/>
                <w:sz w:val="15"/>
              </w:rPr>
              <w:t>g0 − g1 recall loss</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LR</w:t>
            </w:r>
          </w:p>
        </w:tc>
        <w:tc>
          <w:tcPr>
            <w:tcW w:type="dxa" w:w="1181"/>
            <w:vAlign w:val="center"/>
          </w:tcPr>
          <w:p>
            <w:pPr>
              <w:spacing w:before="0" w:after="0"/>
              <w:jc w:val="center"/>
            </w:pPr>
            <w:r>
              <w:rPr>
                <w:b w:val="0"/>
                <w:sz w:val="15"/>
              </w:rPr>
              <w:t>0.0396 (0.0084)</w:t>
            </w:r>
          </w:p>
        </w:tc>
        <w:tc>
          <w:tcPr>
            <w:tcW w:type="dxa" w:w="1469"/>
            <w:vAlign w:val="center"/>
          </w:tcPr>
          <w:p>
            <w:pPr>
              <w:spacing w:before="0" w:after="0"/>
              <w:jc w:val="center"/>
            </w:pPr>
            <w:r>
              <w:rPr>
                <w:sz w:val="15"/>
              </w:rPr>
              <w:t>0.0413 / 0.0454</w:t>
            </w:r>
          </w:p>
        </w:tc>
        <w:tc>
          <w:tcPr>
            <w:tcW w:type="dxa" w:w="936"/>
            <w:vAlign w:val="center"/>
          </w:tcPr>
          <w:p>
            <w:pPr>
              <w:spacing w:before="0" w:after="0"/>
              <w:jc w:val="center"/>
            </w:pPr>
            <w:r>
              <w:rPr>
                <w:b w:val="0"/>
                <w:sz w:val="15"/>
              </w:rPr>
              <w:t>0.0017</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0.1065</w:t>
            </w:r>
          </w:p>
        </w:tc>
        <w:tc>
          <w:tcPr>
            <w:tcW w:type="dxa" w:w="1123"/>
            <w:vAlign w:val="center"/>
          </w:tcPr>
          <w:p>
            <w:pPr>
              <w:spacing w:before="0" w:after="0"/>
              <w:jc w:val="center"/>
            </w:pPr>
            <w:r>
              <w:rPr>
                <w:sz w:val="15"/>
              </w:rPr>
              <w:t>-0.0041</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RF</w:t>
            </w:r>
          </w:p>
        </w:tc>
        <w:tc>
          <w:tcPr>
            <w:tcW w:type="dxa" w:w="1181"/>
            <w:vAlign w:val="center"/>
          </w:tcPr>
          <w:p>
            <w:pPr>
              <w:spacing w:before="0" w:after="0"/>
              <w:jc w:val="center"/>
            </w:pPr>
            <w:r>
              <w:rPr>
                <w:b w:val="0"/>
                <w:sz w:val="15"/>
              </w:rPr>
              <w:t>0.0455 (0.0073)</w:t>
            </w:r>
          </w:p>
        </w:tc>
        <w:tc>
          <w:tcPr>
            <w:tcW w:type="dxa" w:w="1469"/>
            <w:vAlign w:val="center"/>
          </w:tcPr>
          <w:p>
            <w:pPr>
              <w:spacing w:before="0" w:after="0"/>
              <w:jc w:val="center"/>
            </w:pPr>
            <w:r>
              <w:rPr>
                <w:sz w:val="15"/>
              </w:rPr>
              <w:t>0.0467 / 0.0554</w:t>
            </w:r>
          </w:p>
        </w:tc>
        <w:tc>
          <w:tcPr>
            <w:tcW w:type="dxa" w:w="936"/>
            <w:vAlign w:val="center"/>
          </w:tcPr>
          <w:p>
            <w:pPr>
              <w:spacing w:before="0" w:after="0"/>
              <w:jc w:val="center"/>
            </w:pPr>
            <w:r>
              <w:rPr>
                <w:b w:val="0"/>
                <w:sz w:val="15"/>
              </w:rPr>
              <w:t>0.0013</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0.1008</w:t>
            </w:r>
          </w:p>
        </w:tc>
        <w:tc>
          <w:tcPr>
            <w:tcW w:type="dxa" w:w="1123"/>
            <w:vAlign w:val="center"/>
          </w:tcPr>
          <w:p>
            <w:pPr>
              <w:spacing w:before="0" w:after="0"/>
              <w:jc w:val="center"/>
            </w:pPr>
            <w:r>
              <w:rPr>
                <w:sz w:val="15"/>
              </w:rPr>
              <w:t>-0.0086</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XGB</w:t>
            </w:r>
          </w:p>
        </w:tc>
        <w:tc>
          <w:tcPr>
            <w:tcW w:type="dxa" w:w="1181"/>
            <w:vAlign w:val="center"/>
          </w:tcPr>
          <w:p>
            <w:pPr>
              <w:spacing w:before="0" w:after="0"/>
              <w:jc w:val="center"/>
            </w:pPr>
            <w:r>
              <w:rPr>
                <w:b w:val="0"/>
                <w:sz w:val="15"/>
              </w:rPr>
              <w:t>0.0283 (0.0122)</w:t>
            </w:r>
          </w:p>
        </w:tc>
        <w:tc>
          <w:tcPr>
            <w:tcW w:type="dxa" w:w="1469"/>
            <w:vAlign w:val="center"/>
          </w:tcPr>
          <w:p>
            <w:pPr>
              <w:spacing w:before="0" w:after="0"/>
              <w:jc w:val="center"/>
            </w:pPr>
            <w:r>
              <w:rPr>
                <w:sz w:val="15"/>
              </w:rPr>
              <w:t>0.0298 / 0.0375</w:t>
            </w:r>
          </w:p>
        </w:tc>
        <w:tc>
          <w:tcPr>
            <w:tcW w:type="dxa" w:w="936"/>
            <w:vAlign w:val="center"/>
          </w:tcPr>
          <w:p>
            <w:pPr>
              <w:spacing w:before="0" w:after="0"/>
              <w:jc w:val="center"/>
            </w:pPr>
            <w:r>
              <w:rPr>
                <w:b w:val="0"/>
                <w:sz w:val="15"/>
              </w:rPr>
              <w:t>0.0015</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0.0920</w:t>
            </w:r>
          </w:p>
        </w:tc>
        <w:tc>
          <w:tcPr>
            <w:tcW w:type="dxa" w:w="1123"/>
            <w:vAlign w:val="center"/>
          </w:tcPr>
          <w:p>
            <w:pPr>
              <w:spacing w:before="0" w:after="0"/>
              <w:jc w:val="center"/>
            </w:pPr>
            <w:r>
              <w:rPr>
                <w:sz w:val="15"/>
              </w:rPr>
              <w:t>-0.0077</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LGB</w:t>
            </w:r>
          </w:p>
        </w:tc>
        <w:tc>
          <w:tcPr>
            <w:tcW w:type="dxa" w:w="1181"/>
            <w:vAlign w:val="center"/>
          </w:tcPr>
          <w:p>
            <w:pPr>
              <w:spacing w:before="0" w:after="0"/>
              <w:jc w:val="center"/>
            </w:pPr>
            <w:r>
              <w:rPr>
                <w:b w:val="0"/>
                <w:sz w:val="15"/>
              </w:rPr>
              <w:t>0.0272 (0.0084)</w:t>
            </w:r>
          </w:p>
        </w:tc>
        <w:tc>
          <w:tcPr>
            <w:tcW w:type="dxa" w:w="1469"/>
            <w:vAlign w:val="center"/>
          </w:tcPr>
          <w:p>
            <w:pPr>
              <w:spacing w:before="0" w:after="0"/>
              <w:jc w:val="center"/>
            </w:pPr>
            <w:r>
              <w:rPr>
                <w:sz w:val="15"/>
              </w:rPr>
              <w:t>0.0295 / 0.0306</w:t>
            </w:r>
          </w:p>
        </w:tc>
        <w:tc>
          <w:tcPr>
            <w:tcW w:type="dxa" w:w="936"/>
            <w:vAlign w:val="center"/>
          </w:tcPr>
          <w:p>
            <w:pPr>
              <w:spacing w:before="0" w:after="0"/>
              <w:jc w:val="center"/>
            </w:pPr>
            <w:r>
              <w:rPr>
                <w:b w:val="0"/>
                <w:sz w:val="15"/>
              </w:rPr>
              <w:t>0.0023</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0.1044</w:t>
            </w:r>
          </w:p>
        </w:tc>
        <w:tc>
          <w:tcPr>
            <w:tcW w:type="dxa" w:w="1123"/>
            <w:vAlign w:val="center"/>
          </w:tcPr>
          <w:p>
            <w:pPr>
              <w:spacing w:before="0" w:after="0"/>
              <w:jc w:val="center"/>
            </w:pPr>
            <w:r>
              <w:rPr>
                <w:sz w:val="15"/>
              </w:rPr>
              <w:t>-0.0011</w:t>
            </w:r>
          </w:p>
        </w:tc>
      </w:tr>
      <w:tr>
        <w:tc>
          <w:tcPr>
            <w:tcW w:type="dxa" w:w="1325"/>
            <w:vAlign w:val="center"/>
          </w:tcPr>
          <w:p>
            <w:pPr>
              <w:spacing w:before="0" w:after="0"/>
              <w:jc w:val="left"/>
            </w:pPr>
            <w:r>
              <w:rPr>
                <w:b w:val="0"/>
                <w:sz w:val="15"/>
              </w:rPr>
              <w:t>BRFSS 2024</w:t>
            </w:r>
          </w:p>
        </w:tc>
        <w:tc>
          <w:tcPr>
            <w:tcW w:type="dxa" w:w="605"/>
            <w:vAlign w:val="center"/>
          </w:tcPr>
          <w:p>
            <w:pPr>
              <w:spacing w:before="0" w:after="0"/>
              <w:jc w:val="center"/>
            </w:pPr>
            <w:r>
              <w:rPr>
                <w:b w:val="0"/>
                <w:sz w:val="15"/>
              </w:rPr>
              <w:t>MLP</w:t>
            </w:r>
          </w:p>
        </w:tc>
        <w:tc>
          <w:tcPr>
            <w:tcW w:type="dxa" w:w="1181"/>
            <w:vAlign w:val="center"/>
          </w:tcPr>
          <w:p>
            <w:pPr>
              <w:spacing w:before="0" w:after="0"/>
              <w:jc w:val="center"/>
            </w:pPr>
            <w:r>
              <w:rPr>
                <w:b w:val="0"/>
                <w:sz w:val="15"/>
              </w:rPr>
              <w:t>0.0274 (0.0126)</w:t>
            </w:r>
          </w:p>
        </w:tc>
        <w:tc>
          <w:tcPr>
            <w:tcW w:type="dxa" w:w="1469"/>
            <w:vAlign w:val="center"/>
          </w:tcPr>
          <w:p>
            <w:pPr>
              <w:spacing w:before="0" w:after="0"/>
              <w:jc w:val="center"/>
            </w:pPr>
            <w:r>
              <w:rPr>
                <w:sz w:val="15"/>
              </w:rPr>
              <w:t>0.0293 / 0.0296</w:t>
            </w:r>
          </w:p>
        </w:tc>
        <w:tc>
          <w:tcPr>
            <w:tcW w:type="dxa" w:w="936"/>
            <w:vAlign w:val="center"/>
          </w:tcPr>
          <w:p>
            <w:pPr>
              <w:spacing w:before="0" w:after="0"/>
              <w:jc w:val="center"/>
            </w:pPr>
            <w:r>
              <w:rPr>
                <w:b w:val="0"/>
                <w:sz w:val="15"/>
              </w:rPr>
              <w:t>0.0019</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3/3</w:t>
            </w:r>
          </w:p>
        </w:tc>
        <w:tc>
          <w:tcPr>
            <w:tcW w:type="dxa" w:w="979"/>
            <w:vAlign w:val="center"/>
          </w:tcPr>
          <w:p>
            <w:pPr>
              <w:spacing w:before="0" w:after="0"/>
              <w:jc w:val="center"/>
            </w:pPr>
            <w:r>
              <w:rPr>
                <w:sz w:val="15"/>
              </w:rPr>
              <w:t>0.0901</w:t>
            </w:r>
          </w:p>
        </w:tc>
        <w:tc>
          <w:tcPr>
            <w:tcW w:type="dxa" w:w="1123"/>
            <w:vAlign w:val="center"/>
          </w:tcPr>
          <w:p>
            <w:pPr>
              <w:spacing w:before="0" w:after="0"/>
              <w:jc w:val="center"/>
            </w:pPr>
            <w:r>
              <w:rPr>
                <w:sz w:val="15"/>
              </w:rPr>
              <w:t>-0.0003</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LR</w:t>
            </w:r>
          </w:p>
        </w:tc>
        <w:tc>
          <w:tcPr>
            <w:tcW w:type="dxa" w:w="1181"/>
            <w:vAlign w:val="center"/>
          </w:tcPr>
          <w:p>
            <w:pPr>
              <w:spacing w:before="0" w:after="0"/>
              <w:jc w:val="center"/>
            </w:pPr>
            <w:r>
              <w:rPr>
                <w:b w:val="0"/>
                <w:sz w:val="15"/>
              </w:rPr>
              <w:t>0.0038 (0.0030)</w:t>
            </w:r>
          </w:p>
        </w:tc>
        <w:tc>
          <w:tcPr>
            <w:tcW w:type="dxa" w:w="1469"/>
            <w:vAlign w:val="center"/>
          </w:tcPr>
          <w:p>
            <w:pPr>
              <w:spacing w:before="0" w:after="0"/>
              <w:jc w:val="center"/>
            </w:pPr>
            <w:r>
              <w:rPr>
                <w:sz w:val="15"/>
              </w:rPr>
              <w:t>0.0038 / 0.0035</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0.0196</w:t>
            </w:r>
          </w:p>
        </w:tc>
        <w:tc>
          <w:tcPr>
            <w:tcW w:type="dxa" w:w="1123"/>
            <w:vAlign w:val="center"/>
          </w:tcPr>
          <w:p>
            <w:pPr>
              <w:spacing w:before="0" w:after="0"/>
              <w:jc w:val="center"/>
            </w:pPr>
            <w:r>
              <w:rPr>
                <w:sz w:val="15"/>
              </w:rPr>
              <w:t>+0.0003</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RF</w:t>
            </w:r>
          </w:p>
        </w:tc>
        <w:tc>
          <w:tcPr>
            <w:tcW w:type="dxa" w:w="1181"/>
            <w:vAlign w:val="center"/>
          </w:tcPr>
          <w:p>
            <w:pPr>
              <w:spacing w:before="0" w:after="0"/>
              <w:jc w:val="center"/>
            </w:pPr>
            <w:r>
              <w:rPr>
                <w:b w:val="0"/>
                <w:sz w:val="15"/>
              </w:rPr>
              <w:t>0.0000 (0.0000)</w:t>
            </w:r>
          </w:p>
        </w:tc>
        <w:tc>
          <w:tcPr>
            <w:tcW w:type="dxa" w:w="1469"/>
            <w:vAlign w:val="center"/>
          </w:tcPr>
          <w:p>
            <w:pPr>
              <w:spacing w:before="0" w:after="0"/>
              <w:jc w:val="center"/>
            </w:pPr>
            <w:r>
              <w:rPr>
                <w:sz w:val="15"/>
              </w:rPr>
              <w:t>0.0000 / -0.0001</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0.0000</w:t>
            </w:r>
          </w:p>
        </w:tc>
        <w:tc>
          <w:tcPr>
            <w:tcW w:type="dxa" w:w="1123"/>
            <w:vAlign w:val="center"/>
          </w:tcPr>
          <w:p>
            <w:pPr>
              <w:spacing w:before="0" w:after="0"/>
              <w:jc w:val="center"/>
            </w:pPr>
            <w:r>
              <w:rPr>
                <w:sz w:val="15"/>
              </w:rPr>
              <w:t>+0.0001</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XGB</w:t>
            </w:r>
          </w:p>
        </w:tc>
        <w:tc>
          <w:tcPr>
            <w:tcW w:type="dxa" w:w="1181"/>
            <w:vAlign w:val="center"/>
          </w:tcPr>
          <w:p>
            <w:pPr>
              <w:spacing w:before="0" w:after="0"/>
              <w:jc w:val="center"/>
            </w:pPr>
            <w:r>
              <w:rPr>
                <w:b w:val="0"/>
                <w:sz w:val="15"/>
              </w:rPr>
              <w:t>0.0008 (0.0025)</w:t>
            </w:r>
          </w:p>
        </w:tc>
        <w:tc>
          <w:tcPr>
            <w:tcW w:type="dxa" w:w="1469"/>
            <w:vAlign w:val="center"/>
          </w:tcPr>
          <w:p>
            <w:pPr>
              <w:spacing w:before="0" w:after="0"/>
              <w:jc w:val="center"/>
            </w:pPr>
            <w:r>
              <w:rPr>
                <w:sz w:val="15"/>
              </w:rPr>
              <w:t>0.0009 / 0.0010</w:t>
            </w:r>
          </w:p>
        </w:tc>
        <w:tc>
          <w:tcPr>
            <w:tcW w:type="dxa" w:w="936"/>
            <w:vAlign w:val="center"/>
          </w:tcPr>
          <w:p>
            <w:pPr>
              <w:spacing w:before="0" w:after="0"/>
              <w:jc w:val="center"/>
            </w:pPr>
            <w:r>
              <w:rPr>
                <w:b w:val="0"/>
                <w:sz w:val="15"/>
              </w:rPr>
              <w:t>0.0001</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0.0045</w:t>
            </w:r>
          </w:p>
        </w:tc>
        <w:tc>
          <w:tcPr>
            <w:tcW w:type="dxa" w:w="1123"/>
            <w:vAlign w:val="center"/>
          </w:tcPr>
          <w:p>
            <w:pPr>
              <w:spacing w:before="0" w:after="0"/>
              <w:jc w:val="center"/>
            </w:pPr>
            <w:r>
              <w:rPr>
                <w:sz w:val="15"/>
              </w:rPr>
              <w:t>-0.0002</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LGB</w:t>
            </w:r>
          </w:p>
        </w:tc>
        <w:tc>
          <w:tcPr>
            <w:tcW w:type="dxa" w:w="1181"/>
            <w:vAlign w:val="center"/>
          </w:tcPr>
          <w:p>
            <w:pPr>
              <w:spacing w:before="0" w:after="0"/>
              <w:jc w:val="center"/>
            </w:pPr>
            <w:r>
              <w:rPr>
                <w:b w:val="0"/>
                <w:sz w:val="15"/>
              </w:rPr>
              <w:t>0.0014 (0.0022)</w:t>
            </w:r>
          </w:p>
        </w:tc>
        <w:tc>
          <w:tcPr>
            <w:tcW w:type="dxa" w:w="1469"/>
            <w:vAlign w:val="center"/>
          </w:tcPr>
          <w:p>
            <w:pPr>
              <w:spacing w:before="0" w:after="0"/>
              <w:jc w:val="center"/>
            </w:pPr>
            <w:r>
              <w:rPr>
                <w:sz w:val="15"/>
              </w:rPr>
              <w:t>0.0015 / 0.0033</w:t>
            </w:r>
          </w:p>
        </w:tc>
        <w:tc>
          <w:tcPr>
            <w:tcW w:type="dxa" w:w="936"/>
            <w:vAlign w:val="center"/>
          </w:tcPr>
          <w:p>
            <w:pPr>
              <w:spacing w:before="0" w:after="0"/>
              <w:jc w:val="center"/>
            </w:pPr>
            <w:r>
              <w:rPr>
                <w:b w:val="0"/>
                <w:sz w:val="15"/>
              </w:rPr>
              <w:t>0.0001</w:t>
            </w:r>
          </w:p>
        </w:tc>
        <w:tc>
          <w:tcPr>
            <w:tcW w:type="dxa" w:w="1008"/>
            <w:vAlign w:val="center"/>
          </w:tcPr>
          <w:p>
            <w:pPr>
              <w:spacing w:before="0" w:after="0"/>
              <w:jc w:val="center"/>
            </w:pPr>
            <w:r>
              <w:rPr>
                <w:b w:val="0"/>
                <w:sz w:val="15"/>
              </w:rPr>
              <w:t>2/3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0.0060</w:t>
            </w:r>
          </w:p>
        </w:tc>
        <w:tc>
          <w:tcPr>
            <w:tcW w:type="dxa" w:w="1123"/>
            <w:vAlign w:val="center"/>
          </w:tcPr>
          <w:p>
            <w:pPr>
              <w:spacing w:before="0" w:after="0"/>
              <w:jc w:val="center"/>
            </w:pPr>
            <w:r>
              <w:rPr>
                <w:sz w:val="15"/>
              </w:rPr>
              <w:t>-0.0018</w:t>
            </w:r>
          </w:p>
        </w:tc>
      </w:tr>
      <w:tr>
        <w:tc>
          <w:tcPr>
            <w:tcW w:type="dxa" w:w="1325"/>
            <w:vAlign w:val="center"/>
          </w:tcPr>
          <w:p>
            <w:pPr>
              <w:spacing w:before="0" w:after="0"/>
              <w:jc w:val="left"/>
            </w:pPr>
            <w:r>
              <w:rPr>
                <w:b w:val="0"/>
                <w:sz w:val="15"/>
              </w:rPr>
              <w:t>UCI Diabetes</w:t>
            </w:r>
          </w:p>
        </w:tc>
        <w:tc>
          <w:tcPr>
            <w:tcW w:type="dxa" w:w="605"/>
            <w:vAlign w:val="center"/>
          </w:tcPr>
          <w:p>
            <w:pPr>
              <w:spacing w:before="0" w:after="0"/>
              <w:jc w:val="center"/>
            </w:pPr>
            <w:r>
              <w:rPr>
                <w:b w:val="0"/>
                <w:sz w:val="15"/>
              </w:rPr>
              <w:t>MLP</w:t>
            </w:r>
          </w:p>
        </w:tc>
        <w:tc>
          <w:tcPr>
            <w:tcW w:type="dxa" w:w="1181"/>
            <w:vAlign w:val="center"/>
          </w:tcPr>
          <w:p>
            <w:pPr>
              <w:spacing w:before="0" w:after="0"/>
              <w:jc w:val="center"/>
            </w:pPr>
            <w:r>
              <w:rPr>
                <w:b w:val="0"/>
                <w:sz w:val="15"/>
              </w:rPr>
              <w:t>0.0022 (0.0021)</w:t>
            </w:r>
          </w:p>
        </w:tc>
        <w:tc>
          <w:tcPr>
            <w:tcW w:type="dxa" w:w="1469"/>
            <w:vAlign w:val="center"/>
          </w:tcPr>
          <w:p>
            <w:pPr>
              <w:spacing w:before="0" w:after="0"/>
              <w:jc w:val="center"/>
            </w:pPr>
            <w:r>
              <w:rPr>
                <w:sz w:val="15"/>
              </w:rPr>
              <w:t>0.0023 / 0.0020</w:t>
            </w:r>
          </w:p>
        </w:tc>
        <w:tc>
          <w:tcPr>
            <w:tcW w:type="dxa" w:w="936"/>
            <w:vAlign w:val="center"/>
          </w:tcPr>
          <w:p>
            <w:pPr>
              <w:spacing w:before="0" w:after="0"/>
              <w:jc w:val="center"/>
            </w:pPr>
            <w:r>
              <w:rPr>
                <w:b w:val="0"/>
                <w:sz w:val="15"/>
              </w:rPr>
              <w:t>0.0000</w:t>
            </w:r>
          </w:p>
        </w:tc>
        <w:tc>
          <w:tcPr>
            <w:tcW w:type="dxa" w:w="1008"/>
            <w:vAlign w:val="center"/>
          </w:tcPr>
          <w:p>
            <w:pPr>
              <w:spacing w:before="0" w:after="0"/>
              <w:jc w:val="center"/>
            </w:pPr>
            <w:r>
              <w:rPr>
                <w:b w:val="0"/>
                <w:sz w:val="15"/>
              </w:rPr>
              <w:t>3/3</w:t>
            </w:r>
          </w:p>
        </w:tc>
        <w:tc>
          <w:tcPr>
            <w:tcW w:type="dxa" w:w="1066"/>
            <w:vAlign w:val="center"/>
          </w:tcPr>
          <w:p>
            <w:pPr>
              <w:spacing w:before="0" w:after="0"/>
              <w:jc w:val="center"/>
            </w:pPr>
            <w:r>
              <w:rPr>
                <w:b w:val="0"/>
                <w:sz w:val="15"/>
              </w:rPr>
              <w:t>0/3</w:t>
            </w:r>
          </w:p>
        </w:tc>
        <w:tc>
          <w:tcPr>
            <w:tcW w:type="dxa" w:w="979"/>
            <w:vAlign w:val="center"/>
          </w:tcPr>
          <w:p>
            <w:pPr>
              <w:spacing w:before="0" w:after="0"/>
              <w:jc w:val="center"/>
            </w:pPr>
            <w:r>
              <w:rPr>
                <w:sz w:val="15"/>
              </w:rPr>
              <w:t>0.0098</w:t>
            </w:r>
          </w:p>
        </w:tc>
        <w:tc>
          <w:tcPr>
            <w:tcW w:type="dxa" w:w="1123"/>
            <w:vAlign w:val="center"/>
          </w:tcPr>
          <w:p>
            <w:pPr>
              <w:spacing w:before="0" w:after="0"/>
              <w:jc w:val="center"/>
            </w:pPr>
            <w:r>
              <w:rPr>
                <w:sz w:val="15"/>
              </w:rPr>
              <w:t>+0.0002</w:t>
            </w:r>
          </w:p>
        </w:tc>
      </w:tr>
    </w:tbl>
    <w:p>
      <w:r>
        <w:t>The public-health output archive contains 2,700 per-mask records, 60 denominator records, summary and threshold tables, and paired unit-bootstrap intervals for the 20% MCAR condition. The run manifest records the exact input archive hashes, inner source-member hashes, audit-code hash, software versions, and output hashes. The run completed in 9,129 seconds on a two-logical-CPU Colab runtime; sampled peak process RSS was approximately 2.00 GB. No raw public-health source data are redistributed with the outputs.</w:t>
      </w:r>
    </w:p>
    <w:p>
      <w:r>
        <w:t>Data sources: CDC 2024 BRFSS Survey Data and Documentation [37]; Diabetes 130-US Hospitals for Years 1999-2008 [38]. The extension remains a retrospective benchmark and does not show improved clinical decisions, monitoring benefit, or deployment safety.</w:t>
      </w:r>
    </w:p>
    <w:p>
      <w:pPr>
        <w:pStyle w:val="Heading1"/>
      </w:pPr>
      <w:r>
        <w:t>Primary benchmark metric decomposition</w:t>
      </w:r>
    </w:p>
    <w:p>
      <w:pPr/>
      <w:r>
        <w:t>Table S10 reports model-specific means for the primary datasets at 20% MCAR across ten repeated splits. ΔA is aggregate-accuracy loss, ΔTPR_all is positive-class recall loss over the full test set, and ΔTNR_all is specificity loss. The derived overall-outcome contrast is FMG_all = ΔTPR_all − ΔA = (1 − π)(ΔTPR_all − ΔTNR_all), where π is test-set positive prevalence. This quantity is distinct from the focus-group FMG in the main analysis. Values are descriptive summaries of repeated splits, not inferential estimates.</w:t>
      </w:r>
    </w:p>
    <w:p>
      <w:pPr>
        <w:pStyle w:val="Caption"/>
      </w:pPr>
      <w:r>
        <w:t>Table S10. Aggregate-metric decomposition at 20% MCAR; means across ten repeated splits per dataset-model pair.</w:t>
      </w:r>
    </w:p>
    <w:tbl>
      <w:tblPr>
        <w:tblW w:type="auto" w:w="0"/>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656"/>
          </w:tcPr>
          <w:p>
            <w:r>
              <w:rPr>
                <w:b/>
                <w:sz w:val="16"/>
              </w:rPr>
              <w:t>Dataset</w:t>
            </w:r>
          </w:p>
        </w:tc>
        <w:tc>
          <w:tcPr>
            <w:tcW w:type="dxa" w:w="1008"/>
          </w:tcPr>
          <w:p>
            <w:r>
              <w:rPr>
                <w:b/>
                <w:sz w:val="16"/>
              </w:rPr>
              <w:t>Model</w:t>
            </w:r>
          </w:p>
        </w:tc>
        <w:tc>
          <w:tcPr>
            <w:tcW w:type="dxa" w:w="835"/>
          </w:tcPr>
          <w:p>
            <w:r>
              <w:rPr>
                <w:b/>
                <w:sz w:val="16"/>
              </w:rPr>
              <w:t>π</w:t>
            </w:r>
          </w:p>
        </w:tc>
        <w:tc>
          <w:tcPr>
            <w:tcW w:type="dxa" w:w="1037"/>
          </w:tcPr>
          <w:p>
            <w:r>
              <w:rPr>
                <w:b/>
                <w:sz w:val="16"/>
              </w:rPr>
              <w:t>ΔA</w:t>
            </w:r>
          </w:p>
        </w:tc>
        <w:tc>
          <w:tcPr>
            <w:tcW w:type="dxa" w:w="1253"/>
          </w:tcPr>
          <w:p>
            <w:r>
              <w:rPr>
                <w:b/>
                <w:sz w:val="16"/>
              </w:rPr>
              <w:t>ΔTPR_all</w:t>
            </w:r>
          </w:p>
        </w:tc>
        <w:tc>
          <w:tcPr>
            <w:tcW w:type="dxa" w:w="1253"/>
          </w:tcPr>
          <w:p>
            <w:r>
              <w:rPr>
                <w:b/>
                <w:sz w:val="16"/>
              </w:rPr>
              <w:t>ΔTNR_all</w:t>
            </w:r>
          </w:p>
        </w:tc>
        <w:tc>
          <w:tcPr>
            <w:tcW w:type="dxa" w:w="1181"/>
          </w:tcPr>
          <w:p>
            <w:r>
              <w:rPr>
                <w:b/>
                <w:sz w:val="16"/>
              </w:rPr>
              <w:t>FMG_all</w:t>
            </w:r>
          </w:p>
        </w:tc>
      </w:tr>
      <w:tr>
        <w:tc>
          <w:tcPr>
            <w:tcW w:type="dxa" w:w="1656"/>
          </w:tcPr>
          <w:p>
            <w:pPr>
              <w:jc w:val="left"/>
            </w:pPr>
            <w:r>
              <w:rPr>
                <w:sz w:val="16"/>
              </w:rPr>
              <w:t>Adult Income</w:t>
            </w:r>
          </w:p>
        </w:tc>
        <w:tc>
          <w:tcPr>
            <w:tcW w:type="dxa" w:w="1008"/>
          </w:tcPr>
          <w:p>
            <w:pPr>
              <w:jc w:val="left"/>
            </w:pPr>
            <w:r>
              <w:rPr>
                <w:sz w:val="16"/>
              </w:rPr>
              <w:t>LGB</w:t>
            </w:r>
          </w:p>
        </w:tc>
        <w:tc>
          <w:tcPr>
            <w:tcW w:type="dxa" w:w="835"/>
          </w:tcPr>
          <w:p>
            <w:pPr>
              <w:jc w:val="center"/>
            </w:pPr>
            <w:r>
              <w:rPr>
                <w:sz w:val="16"/>
              </w:rPr>
              <w:t>0.2489</w:t>
            </w:r>
          </w:p>
        </w:tc>
        <w:tc>
          <w:tcPr>
            <w:tcW w:type="dxa" w:w="1037"/>
          </w:tcPr>
          <w:p>
            <w:pPr>
              <w:jc w:val="center"/>
            </w:pPr>
            <w:r>
              <w:rPr>
                <w:sz w:val="16"/>
              </w:rPr>
              <w:t>0.0256</w:t>
            </w:r>
          </w:p>
        </w:tc>
        <w:tc>
          <w:tcPr>
            <w:tcW w:type="dxa" w:w="1253"/>
          </w:tcPr>
          <w:p>
            <w:pPr>
              <w:jc w:val="center"/>
            </w:pPr>
            <w:r>
              <w:rPr>
                <w:sz w:val="16"/>
              </w:rPr>
              <w:t>0.1412</w:t>
            </w:r>
          </w:p>
        </w:tc>
        <w:tc>
          <w:tcPr>
            <w:tcW w:type="dxa" w:w="1253"/>
          </w:tcPr>
          <w:p>
            <w:pPr>
              <w:jc w:val="center"/>
            </w:pPr>
            <w:r>
              <w:rPr>
                <w:sz w:val="16"/>
              </w:rPr>
              <w:t>-0.0127</w:t>
            </w:r>
          </w:p>
        </w:tc>
        <w:tc>
          <w:tcPr>
            <w:tcW w:type="dxa" w:w="1181"/>
          </w:tcPr>
          <w:p>
            <w:pPr>
              <w:jc w:val="center"/>
            </w:pPr>
            <w:r>
              <w:rPr>
                <w:sz w:val="16"/>
              </w:rPr>
              <w:t>0.1156</w:t>
            </w:r>
          </w:p>
        </w:tc>
      </w:tr>
      <w:tr>
        <w:tc>
          <w:tcPr>
            <w:tcW w:type="dxa" w:w="1656"/>
          </w:tcPr>
          <w:p>
            <w:pPr>
              <w:jc w:val="left"/>
            </w:pPr>
            <w:r>
              <w:rPr>
                <w:sz w:val="16"/>
              </w:rPr>
              <w:t>Adult Income</w:t>
            </w:r>
          </w:p>
        </w:tc>
        <w:tc>
          <w:tcPr>
            <w:tcW w:type="dxa" w:w="1008"/>
          </w:tcPr>
          <w:p>
            <w:pPr>
              <w:jc w:val="left"/>
            </w:pPr>
            <w:r>
              <w:rPr>
                <w:sz w:val="16"/>
              </w:rPr>
              <w:t>MLP</w:t>
            </w:r>
          </w:p>
        </w:tc>
        <w:tc>
          <w:tcPr>
            <w:tcW w:type="dxa" w:w="835"/>
          </w:tcPr>
          <w:p>
            <w:pPr>
              <w:jc w:val="center"/>
            </w:pPr>
            <w:r>
              <w:rPr>
                <w:sz w:val="16"/>
              </w:rPr>
              <w:t>0.2489</w:t>
            </w:r>
          </w:p>
        </w:tc>
        <w:tc>
          <w:tcPr>
            <w:tcW w:type="dxa" w:w="1037"/>
          </w:tcPr>
          <w:p>
            <w:pPr>
              <w:jc w:val="center"/>
            </w:pPr>
            <w:r>
              <w:rPr>
                <w:sz w:val="16"/>
              </w:rPr>
              <w:t>0.0180</w:t>
            </w:r>
          </w:p>
        </w:tc>
        <w:tc>
          <w:tcPr>
            <w:tcW w:type="dxa" w:w="1253"/>
          </w:tcPr>
          <w:p>
            <w:pPr>
              <w:jc w:val="center"/>
            </w:pPr>
            <w:r>
              <w:rPr>
                <w:sz w:val="16"/>
              </w:rPr>
              <w:t>0.1062</w:t>
            </w:r>
          </w:p>
        </w:tc>
        <w:tc>
          <w:tcPr>
            <w:tcW w:type="dxa" w:w="1253"/>
          </w:tcPr>
          <w:p>
            <w:pPr>
              <w:jc w:val="center"/>
            </w:pPr>
            <w:r>
              <w:rPr>
                <w:sz w:val="16"/>
              </w:rPr>
              <w:t>-0.0112</w:t>
            </w:r>
          </w:p>
        </w:tc>
        <w:tc>
          <w:tcPr>
            <w:tcW w:type="dxa" w:w="1181"/>
          </w:tcPr>
          <w:p>
            <w:pPr>
              <w:jc w:val="center"/>
            </w:pPr>
            <w:r>
              <w:rPr>
                <w:sz w:val="16"/>
              </w:rPr>
              <w:t>0.0882</w:t>
            </w:r>
          </w:p>
        </w:tc>
      </w:tr>
      <w:tr>
        <w:tc>
          <w:tcPr>
            <w:tcW w:type="dxa" w:w="1656"/>
          </w:tcPr>
          <w:p>
            <w:pPr>
              <w:jc w:val="left"/>
            </w:pPr>
            <w:r>
              <w:rPr>
                <w:sz w:val="16"/>
              </w:rPr>
              <w:t>Adult Income</w:t>
            </w:r>
          </w:p>
        </w:tc>
        <w:tc>
          <w:tcPr>
            <w:tcW w:type="dxa" w:w="1008"/>
          </w:tcPr>
          <w:p>
            <w:pPr>
              <w:jc w:val="left"/>
            </w:pPr>
            <w:r>
              <w:rPr>
                <w:sz w:val="16"/>
              </w:rPr>
              <w:t>RF</w:t>
            </w:r>
          </w:p>
        </w:tc>
        <w:tc>
          <w:tcPr>
            <w:tcW w:type="dxa" w:w="835"/>
          </w:tcPr>
          <w:p>
            <w:pPr>
              <w:jc w:val="center"/>
            </w:pPr>
            <w:r>
              <w:rPr>
                <w:sz w:val="16"/>
              </w:rPr>
              <w:t>0.2489</w:t>
            </w:r>
          </w:p>
        </w:tc>
        <w:tc>
          <w:tcPr>
            <w:tcW w:type="dxa" w:w="1037"/>
          </w:tcPr>
          <w:p>
            <w:pPr>
              <w:jc w:val="center"/>
            </w:pPr>
            <w:r>
              <w:rPr>
                <w:sz w:val="16"/>
              </w:rPr>
              <w:t>0.0214</w:t>
            </w:r>
          </w:p>
        </w:tc>
        <w:tc>
          <w:tcPr>
            <w:tcW w:type="dxa" w:w="1253"/>
          </w:tcPr>
          <w:p>
            <w:pPr>
              <w:jc w:val="center"/>
            </w:pPr>
            <w:r>
              <w:rPr>
                <w:sz w:val="16"/>
              </w:rPr>
              <w:t>0.1356</w:t>
            </w:r>
          </w:p>
        </w:tc>
        <w:tc>
          <w:tcPr>
            <w:tcW w:type="dxa" w:w="1253"/>
          </w:tcPr>
          <w:p>
            <w:pPr>
              <w:jc w:val="center"/>
            </w:pPr>
            <w:r>
              <w:rPr>
                <w:sz w:val="16"/>
              </w:rPr>
              <w:t>-0.0164</w:t>
            </w:r>
          </w:p>
        </w:tc>
        <w:tc>
          <w:tcPr>
            <w:tcW w:type="dxa" w:w="1181"/>
          </w:tcPr>
          <w:p>
            <w:pPr>
              <w:jc w:val="center"/>
            </w:pPr>
            <w:r>
              <w:rPr>
                <w:sz w:val="16"/>
              </w:rPr>
              <w:t>0.1142</w:t>
            </w:r>
          </w:p>
        </w:tc>
      </w:tr>
      <w:tr>
        <w:tc>
          <w:tcPr>
            <w:tcW w:type="dxa" w:w="1656"/>
          </w:tcPr>
          <w:p>
            <w:pPr>
              <w:jc w:val="left"/>
            </w:pPr>
            <w:r>
              <w:rPr>
                <w:sz w:val="16"/>
              </w:rPr>
              <w:t>Adult Income</w:t>
            </w:r>
          </w:p>
        </w:tc>
        <w:tc>
          <w:tcPr>
            <w:tcW w:type="dxa" w:w="1008"/>
          </w:tcPr>
          <w:p>
            <w:pPr>
              <w:jc w:val="left"/>
            </w:pPr>
            <w:r>
              <w:rPr>
                <w:sz w:val="16"/>
              </w:rPr>
              <w:t>XGB</w:t>
            </w:r>
          </w:p>
        </w:tc>
        <w:tc>
          <w:tcPr>
            <w:tcW w:type="dxa" w:w="835"/>
          </w:tcPr>
          <w:p>
            <w:pPr>
              <w:jc w:val="center"/>
            </w:pPr>
            <w:r>
              <w:rPr>
                <w:sz w:val="16"/>
              </w:rPr>
              <w:t>0.2489</w:t>
            </w:r>
          </w:p>
        </w:tc>
        <w:tc>
          <w:tcPr>
            <w:tcW w:type="dxa" w:w="1037"/>
          </w:tcPr>
          <w:p>
            <w:pPr>
              <w:jc w:val="center"/>
            </w:pPr>
            <w:r>
              <w:rPr>
                <w:sz w:val="16"/>
              </w:rPr>
              <w:t>0.0237</w:t>
            </w:r>
          </w:p>
        </w:tc>
        <w:tc>
          <w:tcPr>
            <w:tcW w:type="dxa" w:w="1253"/>
          </w:tcPr>
          <w:p>
            <w:pPr>
              <w:jc w:val="center"/>
            </w:pPr>
            <w:r>
              <w:rPr>
                <w:sz w:val="16"/>
              </w:rPr>
              <w:t>0.1325</w:t>
            </w:r>
          </w:p>
        </w:tc>
        <w:tc>
          <w:tcPr>
            <w:tcW w:type="dxa" w:w="1253"/>
          </w:tcPr>
          <w:p>
            <w:pPr>
              <w:jc w:val="center"/>
            </w:pPr>
            <w:r>
              <w:rPr>
                <w:sz w:val="16"/>
              </w:rPr>
              <w:t>-0.0123</w:t>
            </w:r>
          </w:p>
        </w:tc>
        <w:tc>
          <w:tcPr>
            <w:tcW w:type="dxa" w:w="1181"/>
          </w:tcPr>
          <w:p>
            <w:pPr>
              <w:jc w:val="center"/>
            </w:pPr>
            <w:r>
              <w:rPr>
                <w:sz w:val="16"/>
              </w:rPr>
              <w:t>0.1088</w:t>
            </w:r>
          </w:p>
        </w:tc>
      </w:tr>
      <w:tr>
        <w:tc>
          <w:tcPr>
            <w:tcW w:type="dxa" w:w="1656"/>
          </w:tcPr>
          <w:p>
            <w:pPr>
              <w:jc w:val="left"/>
            </w:pPr>
            <w:r>
              <w:rPr>
                <w:sz w:val="16"/>
              </w:rPr>
              <w:t>COMPAS</w:t>
            </w:r>
          </w:p>
        </w:tc>
        <w:tc>
          <w:tcPr>
            <w:tcW w:type="dxa" w:w="1008"/>
          </w:tcPr>
          <w:p>
            <w:pPr>
              <w:jc w:val="left"/>
            </w:pPr>
            <w:r>
              <w:rPr>
                <w:sz w:val="16"/>
              </w:rPr>
              <w:t>LGB</w:t>
            </w:r>
          </w:p>
        </w:tc>
        <w:tc>
          <w:tcPr>
            <w:tcW w:type="dxa" w:w="835"/>
          </w:tcPr>
          <w:p>
            <w:pPr>
              <w:jc w:val="center"/>
            </w:pPr>
            <w:r>
              <w:rPr>
                <w:sz w:val="16"/>
              </w:rPr>
              <w:t>0.5013</w:t>
            </w:r>
          </w:p>
        </w:tc>
        <w:tc>
          <w:tcPr>
            <w:tcW w:type="dxa" w:w="1037"/>
          </w:tcPr>
          <w:p>
            <w:pPr>
              <w:jc w:val="center"/>
            </w:pPr>
            <w:r>
              <w:rPr>
                <w:sz w:val="16"/>
              </w:rPr>
              <w:t>0.0266</w:t>
            </w:r>
          </w:p>
        </w:tc>
        <w:tc>
          <w:tcPr>
            <w:tcW w:type="dxa" w:w="1253"/>
          </w:tcPr>
          <w:p>
            <w:pPr>
              <w:jc w:val="center"/>
            </w:pPr>
            <w:r>
              <w:rPr>
                <w:sz w:val="16"/>
              </w:rPr>
              <w:t>0.0159</w:t>
            </w:r>
          </w:p>
        </w:tc>
        <w:tc>
          <w:tcPr>
            <w:tcW w:type="dxa" w:w="1253"/>
          </w:tcPr>
          <w:p>
            <w:pPr>
              <w:jc w:val="center"/>
            </w:pPr>
            <w:r>
              <w:rPr>
                <w:sz w:val="16"/>
              </w:rPr>
              <w:t>0.0375</w:t>
            </w:r>
          </w:p>
        </w:tc>
        <w:tc>
          <w:tcPr>
            <w:tcW w:type="dxa" w:w="1181"/>
          </w:tcPr>
          <w:p>
            <w:pPr>
              <w:jc w:val="center"/>
            </w:pPr>
            <w:r>
              <w:rPr>
                <w:sz w:val="16"/>
              </w:rPr>
              <w:t>-0.0108</w:t>
            </w:r>
          </w:p>
        </w:tc>
      </w:tr>
      <w:tr>
        <w:tc>
          <w:tcPr>
            <w:tcW w:type="dxa" w:w="1656"/>
          </w:tcPr>
          <w:p>
            <w:pPr>
              <w:jc w:val="left"/>
            </w:pPr>
            <w:r>
              <w:rPr>
                <w:sz w:val="16"/>
              </w:rPr>
              <w:t>COMPAS</w:t>
            </w:r>
          </w:p>
        </w:tc>
        <w:tc>
          <w:tcPr>
            <w:tcW w:type="dxa" w:w="1008"/>
          </w:tcPr>
          <w:p>
            <w:pPr>
              <w:jc w:val="left"/>
            </w:pPr>
            <w:r>
              <w:rPr>
                <w:sz w:val="16"/>
              </w:rPr>
              <w:t>MLP</w:t>
            </w:r>
          </w:p>
        </w:tc>
        <w:tc>
          <w:tcPr>
            <w:tcW w:type="dxa" w:w="835"/>
          </w:tcPr>
          <w:p>
            <w:pPr>
              <w:jc w:val="center"/>
            </w:pPr>
            <w:r>
              <w:rPr>
                <w:sz w:val="16"/>
              </w:rPr>
              <w:t>0.5013</w:t>
            </w:r>
          </w:p>
        </w:tc>
        <w:tc>
          <w:tcPr>
            <w:tcW w:type="dxa" w:w="1037"/>
          </w:tcPr>
          <w:p>
            <w:pPr>
              <w:jc w:val="center"/>
            </w:pPr>
            <w:r>
              <w:rPr>
                <w:sz w:val="16"/>
              </w:rPr>
              <w:t>0.0221</w:t>
            </w:r>
          </w:p>
        </w:tc>
        <w:tc>
          <w:tcPr>
            <w:tcW w:type="dxa" w:w="1253"/>
          </w:tcPr>
          <w:p>
            <w:pPr>
              <w:jc w:val="center"/>
            </w:pPr>
            <w:r>
              <w:rPr>
                <w:sz w:val="16"/>
              </w:rPr>
              <w:t>0.0379</w:t>
            </w:r>
          </w:p>
        </w:tc>
        <w:tc>
          <w:tcPr>
            <w:tcW w:type="dxa" w:w="1253"/>
          </w:tcPr>
          <w:p>
            <w:pPr>
              <w:jc w:val="center"/>
            </w:pPr>
            <w:r>
              <w:rPr>
                <w:sz w:val="16"/>
              </w:rPr>
              <w:t>0.0062</w:t>
            </w:r>
          </w:p>
        </w:tc>
        <w:tc>
          <w:tcPr>
            <w:tcW w:type="dxa" w:w="1181"/>
          </w:tcPr>
          <w:p>
            <w:pPr>
              <w:jc w:val="center"/>
            </w:pPr>
            <w:r>
              <w:rPr>
                <w:sz w:val="16"/>
              </w:rPr>
              <w:t>0.0158</w:t>
            </w:r>
          </w:p>
        </w:tc>
      </w:tr>
      <w:tr>
        <w:tc>
          <w:tcPr>
            <w:tcW w:type="dxa" w:w="1656"/>
          </w:tcPr>
          <w:p>
            <w:pPr>
              <w:jc w:val="left"/>
            </w:pPr>
            <w:r>
              <w:rPr>
                <w:sz w:val="16"/>
              </w:rPr>
              <w:t>COMPAS</w:t>
            </w:r>
          </w:p>
        </w:tc>
        <w:tc>
          <w:tcPr>
            <w:tcW w:type="dxa" w:w="1008"/>
          </w:tcPr>
          <w:p>
            <w:pPr>
              <w:jc w:val="left"/>
            </w:pPr>
            <w:r>
              <w:rPr>
                <w:sz w:val="16"/>
              </w:rPr>
              <w:t>RF</w:t>
            </w:r>
          </w:p>
        </w:tc>
        <w:tc>
          <w:tcPr>
            <w:tcW w:type="dxa" w:w="835"/>
          </w:tcPr>
          <w:p>
            <w:pPr>
              <w:jc w:val="center"/>
            </w:pPr>
            <w:r>
              <w:rPr>
                <w:sz w:val="16"/>
              </w:rPr>
              <w:t>0.5013</w:t>
            </w:r>
          </w:p>
        </w:tc>
        <w:tc>
          <w:tcPr>
            <w:tcW w:type="dxa" w:w="1037"/>
          </w:tcPr>
          <w:p>
            <w:pPr>
              <w:jc w:val="center"/>
            </w:pPr>
            <w:r>
              <w:rPr>
                <w:sz w:val="16"/>
              </w:rPr>
              <w:t>0.0242</w:t>
            </w:r>
          </w:p>
        </w:tc>
        <w:tc>
          <w:tcPr>
            <w:tcW w:type="dxa" w:w="1253"/>
          </w:tcPr>
          <w:p>
            <w:pPr>
              <w:jc w:val="center"/>
            </w:pPr>
            <w:r>
              <w:rPr>
                <w:sz w:val="16"/>
              </w:rPr>
              <w:t>0.0223</w:t>
            </w:r>
          </w:p>
        </w:tc>
        <w:tc>
          <w:tcPr>
            <w:tcW w:type="dxa" w:w="1253"/>
          </w:tcPr>
          <w:p>
            <w:pPr>
              <w:jc w:val="center"/>
            </w:pPr>
            <w:r>
              <w:rPr>
                <w:sz w:val="16"/>
              </w:rPr>
              <w:t>0.0261</w:t>
            </w:r>
          </w:p>
        </w:tc>
        <w:tc>
          <w:tcPr>
            <w:tcW w:type="dxa" w:w="1181"/>
          </w:tcPr>
          <w:p>
            <w:pPr>
              <w:jc w:val="center"/>
            </w:pPr>
            <w:r>
              <w:rPr>
                <w:sz w:val="16"/>
              </w:rPr>
              <w:t>-0.0019</w:t>
            </w:r>
          </w:p>
        </w:tc>
      </w:tr>
      <w:tr>
        <w:tc>
          <w:tcPr>
            <w:tcW w:type="dxa" w:w="1656"/>
          </w:tcPr>
          <w:p>
            <w:pPr>
              <w:jc w:val="left"/>
            </w:pPr>
            <w:r>
              <w:rPr>
                <w:sz w:val="16"/>
              </w:rPr>
              <w:t>COMPAS</w:t>
            </w:r>
          </w:p>
        </w:tc>
        <w:tc>
          <w:tcPr>
            <w:tcW w:type="dxa" w:w="1008"/>
          </w:tcPr>
          <w:p>
            <w:pPr>
              <w:jc w:val="left"/>
            </w:pPr>
            <w:r>
              <w:rPr>
                <w:sz w:val="16"/>
              </w:rPr>
              <w:t>XGB</w:t>
            </w:r>
          </w:p>
        </w:tc>
        <w:tc>
          <w:tcPr>
            <w:tcW w:type="dxa" w:w="835"/>
          </w:tcPr>
          <w:p>
            <w:pPr>
              <w:jc w:val="center"/>
            </w:pPr>
            <w:r>
              <w:rPr>
                <w:sz w:val="16"/>
              </w:rPr>
              <w:t>0.5013</w:t>
            </w:r>
          </w:p>
        </w:tc>
        <w:tc>
          <w:tcPr>
            <w:tcW w:type="dxa" w:w="1037"/>
          </w:tcPr>
          <w:p>
            <w:pPr>
              <w:jc w:val="center"/>
            </w:pPr>
            <w:r>
              <w:rPr>
                <w:sz w:val="16"/>
              </w:rPr>
              <w:t>0.0275</w:t>
            </w:r>
          </w:p>
        </w:tc>
        <w:tc>
          <w:tcPr>
            <w:tcW w:type="dxa" w:w="1253"/>
          </w:tcPr>
          <w:p>
            <w:pPr>
              <w:jc w:val="center"/>
            </w:pPr>
            <w:r>
              <w:rPr>
                <w:sz w:val="16"/>
              </w:rPr>
              <w:t>0.0127</w:t>
            </w:r>
          </w:p>
        </w:tc>
        <w:tc>
          <w:tcPr>
            <w:tcW w:type="dxa" w:w="1253"/>
          </w:tcPr>
          <w:p>
            <w:pPr>
              <w:jc w:val="center"/>
            </w:pPr>
            <w:r>
              <w:rPr>
                <w:sz w:val="16"/>
              </w:rPr>
              <w:t>0.0424</w:t>
            </w:r>
          </w:p>
        </w:tc>
        <w:tc>
          <w:tcPr>
            <w:tcW w:type="dxa" w:w="1181"/>
          </w:tcPr>
          <w:p>
            <w:pPr>
              <w:jc w:val="center"/>
            </w:pPr>
            <w:r>
              <w:rPr>
                <w:sz w:val="16"/>
              </w:rPr>
              <w:t>-0.0148</w:t>
            </w:r>
          </w:p>
        </w:tc>
      </w:tr>
      <w:tr>
        <w:tc>
          <w:tcPr>
            <w:tcW w:type="dxa" w:w="1656"/>
          </w:tcPr>
          <w:p>
            <w:pPr>
              <w:jc w:val="left"/>
            </w:pPr>
            <w:r>
              <w:rPr>
                <w:sz w:val="16"/>
              </w:rPr>
              <w:t>Taiwan Credit</w:t>
            </w:r>
          </w:p>
        </w:tc>
        <w:tc>
          <w:tcPr>
            <w:tcW w:type="dxa" w:w="1008"/>
          </w:tcPr>
          <w:p>
            <w:pPr>
              <w:jc w:val="left"/>
            </w:pPr>
            <w:r>
              <w:rPr>
                <w:sz w:val="16"/>
              </w:rPr>
              <w:t>LGB</w:t>
            </w:r>
          </w:p>
        </w:tc>
        <w:tc>
          <w:tcPr>
            <w:tcW w:type="dxa" w:w="835"/>
          </w:tcPr>
          <w:p>
            <w:pPr>
              <w:jc w:val="center"/>
            </w:pPr>
            <w:r>
              <w:rPr>
                <w:sz w:val="16"/>
              </w:rPr>
              <w:t>0.2212</w:t>
            </w:r>
          </w:p>
        </w:tc>
        <w:tc>
          <w:tcPr>
            <w:tcW w:type="dxa" w:w="1037"/>
          </w:tcPr>
          <w:p>
            <w:pPr>
              <w:jc w:val="center"/>
            </w:pPr>
            <w:r>
              <w:rPr>
                <w:sz w:val="16"/>
              </w:rPr>
              <w:t>0.0075</w:t>
            </w:r>
          </w:p>
        </w:tc>
        <w:tc>
          <w:tcPr>
            <w:tcW w:type="dxa" w:w="1253"/>
          </w:tcPr>
          <w:p>
            <w:pPr>
              <w:jc w:val="center"/>
            </w:pPr>
            <w:r>
              <w:rPr>
                <w:sz w:val="16"/>
              </w:rPr>
              <w:t>0.0836</w:t>
            </w:r>
          </w:p>
        </w:tc>
        <w:tc>
          <w:tcPr>
            <w:tcW w:type="dxa" w:w="1253"/>
          </w:tcPr>
          <w:p>
            <w:pPr>
              <w:jc w:val="center"/>
            </w:pPr>
            <w:r>
              <w:rPr>
                <w:sz w:val="16"/>
              </w:rPr>
              <w:t>-0.0141</w:t>
            </w:r>
          </w:p>
        </w:tc>
        <w:tc>
          <w:tcPr>
            <w:tcW w:type="dxa" w:w="1181"/>
          </w:tcPr>
          <w:p>
            <w:pPr>
              <w:jc w:val="center"/>
            </w:pPr>
            <w:r>
              <w:rPr>
                <w:sz w:val="16"/>
              </w:rPr>
              <w:t>0.0760</w:t>
            </w:r>
          </w:p>
        </w:tc>
      </w:tr>
      <w:tr>
        <w:tc>
          <w:tcPr>
            <w:tcW w:type="dxa" w:w="1656"/>
          </w:tcPr>
          <w:p>
            <w:pPr>
              <w:jc w:val="left"/>
            </w:pPr>
            <w:r>
              <w:rPr>
                <w:sz w:val="16"/>
              </w:rPr>
              <w:t>Taiwan Credit</w:t>
            </w:r>
          </w:p>
        </w:tc>
        <w:tc>
          <w:tcPr>
            <w:tcW w:type="dxa" w:w="1008"/>
          </w:tcPr>
          <w:p>
            <w:pPr>
              <w:jc w:val="left"/>
            </w:pPr>
            <w:r>
              <w:rPr>
                <w:sz w:val="16"/>
              </w:rPr>
              <w:t>MLP</w:t>
            </w:r>
          </w:p>
        </w:tc>
        <w:tc>
          <w:tcPr>
            <w:tcW w:type="dxa" w:w="835"/>
          </w:tcPr>
          <w:p>
            <w:pPr>
              <w:jc w:val="center"/>
            </w:pPr>
            <w:r>
              <w:rPr>
                <w:sz w:val="16"/>
              </w:rPr>
              <w:t>0.2212</w:t>
            </w:r>
          </w:p>
        </w:tc>
        <w:tc>
          <w:tcPr>
            <w:tcW w:type="dxa" w:w="1037"/>
          </w:tcPr>
          <w:p>
            <w:pPr>
              <w:jc w:val="center"/>
            </w:pPr>
            <w:r>
              <w:rPr>
                <w:sz w:val="16"/>
              </w:rPr>
              <w:t>0.0075</w:t>
            </w:r>
          </w:p>
        </w:tc>
        <w:tc>
          <w:tcPr>
            <w:tcW w:type="dxa" w:w="1253"/>
          </w:tcPr>
          <w:p>
            <w:pPr>
              <w:jc w:val="center"/>
            </w:pPr>
            <w:r>
              <w:rPr>
                <w:sz w:val="16"/>
              </w:rPr>
              <w:t>0.0828</w:t>
            </w:r>
          </w:p>
        </w:tc>
        <w:tc>
          <w:tcPr>
            <w:tcW w:type="dxa" w:w="1253"/>
          </w:tcPr>
          <w:p>
            <w:pPr>
              <w:jc w:val="center"/>
            </w:pPr>
            <w:r>
              <w:rPr>
                <w:sz w:val="16"/>
              </w:rPr>
              <w:t>-0.0139</w:t>
            </w:r>
          </w:p>
        </w:tc>
        <w:tc>
          <w:tcPr>
            <w:tcW w:type="dxa" w:w="1181"/>
          </w:tcPr>
          <w:p>
            <w:pPr>
              <w:jc w:val="center"/>
            </w:pPr>
            <w:r>
              <w:rPr>
                <w:sz w:val="16"/>
              </w:rPr>
              <w:t>0.0753</w:t>
            </w:r>
          </w:p>
        </w:tc>
      </w:tr>
      <w:tr>
        <w:tc>
          <w:tcPr>
            <w:tcW w:type="dxa" w:w="1656"/>
          </w:tcPr>
          <w:p>
            <w:pPr>
              <w:jc w:val="left"/>
            </w:pPr>
            <w:r>
              <w:rPr>
                <w:sz w:val="16"/>
              </w:rPr>
              <w:t>Taiwan Credit</w:t>
            </w:r>
          </w:p>
        </w:tc>
        <w:tc>
          <w:tcPr>
            <w:tcW w:type="dxa" w:w="1008"/>
          </w:tcPr>
          <w:p>
            <w:pPr>
              <w:jc w:val="left"/>
            </w:pPr>
            <w:r>
              <w:rPr>
                <w:sz w:val="16"/>
              </w:rPr>
              <w:t>RF</w:t>
            </w:r>
          </w:p>
        </w:tc>
        <w:tc>
          <w:tcPr>
            <w:tcW w:type="dxa" w:w="835"/>
          </w:tcPr>
          <w:p>
            <w:pPr>
              <w:jc w:val="center"/>
            </w:pPr>
            <w:r>
              <w:rPr>
                <w:sz w:val="16"/>
              </w:rPr>
              <w:t>0.2212</w:t>
            </w:r>
          </w:p>
        </w:tc>
        <w:tc>
          <w:tcPr>
            <w:tcW w:type="dxa" w:w="1037"/>
          </w:tcPr>
          <w:p>
            <w:pPr>
              <w:jc w:val="center"/>
            </w:pPr>
            <w:r>
              <w:rPr>
                <w:sz w:val="16"/>
              </w:rPr>
              <w:t>0.0042</w:t>
            </w:r>
          </w:p>
        </w:tc>
        <w:tc>
          <w:tcPr>
            <w:tcW w:type="dxa" w:w="1253"/>
          </w:tcPr>
          <w:p>
            <w:pPr>
              <w:jc w:val="center"/>
            </w:pPr>
            <w:r>
              <w:rPr>
                <w:sz w:val="16"/>
              </w:rPr>
              <w:t>0.0873</w:t>
            </w:r>
          </w:p>
        </w:tc>
        <w:tc>
          <w:tcPr>
            <w:tcW w:type="dxa" w:w="1253"/>
          </w:tcPr>
          <w:p>
            <w:pPr>
              <w:jc w:val="center"/>
            </w:pPr>
            <w:r>
              <w:rPr>
                <w:sz w:val="16"/>
              </w:rPr>
              <w:t>-0.0194</w:t>
            </w:r>
          </w:p>
        </w:tc>
        <w:tc>
          <w:tcPr>
            <w:tcW w:type="dxa" w:w="1181"/>
          </w:tcPr>
          <w:p>
            <w:pPr>
              <w:jc w:val="center"/>
            </w:pPr>
            <w:r>
              <w:rPr>
                <w:sz w:val="16"/>
              </w:rPr>
              <w:t>0.0832</w:t>
            </w:r>
          </w:p>
        </w:tc>
      </w:tr>
      <w:tr>
        <w:tc>
          <w:tcPr>
            <w:tcW w:type="dxa" w:w="1656"/>
          </w:tcPr>
          <w:p>
            <w:pPr>
              <w:jc w:val="left"/>
            </w:pPr>
            <w:r>
              <w:rPr>
                <w:sz w:val="16"/>
              </w:rPr>
              <w:t>Taiwan Credit</w:t>
            </w:r>
          </w:p>
        </w:tc>
        <w:tc>
          <w:tcPr>
            <w:tcW w:type="dxa" w:w="1008"/>
          </w:tcPr>
          <w:p>
            <w:pPr>
              <w:jc w:val="left"/>
            </w:pPr>
            <w:r>
              <w:rPr>
                <w:sz w:val="16"/>
              </w:rPr>
              <w:t>XGB</w:t>
            </w:r>
          </w:p>
        </w:tc>
        <w:tc>
          <w:tcPr>
            <w:tcW w:type="dxa" w:w="835"/>
          </w:tcPr>
          <w:p>
            <w:pPr>
              <w:jc w:val="center"/>
            </w:pPr>
            <w:r>
              <w:rPr>
                <w:sz w:val="16"/>
              </w:rPr>
              <w:t>0.2212</w:t>
            </w:r>
          </w:p>
        </w:tc>
        <w:tc>
          <w:tcPr>
            <w:tcW w:type="dxa" w:w="1037"/>
          </w:tcPr>
          <w:p>
            <w:pPr>
              <w:jc w:val="center"/>
            </w:pPr>
            <w:r>
              <w:rPr>
                <w:sz w:val="16"/>
              </w:rPr>
              <w:t>0.0068</w:t>
            </w:r>
          </w:p>
        </w:tc>
        <w:tc>
          <w:tcPr>
            <w:tcW w:type="dxa" w:w="1253"/>
          </w:tcPr>
          <w:p>
            <w:pPr>
              <w:jc w:val="center"/>
            </w:pPr>
            <w:r>
              <w:rPr>
                <w:sz w:val="16"/>
              </w:rPr>
              <w:t>0.0763</w:t>
            </w:r>
          </w:p>
        </w:tc>
        <w:tc>
          <w:tcPr>
            <w:tcW w:type="dxa" w:w="1253"/>
          </w:tcPr>
          <w:p>
            <w:pPr>
              <w:jc w:val="center"/>
            </w:pPr>
            <w:r>
              <w:rPr>
                <w:sz w:val="16"/>
              </w:rPr>
              <w:t>-0.0129</w:t>
            </w:r>
          </w:p>
        </w:tc>
        <w:tc>
          <w:tcPr>
            <w:tcW w:type="dxa" w:w="1181"/>
          </w:tcPr>
          <w:p>
            <w:pPr>
              <w:jc w:val="center"/>
            </w:pPr>
            <w:r>
              <w:rPr>
                <w:sz w:val="16"/>
              </w:rPr>
              <w:t>0.0694</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