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Supplementary Material</w:t>
      </w:r>
    </w:p>
    <w:p>
      <w:pPr>
        <w:jc w:val="center"/>
      </w:pPr>
      <w:r>
        <w:t>A Frozen-Classifier Audit for Subgroup Recall Loss Under Test-Time Feature Missingness</w:t>
      </w:r>
    </w:p>
    <w:p>
      <w:pPr>
        <w:pStyle w:val="Heading1"/>
      </w:pPr>
      <w:r>
        <w:t>Supplementary analysis notes</w:t>
      </w:r>
    </w:p>
    <w:p>
      <w:r>
        <w:t>All seed-level summaries below are descriptive repetitions of train/test splits on the same finite benchmark datasets. The splits are not treated as independent samples. No p-values, significance labels, or population-level confidence intervals are used in this supplement. Results are limited to the datasets, models, groups, preprocessing, and missingness mechanisms listed in each table.</w:t>
      </w:r>
    </w:p>
    <w:p>
      <w:r>
        <w:t>The full per-seed records, denominators, realized mask rates, and analysis code are in the reproducibility repository under the filenames given after each table. These files accompany, rather than replace, the tabular summaries below.</w:t>
      </w:r>
    </w:p>
    <w:p>
      <w:r>
        <w:t>Table S1. Complementary-group FMG summaries at 20% MCAR (ten repeated splits per dataset-model pair). g0 is the prespecified focus group; g1 is its complement. Positive-split counts are descriptive.</w:t>
      </w:r>
    </w:p>
    <w:p>
      <w:pPr>
        <w:pStyle w:val="Heading2"/>
      </w:pPr>
      <w:r>
        <w:t>Table S1. Complementary-group results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t>Dataset</w:t>
            </w:r>
          </w:p>
        </w:tc>
        <w:tc>
          <w:tcPr>
            <w:tcW w:type="dxa" w:w="2074"/>
            <w:vAlign w:val="center"/>
            <w:shd w:fill="DCEEF4"/>
          </w:tcPr>
          <w:p>
            <w:pPr>
              <w:spacing w:after="0"/>
            </w:pPr>
            <w:r>
              <w:t>Model</w:t>
            </w:r>
          </w:p>
        </w:tc>
        <w:tc>
          <w:tcPr>
            <w:tcW w:type="dxa" w:w="2074"/>
            <w:vAlign w:val="center"/>
            <w:shd w:fill="DCEEF4"/>
          </w:tcPr>
          <w:p>
            <w:pPr>
              <w:spacing w:after="0"/>
            </w:pPr>
            <w:r>
              <w:t>Mean FMG g0</w:t>
            </w:r>
          </w:p>
        </w:tc>
        <w:tc>
          <w:tcPr>
            <w:tcW w:type="dxa" w:w="2074"/>
            <w:vAlign w:val="center"/>
            <w:shd w:fill="DCEEF4"/>
          </w:tcPr>
          <w:p>
            <w:pPr>
              <w:spacing w:after="0"/>
            </w:pPr>
            <w:r>
              <w:t>Mean FMG g1</w:t>
            </w:r>
          </w:p>
        </w:tc>
        <w:tc>
          <w:tcPr>
            <w:tcW w:type="dxa" w:w="2074"/>
            <w:vAlign w:val="center"/>
            <w:shd w:fill="DCEEF4"/>
          </w:tcPr>
          <w:p>
            <w:pPr>
              <w:spacing w:after="0"/>
            </w:pPr>
            <w:r>
              <w:t>Positive g1 splits</w:t>
            </w:r>
          </w:p>
        </w:tc>
      </w:tr>
      <w:tr>
        <w:tc>
          <w:tcPr>
            <w:tcW w:type="dxa" w:w="2074"/>
            <w:vAlign w:val="center"/>
          </w:tcPr>
          <w:p>
            <w:pPr>
              <w:spacing w:after="0"/>
            </w:pPr>
            <w:r>
              <w:t>Adult Income</w:t>
            </w:r>
          </w:p>
        </w:tc>
        <w:tc>
          <w:tcPr>
            <w:tcW w:type="dxa" w:w="2074"/>
            <w:vAlign w:val="center"/>
          </w:tcPr>
          <w:p>
            <w:pPr>
              <w:spacing w:after="0"/>
            </w:pPr>
            <w:r>
              <w:t>LGB</w:t>
            </w:r>
          </w:p>
        </w:tc>
        <w:tc>
          <w:tcPr>
            <w:tcW w:type="dxa" w:w="2074"/>
            <w:vAlign w:val="center"/>
          </w:tcPr>
          <w:p>
            <w:pPr>
              <w:spacing w:after="0"/>
            </w:pPr>
            <w:r>
              <w:t>0.0977</w:t>
            </w:r>
          </w:p>
        </w:tc>
        <w:tc>
          <w:tcPr>
            <w:tcW w:type="dxa" w:w="2074"/>
            <w:vAlign w:val="center"/>
          </w:tcPr>
          <w:p>
            <w:pPr>
              <w:spacing w:after="0"/>
            </w:pPr>
            <w:r>
              <w:t>0.1187</w:t>
            </w:r>
          </w:p>
        </w:tc>
        <w:tc>
          <w:tcPr>
            <w:tcW w:type="dxa" w:w="2074"/>
            <w:vAlign w:val="center"/>
          </w:tcPr>
          <w:p>
            <w:pPr>
              <w:spacing w:after="0"/>
            </w:pPr>
            <w:r>
              <w:t>10/10</w:t>
            </w:r>
          </w:p>
        </w:tc>
      </w:tr>
      <w:tr>
        <w:tc>
          <w:tcPr>
            <w:tcW w:type="dxa" w:w="2074"/>
            <w:vAlign w:val="center"/>
          </w:tcPr>
          <w:p>
            <w:pPr>
              <w:spacing w:after="0"/>
            </w:pPr>
            <w:r>
              <w:t>Adult Income</w:t>
            </w:r>
          </w:p>
        </w:tc>
        <w:tc>
          <w:tcPr>
            <w:tcW w:type="dxa" w:w="2074"/>
            <w:vAlign w:val="center"/>
          </w:tcPr>
          <w:p>
            <w:pPr>
              <w:spacing w:after="0"/>
            </w:pPr>
            <w:r>
              <w:t>MLP</w:t>
            </w:r>
          </w:p>
        </w:tc>
        <w:tc>
          <w:tcPr>
            <w:tcW w:type="dxa" w:w="2074"/>
            <w:vAlign w:val="center"/>
          </w:tcPr>
          <w:p>
            <w:pPr>
              <w:spacing w:after="0"/>
            </w:pPr>
            <w:r>
              <w:t>0.0616</w:t>
            </w:r>
          </w:p>
        </w:tc>
        <w:tc>
          <w:tcPr>
            <w:tcW w:type="dxa" w:w="2074"/>
            <w:vAlign w:val="center"/>
          </w:tcPr>
          <w:p>
            <w:pPr>
              <w:spacing w:after="0"/>
            </w:pPr>
            <w:r>
              <w:t>0.0928</w:t>
            </w:r>
          </w:p>
        </w:tc>
        <w:tc>
          <w:tcPr>
            <w:tcW w:type="dxa" w:w="2074"/>
            <w:vAlign w:val="center"/>
          </w:tcPr>
          <w:p>
            <w:pPr>
              <w:spacing w:after="0"/>
            </w:pPr>
            <w:r>
              <w:t>10/10</w:t>
            </w:r>
          </w:p>
        </w:tc>
      </w:tr>
      <w:tr>
        <w:tc>
          <w:tcPr>
            <w:tcW w:type="dxa" w:w="2074"/>
            <w:vAlign w:val="center"/>
          </w:tcPr>
          <w:p>
            <w:pPr>
              <w:spacing w:after="0"/>
            </w:pPr>
            <w:r>
              <w:t>Adult Income</w:t>
            </w:r>
          </w:p>
        </w:tc>
        <w:tc>
          <w:tcPr>
            <w:tcW w:type="dxa" w:w="2074"/>
            <w:vAlign w:val="center"/>
          </w:tcPr>
          <w:p>
            <w:pPr>
              <w:spacing w:after="0"/>
            </w:pPr>
            <w:r>
              <w:t>RF</w:t>
            </w:r>
          </w:p>
        </w:tc>
        <w:tc>
          <w:tcPr>
            <w:tcW w:type="dxa" w:w="2074"/>
            <w:vAlign w:val="center"/>
          </w:tcPr>
          <w:p>
            <w:pPr>
              <w:spacing w:after="0"/>
            </w:pPr>
            <w:r>
              <w:t>0.0865</w:t>
            </w:r>
          </w:p>
        </w:tc>
        <w:tc>
          <w:tcPr>
            <w:tcW w:type="dxa" w:w="2074"/>
            <w:vAlign w:val="center"/>
          </w:tcPr>
          <w:p>
            <w:pPr>
              <w:spacing w:after="0"/>
            </w:pPr>
            <w:r>
              <w:t>0.1189</w:t>
            </w:r>
          </w:p>
        </w:tc>
        <w:tc>
          <w:tcPr>
            <w:tcW w:type="dxa" w:w="2074"/>
            <w:vAlign w:val="center"/>
          </w:tcPr>
          <w:p>
            <w:pPr>
              <w:spacing w:after="0"/>
            </w:pPr>
            <w:r>
              <w:t>10/10</w:t>
            </w:r>
          </w:p>
        </w:tc>
      </w:tr>
      <w:tr>
        <w:tc>
          <w:tcPr>
            <w:tcW w:type="dxa" w:w="2074"/>
            <w:vAlign w:val="center"/>
          </w:tcPr>
          <w:p>
            <w:pPr>
              <w:spacing w:after="0"/>
            </w:pPr>
            <w:r>
              <w:t>Adult Income</w:t>
            </w:r>
          </w:p>
        </w:tc>
        <w:tc>
          <w:tcPr>
            <w:tcW w:type="dxa" w:w="2074"/>
            <w:vAlign w:val="center"/>
          </w:tcPr>
          <w:p>
            <w:pPr>
              <w:spacing w:after="0"/>
            </w:pPr>
            <w:r>
              <w:t>XGB</w:t>
            </w:r>
          </w:p>
        </w:tc>
        <w:tc>
          <w:tcPr>
            <w:tcW w:type="dxa" w:w="2074"/>
            <w:vAlign w:val="center"/>
          </w:tcPr>
          <w:p>
            <w:pPr>
              <w:spacing w:after="0"/>
            </w:pPr>
            <w:r>
              <w:t>0.0890</w:t>
            </w:r>
          </w:p>
        </w:tc>
        <w:tc>
          <w:tcPr>
            <w:tcW w:type="dxa" w:w="2074"/>
            <w:vAlign w:val="center"/>
          </w:tcPr>
          <w:p>
            <w:pPr>
              <w:spacing w:after="0"/>
            </w:pPr>
            <w:r>
              <w:t>0.1122</w:t>
            </w:r>
          </w:p>
        </w:tc>
        <w:tc>
          <w:tcPr>
            <w:tcW w:type="dxa" w:w="2074"/>
            <w:vAlign w:val="center"/>
          </w:tcPr>
          <w:p>
            <w:pPr>
              <w:spacing w:after="0"/>
            </w:pPr>
            <w:r>
              <w:t>10/10</w:t>
            </w:r>
          </w:p>
        </w:tc>
      </w:tr>
      <w:tr>
        <w:tc>
          <w:tcPr>
            <w:tcW w:type="dxa" w:w="2074"/>
            <w:vAlign w:val="center"/>
          </w:tcPr>
          <w:p>
            <w:pPr>
              <w:spacing w:after="0"/>
            </w:pPr>
            <w:r>
              <w:t>COMPAS</w:t>
            </w:r>
          </w:p>
        </w:tc>
        <w:tc>
          <w:tcPr>
            <w:tcW w:type="dxa" w:w="2074"/>
            <w:vAlign w:val="center"/>
          </w:tcPr>
          <w:p>
            <w:pPr>
              <w:spacing w:after="0"/>
            </w:pPr>
            <w:r>
              <w:t>LGB</w:t>
            </w:r>
          </w:p>
        </w:tc>
        <w:tc>
          <w:tcPr>
            <w:tcW w:type="dxa" w:w="2074"/>
            <w:vAlign w:val="center"/>
          </w:tcPr>
          <w:p>
            <w:pPr>
              <w:spacing w:after="0"/>
            </w:pPr>
            <w:r>
              <w:t>0.0010</w:t>
            </w:r>
          </w:p>
        </w:tc>
        <w:tc>
          <w:tcPr>
            <w:tcW w:type="dxa" w:w="2074"/>
            <w:vAlign w:val="center"/>
          </w:tcPr>
          <w:p>
            <w:pPr>
              <w:spacing w:after="0"/>
            </w:pPr>
            <w:r>
              <w:t>-0.0349</w:t>
            </w:r>
          </w:p>
        </w:tc>
        <w:tc>
          <w:tcPr>
            <w:tcW w:type="dxa" w:w="2074"/>
            <w:vAlign w:val="center"/>
          </w:tcPr>
          <w:p>
            <w:pPr>
              <w:spacing w:after="0"/>
            </w:pPr>
            <w:r>
              <w:t>1/10</w:t>
            </w:r>
          </w:p>
        </w:tc>
      </w:tr>
      <w:tr>
        <w:tc>
          <w:tcPr>
            <w:tcW w:type="dxa" w:w="2074"/>
            <w:vAlign w:val="center"/>
          </w:tcPr>
          <w:p>
            <w:pPr>
              <w:spacing w:after="0"/>
            </w:pPr>
            <w:r>
              <w:t>COMPAS</w:t>
            </w:r>
          </w:p>
        </w:tc>
        <w:tc>
          <w:tcPr>
            <w:tcW w:type="dxa" w:w="2074"/>
            <w:vAlign w:val="center"/>
          </w:tcPr>
          <w:p>
            <w:pPr>
              <w:spacing w:after="0"/>
            </w:pPr>
            <w:r>
              <w:t>MLP</w:t>
            </w:r>
          </w:p>
        </w:tc>
        <w:tc>
          <w:tcPr>
            <w:tcW w:type="dxa" w:w="2074"/>
            <w:vAlign w:val="center"/>
          </w:tcPr>
          <w:p>
            <w:pPr>
              <w:spacing w:after="0"/>
            </w:pPr>
            <w:r>
              <w:t>0.0293</w:t>
            </w:r>
          </w:p>
        </w:tc>
        <w:tc>
          <w:tcPr>
            <w:tcW w:type="dxa" w:w="2074"/>
            <w:vAlign w:val="center"/>
          </w:tcPr>
          <w:p>
            <w:pPr>
              <w:spacing w:after="0"/>
            </w:pPr>
            <w:r>
              <w:t>-0.0113</w:t>
            </w:r>
          </w:p>
        </w:tc>
        <w:tc>
          <w:tcPr>
            <w:tcW w:type="dxa" w:w="2074"/>
            <w:vAlign w:val="center"/>
          </w:tcPr>
          <w:p>
            <w:pPr>
              <w:spacing w:after="0"/>
            </w:pPr>
            <w:r>
              <w:t>3/10</w:t>
            </w:r>
          </w:p>
        </w:tc>
      </w:tr>
      <w:tr>
        <w:tc>
          <w:tcPr>
            <w:tcW w:type="dxa" w:w="2074"/>
            <w:vAlign w:val="center"/>
          </w:tcPr>
          <w:p>
            <w:pPr>
              <w:spacing w:after="0"/>
            </w:pPr>
            <w:r>
              <w:t>COMPAS</w:t>
            </w:r>
          </w:p>
        </w:tc>
        <w:tc>
          <w:tcPr>
            <w:tcW w:type="dxa" w:w="2074"/>
            <w:vAlign w:val="center"/>
          </w:tcPr>
          <w:p>
            <w:pPr>
              <w:spacing w:after="0"/>
            </w:pPr>
            <w:r>
              <w:t>RF</w:t>
            </w:r>
          </w:p>
        </w:tc>
        <w:tc>
          <w:tcPr>
            <w:tcW w:type="dxa" w:w="2074"/>
            <w:vAlign w:val="center"/>
          </w:tcPr>
          <w:p>
            <w:pPr>
              <w:spacing w:after="0"/>
            </w:pPr>
            <w:r>
              <w:t>0.0047</w:t>
            </w:r>
          </w:p>
        </w:tc>
        <w:tc>
          <w:tcPr>
            <w:tcW w:type="dxa" w:w="2074"/>
            <w:vAlign w:val="center"/>
          </w:tcPr>
          <w:p>
            <w:pPr>
              <w:spacing w:after="0"/>
            </w:pPr>
            <w:r>
              <w:t>-0.0150</w:t>
            </w:r>
          </w:p>
        </w:tc>
        <w:tc>
          <w:tcPr>
            <w:tcW w:type="dxa" w:w="2074"/>
            <w:vAlign w:val="center"/>
          </w:tcPr>
          <w:p>
            <w:pPr>
              <w:spacing w:after="0"/>
            </w:pPr>
            <w:r>
              <w:t>3/10</w:t>
            </w:r>
          </w:p>
        </w:tc>
      </w:tr>
      <w:tr>
        <w:tc>
          <w:tcPr>
            <w:tcW w:type="dxa" w:w="2074"/>
            <w:vAlign w:val="center"/>
          </w:tcPr>
          <w:p>
            <w:pPr>
              <w:spacing w:after="0"/>
            </w:pPr>
            <w:r>
              <w:t>COMPAS</w:t>
            </w:r>
          </w:p>
        </w:tc>
        <w:tc>
          <w:tcPr>
            <w:tcW w:type="dxa" w:w="2074"/>
            <w:vAlign w:val="center"/>
          </w:tcPr>
          <w:p>
            <w:pPr>
              <w:spacing w:after="0"/>
            </w:pPr>
            <w:r>
              <w:t>XGB</w:t>
            </w:r>
          </w:p>
        </w:tc>
        <w:tc>
          <w:tcPr>
            <w:tcW w:type="dxa" w:w="2074"/>
            <w:vAlign w:val="center"/>
          </w:tcPr>
          <w:p>
            <w:pPr>
              <w:spacing w:after="0"/>
            </w:pPr>
            <w:r>
              <w:t>-0.0060</w:t>
            </w:r>
          </w:p>
        </w:tc>
        <w:tc>
          <w:tcPr>
            <w:tcW w:type="dxa" w:w="2074"/>
            <w:vAlign w:val="center"/>
          </w:tcPr>
          <w:p>
            <w:pPr>
              <w:spacing w:after="0"/>
            </w:pPr>
            <w:r>
              <w:t>-0.0329</w:t>
            </w:r>
          </w:p>
        </w:tc>
        <w:tc>
          <w:tcPr>
            <w:tcW w:type="dxa" w:w="2074"/>
            <w:vAlign w:val="center"/>
          </w:tcPr>
          <w:p>
            <w:pPr>
              <w:spacing w:after="0"/>
            </w:pPr>
            <w:r>
              <w:t>1/10</w:t>
            </w:r>
          </w:p>
        </w:tc>
      </w:tr>
      <w:tr>
        <w:tc>
          <w:tcPr>
            <w:tcW w:type="dxa" w:w="2074"/>
            <w:vAlign w:val="center"/>
          </w:tcPr>
          <w:p>
            <w:pPr>
              <w:spacing w:after="0"/>
            </w:pPr>
            <w:r>
              <w:t>Taiwan Credit</w:t>
            </w:r>
          </w:p>
        </w:tc>
        <w:tc>
          <w:tcPr>
            <w:tcW w:type="dxa" w:w="2074"/>
            <w:vAlign w:val="center"/>
          </w:tcPr>
          <w:p>
            <w:pPr>
              <w:spacing w:after="0"/>
            </w:pPr>
            <w:r>
              <w:t>LGB</w:t>
            </w:r>
          </w:p>
        </w:tc>
        <w:tc>
          <w:tcPr>
            <w:tcW w:type="dxa" w:w="2074"/>
            <w:vAlign w:val="center"/>
          </w:tcPr>
          <w:p>
            <w:pPr>
              <w:spacing w:after="0"/>
            </w:pPr>
            <w:r>
              <w:t>0.0728</w:t>
            </w:r>
          </w:p>
        </w:tc>
        <w:tc>
          <w:tcPr>
            <w:tcW w:type="dxa" w:w="2074"/>
            <w:vAlign w:val="center"/>
          </w:tcPr>
          <w:p>
            <w:pPr>
              <w:spacing w:after="0"/>
            </w:pPr>
            <w:r>
              <w:t>0.0803</w:t>
            </w:r>
          </w:p>
        </w:tc>
        <w:tc>
          <w:tcPr>
            <w:tcW w:type="dxa" w:w="2074"/>
            <w:vAlign w:val="center"/>
          </w:tcPr>
          <w:p>
            <w:pPr>
              <w:spacing w:after="0"/>
            </w:pPr>
            <w:r>
              <w:t>10/10</w:t>
            </w:r>
          </w:p>
        </w:tc>
      </w:tr>
      <w:tr>
        <w:tc>
          <w:tcPr>
            <w:tcW w:type="dxa" w:w="2074"/>
            <w:vAlign w:val="center"/>
          </w:tcPr>
          <w:p>
            <w:pPr>
              <w:spacing w:after="0"/>
            </w:pPr>
            <w:r>
              <w:t>Taiwan Credit</w:t>
            </w:r>
          </w:p>
        </w:tc>
        <w:tc>
          <w:tcPr>
            <w:tcW w:type="dxa" w:w="2074"/>
            <w:vAlign w:val="center"/>
          </w:tcPr>
          <w:p>
            <w:pPr>
              <w:spacing w:after="0"/>
            </w:pPr>
            <w:r>
              <w:t>MLP</w:t>
            </w:r>
          </w:p>
        </w:tc>
        <w:tc>
          <w:tcPr>
            <w:tcW w:type="dxa" w:w="2074"/>
            <w:vAlign w:val="center"/>
          </w:tcPr>
          <w:p>
            <w:pPr>
              <w:spacing w:after="0"/>
            </w:pPr>
            <w:r>
              <w:t>0.0701</w:t>
            </w:r>
          </w:p>
        </w:tc>
        <w:tc>
          <w:tcPr>
            <w:tcW w:type="dxa" w:w="2074"/>
            <w:vAlign w:val="center"/>
          </w:tcPr>
          <w:p>
            <w:pPr>
              <w:spacing w:after="0"/>
            </w:pPr>
            <w:r>
              <w:t>0.0821</w:t>
            </w:r>
          </w:p>
        </w:tc>
        <w:tc>
          <w:tcPr>
            <w:tcW w:type="dxa" w:w="2074"/>
            <w:vAlign w:val="center"/>
          </w:tcPr>
          <w:p>
            <w:pPr>
              <w:spacing w:after="0"/>
            </w:pPr>
            <w:r>
              <w:t>10/10</w:t>
            </w:r>
          </w:p>
        </w:tc>
      </w:tr>
      <w:tr>
        <w:tc>
          <w:tcPr>
            <w:tcW w:type="dxa" w:w="2074"/>
            <w:vAlign w:val="center"/>
          </w:tcPr>
          <w:p>
            <w:pPr>
              <w:spacing w:after="0"/>
            </w:pPr>
            <w:r>
              <w:t>Taiwan Credit</w:t>
            </w:r>
          </w:p>
        </w:tc>
        <w:tc>
          <w:tcPr>
            <w:tcW w:type="dxa" w:w="2074"/>
            <w:vAlign w:val="center"/>
          </w:tcPr>
          <w:p>
            <w:pPr>
              <w:spacing w:after="0"/>
            </w:pPr>
            <w:r>
              <w:t>RF</w:t>
            </w:r>
          </w:p>
        </w:tc>
        <w:tc>
          <w:tcPr>
            <w:tcW w:type="dxa" w:w="2074"/>
            <w:vAlign w:val="center"/>
          </w:tcPr>
          <w:p>
            <w:pPr>
              <w:spacing w:after="0"/>
            </w:pPr>
            <w:r>
              <w:t>0.0812</w:t>
            </w:r>
          </w:p>
        </w:tc>
        <w:tc>
          <w:tcPr>
            <w:tcW w:type="dxa" w:w="2074"/>
            <w:vAlign w:val="center"/>
          </w:tcPr>
          <w:p>
            <w:pPr>
              <w:spacing w:after="0"/>
            </w:pPr>
            <w:r>
              <w:t>0.0856</w:t>
            </w:r>
          </w:p>
        </w:tc>
        <w:tc>
          <w:tcPr>
            <w:tcW w:type="dxa" w:w="2074"/>
            <w:vAlign w:val="center"/>
          </w:tcPr>
          <w:p>
            <w:pPr>
              <w:spacing w:after="0"/>
            </w:pPr>
            <w:r>
              <w:t>10/10</w:t>
            </w:r>
          </w:p>
        </w:tc>
      </w:tr>
      <w:tr>
        <w:tc>
          <w:tcPr>
            <w:tcW w:type="dxa" w:w="2074"/>
            <w:vAlign w:val="center"/>
          </w:tcPr>
          <w:p>
            <w:pPr>
              <w:spacing w:after="0"/>
            </w:pPr>
            <w:r>
              <w:t>Taiwan Credit</w:t>
            </w:r>
          </w:p>
        </w:tc>
        <w:tc>
          <w:tcPr>
            <w:tcW w:type="dxa" w:w="2074"/>
            <w:vAlign w:val="center"/>
          </w:tcPr>
          <w:p>
            <w:pPr>
              <w:spacing w:after="0"/>
            </w:pPr>
            <w:r>
              <w:t>XGB</w:t>
            </w:r>
          </w:p>
        </w:tc>
        <w:tc>
          <w:tcPr>
            <w:tcW w:type="dxa" w:w="2074"/>
            <w:vAlign w:val="center"/>
          </w:tcPr>
          <w:p>
            <w:pPr>
              <w:spacing w:after="0"/>
            </w:pPr>
            <w:r>
              <w:t>0.0658</w:t>
            </w:r>
          </w:p>
        </w:tc>
        <w:tc>
          <w:tcPr>
            <w:tcW w:type="dxa" w:w="2074"/>
            <w:vAlign w:val="center"/>
          </w:tcPr>
          <w:p>
            <w:pPr>
              <w:spacing w:after="0"/>
            </w:pPr>
            <w:r>
              <w:t>0.0742</w:t>
            </w:r>
          </w:p>
        </w:tc>
        <w:tc>
          <w:tcPr>
            <w:tcW w:type="dxa" w:w="2074"/>
            <w:vAlign w:val="center"/>
          </w:tcPr>
          <w:p>
            <w:pPr>
              <w:spacing w:after="0"/>
            </w:pPr>
            <w:r>
              <w:t>10/10</w:t>
            </w:r>
          </w:p>
        </w:tc>
      </w:tr>
    </w:tbl>
    <w:p/>
    <w:p>
      <w:r>
        <w:t>Corrected source files: `adult_corrected_rerun/complementary_group_summary_corrected_adult.csv` and `adult_corrected_rerun/complementary_group_per_seed_corrected_adult.csv`.</w:t>
      </w:r>
    </w:p>
    <w:p>
      <w:r>
        <w:t>Table S2. Association between clean baseline focus-group recall and FMG at 20% MCAR, calculated separately for each dataset-model pair across ten repeated splits. Spearman coefficients are descriptive and are not interpreted as explanatory or causal.</w:t>
      </w:r>
    </w:p>
    <w:p>
      <w:pPr>
        <w:pStyle w:val="Heading2"/>
      </w:pPr>
      <w:r>
        <w:t>Table S2. Baseline-recall association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F4"/>
          </w:tcPr>
          <w:p>
            <w:pPr>
              <w:spacing w:after="0"/>
            </w:pPr>
            <w:r>
              <w:t>Dataset</w:t>
            </w:r>
          </w:p>
        </w:tc>
        <w:tc>
          <w:tcPr>
            <w:tcW w:type="dxa" w:w="2074"/>
            <w:vAlign w:val="center"/>
            <w:shd w:fill="DCEEF4"/>
          </w:tcPr>
          <w:p>
            <w:pPr>
              <w:spacing w:after="0"/>
            </w:pPr>
            <w:r>
              <w:t>Model</w:t>
            </w:r>
          </w:p>
        </w:tc>
        <w:tc>
          <w:tcPr>
            <w:tcW w:type="dxa" w:w="2074"/>
            <w:vAlign w:val="center"/>
            <w:shd w:fill="DCEEF4"/>
          </w:tcPr>
          <w:p>
            <w:pPr>
              <w:spacing w:after="0"/>
            </w:pPr>
            <w:r>
              <w:t>Split pairs</w:t>
            </w:r>
          </w:p>
        </w:tc>
        <w:tc>
          <w:tcPr>
            <w:tcW w:type="dxa" w:w="2074"/>
            <w:vAlign w:val="center"/>
            <w:shd w:fill="DCEEF4"/>
          </w:tcPr>
          <w:p>
            <w:pPr>
              <w:spacing w:after="0"/>
            </w:pPr>
            <w:r>
              <w:t>Baseline recall range</w:t>
            </w:r>
          </w:p>
        </w:tc>
        <w:tc>
          <w:tcPr>
            <w:tcW w:type="dxa" w:w="2074"/>
            <w:vAlign w:val="center"/>
            <w:shd w:fill="DCEEF4"/>
          </w:tcPr>
          <w:p>
            <w:pPr>
              <w:spacing w:after="0"/>
            </w:pPr>
            <w:r>
              <w:t>Spearman rho</w:t>
            </w:r>
          </w:p>
        </w:tc>
      </w:tr>
      <w:tr>
        <w:tc>
          <w:tcPr>
            <w:tcW w:type="dxa" w:w="2074"/>
            <w:vAlign w:val="center"/>
          </w:tcPr>
          <w:p>
            <w:pPr>
              <w:spacing w:after="0"/>
            </w:pPr>
            <w:r>
              <w:t>Adult Income</w:t>
            </w:r>
          </w:p>
        </w:tc>
        <w:tc>
          <w:tcPr>
            <w:tcW w:type="dxa" w:w="2074"/>
            <w:vAlign w:val="center"/>
          </w:tcPr>
          <w:p>
            <w:pPr>
              <w:spacing w:after="0"/>
            </w:pPr>
            <w:r>
              <w:t>LGB</w:t>
            </w:r>
          </w:p>
        </w:tc>
        <w:tc>
          <w:tcPr>
            <w:tcW w:type="dxa" w:w="2074"/>
            <w:vAlign w:val="center"/>
          </w:tcPr>
          <w:p>
            <w:pPr>
              <w:spacing w:after="0"/>
            </w:pPr>
            <w:r>
              <w:t>10</w:t>
            </w:r>
          </w:p>
        </w:tc>
        <w:tc>
          <w:tcPr>
            <w:tcW w:type="dxa" w:w="2074"/>
            <w:vAlign w:val="center"/>
          </w:tcPr>
          <w:p>
            <w:pPr>
              <w:spacing w:after="0"/>
            </w:pPr>
            <w:r>
              <w:t>0.5539–0.6758</w:t>
            </w:r>
          </w:p>
        </w:tc>
        <w:tc>
          <w:tcPr>
            <w:tcW w:type="dxa" w:w="2074"/>
            <w:vAlign w:val="center"/>
          </w:tcPr>
          <w:p>
            <w:pPr>
              <w:spacing w:after="0"/>
            </w:pPr>
            <w:r>
              <w:t>0.418</w:t>
            </w:r>
          </w:p>
        </w:tc>
      </w:tr>
      <w:tr>
        <w:tc>
          <w:tcPr>
            <w:tcW w:type="dxa" w:w="2074"/>
            <w:vAlign w:val="center"/>
          </w:tcPr>
          <w:p>
            <w:pPr>
              <w:spacing w:after="0"/>
            </w:pPr>
            <w:r>
              <w:t>Adult Income</w:t>
            </w:r>
          </w:p>
        </w:tc>
        <w:tc>
          <w:tcPr>
            <w:tcW w:type="dxa" w:w="2074"/>
            <w:vAlign w:val="center"/>
          </w:tcPr>
          <w:p>
            <w:pPr>
              <w:spacing w:after="0"/>
            </w:pPr>
            <w:r>
              <w:t>MLP</w:t>
            </w:r>
          </w:p>
        </w:tc>
        <w:tc>
          <w:tcPr>
            <w:tcW w:type="dxa" w:w="2074"/>
            <w:vAlign w:val="center"/>
          </w:tcPr>
          <w:p>
            <w:pPr>
              <w:spacing w:after="0"/>
            </w:pPr>
            <w:r>
              <w:t>10</w:t>
            </w:r>
          </w:p>
        </w:tc>
        <w:tc>
          <w:tcPr>
            <w:tcW w:type="dxa" w:w="2074"/>
            <w:vAlign w:val="center"/>
          </w:tcPr>
          <w:p>
            <w:pPr>
              <w:spacing w:after="0"/>
            </w:pPr>
            <w:r>
              <w:t>0.3343–0.5476</w:t>
            </w:r>
          </w:p>
        </w:tc>
        <w:tc>
          <w:tcPr>
            <w:tcW w:type="dxa" w:w="2074"/>
            <w:vAlign w:val="center"/>
          </w:tcPr>
          <w:p>
            <w:pPr>
              <w:spacing w:after="0"/>
            </w:pPr>
            <w:r>
              <w:t>0.370</w:t>
            </w:r>
          </w:p>
        </w:tc>
      </w:tr>
      <w:tr>
        <w:tc>
          <w:tcPr>
            <w:tcW w:type="dxa" w:w="2074"/>
            <w:vAlign w:val="center"/>
          </w:tcPr>
          <w:p>
            <w:pPr>
              <w:spacing w:after="0"/>
            </w:pPr>
            <w:r>
              <w:t>Adult Income</w:t>
            </w:r>
          </w:p>
        </w:tc>
        <w:tc>
          <w:tcPr>
            <w:tcW w:type="dxa" w:w="2074"/>
            <w:vAlign w:val="center"/>
          </w:tcPr>
          <w:p>
            <w:pPr>
              <w:spacing w:after="0"/>
            </w:pPr>
            <w:r>
              <w:t>RF</w:t>
            </w:r>
          </w:p>
        </w:tc>
        <w:tc>
          <w:tcPr>
            <w:tcW w:type="dxa" w:w="2074"/>
            <w:vAlign w:val="center"/>
          </w:tcPr>
          <w:p>
            <w:pPr>
              <w:spacing w:after="0"/>
            </w:pPr>
            <w:r>
              <w:t>10</w:t>
            </w:r>
          </w:p>
        </w:tc>
        <w:tc>
          <w:tcPr>
            <w:tcW w:type="dxa" w:w="2074"/>
            <w:vAlign w:val="center"/>
          </w:tcPr>
          <w:p>
            <w:pPr>
              <w:spacing w:after="0"/>
            </w:pPr>
            <w:r>
              <w:t>0.5120–0.6006</w:t>
            </w:r>
          </w:p>
        </w:tc>
        <w:tc>
          <w:tcPr>
            <w:tcW w:type="dxa" w:w="2074"/>
            <w:vAlign w:val="center"/>
          </w:tcPr>
          <w:p>
            <w:pPr>
              <w:spacing w:after="0"/>
            </w:pPr>
            <w:r>
              <w:t>0.467</w:t>
            </w:r>
          </w:p>
        </w:tc>
      </w:tr>
      <w:tr>
        <w:tc>
          <w:tcPr>
            <w:tcW w:type="dxa" w:w="2074"/>
            <w:vAlign w:val="center"/>
          </w:tcPr>
          <w:p>
            <w:pPr>
              <w:spacing w:after="0"/>
            </w:pPr>
            <w:r>
              <w:t>Adult Income</w:t>
            </w:r>
          </w:p>
        </w:tc>
        <w:tc>
          <w:tcPr>
            <w:tcW w:type="dxa" w:w="2074"/>
            <w:vAlign w:val="center"/>
          </w:tcPr>
          <w:p>
            <w:pPr>
              <w:spacing w:after="0"/>
            </w:pPr>
            <w:r>
              <w:t>XGB</w:t>
            </w:r>
          </w:p>
        </w:tc>
        <w:tc>
          <w:tcPr>
            <w:tcW w:type="dxa" w:w="2074"/>
            <w:vAlign w:val="center"/>
          </w:tcPr>
          <w:p>
            <w:pPr>
              <w:spacing w:after="0"/>
            </w:pPr>
            <w:r>
              <w:t>10</w:t>
            </w:r>
          </w:p>
        </w:tc>
        <w:tc>
          <w:tcPr>
            <w:tcW w:type="dxa" w:w="2074"/>
            <w:vAlign w:val="center"/>
          </w:tcPr>
          <w:p>
            <w:pPr>
              <w:spacing w:after="0"/>
            </w:pPr>
            <w:r>
              <w:t>0.5599–0.6391</w:t>
            </w:r>
          </w:p>
        </w:tc>
        <w:tc>
          <w:tcPr>
            <w:tcW w:type="dxa" w:w="2074"/>
            <w:vAlign w:val="center"/>
          </w:tcPr>
          <w:p>
            <w:pPr>
              <w:spacing w:after="0"/>
            </w:pPr>
            <w:r>
              <w:t>0.806</w:t>
            </w:r>
          </w:p>
        </w:tc>
      </w:tr>
      <w:tr>
        <w:tc>
          <w:tcPr>
            <w:tcW w:type="dxa" w:w="2074"/>
            <w:vAlign w:val="center"/>
          </w:tcPr>
          <w:p>
            <w:pPr>
              <w:spacing w:after="0"/>
            </w:pPr>
            <w:r>
              <w:t>COMPAS</w:t>
            </w:r>
          </w:p>
        </w:tc>
        <w:tc>
          <w:tcPr>
            <w:tcW w:type="dxa" w:w="2074"/>
            <w:vAlign w:val="center"/>
          </w:tcPr>
          <w:p>
            <w:pPr>
              <w:spacing w:after="0"/>
            </w:pPr>
            <w:r>
              <w:t>LGB</w:t>
            </w:r>
          </w:p>
        </w:tc>
        <w:tc>
          <w:tcPr>
            <w:tcW w:type="dxa" w:w="2074"/>
            <w:vAlign w:val="center"/>
          </w:tcPr>
          <w:p>
            <w:pPr>
              <w:spacing w:after="0"/>
            </w:pPr>
            <w:r>
              <w:t>10</w:t>
            </w:r>
          </w:p>
        </w:tc>
        <w:tc>
          <w:tcPr>
            <w:tcW w:type="dxa" w:w="2074"/>
            <w:vAlign w:val="center"/>
          </w:tcPr>
          <w:p>
            <w:pPr>
              <w:spacing w:after="0"/>
            </w:pPr>
            <w:r>
              <w:t>0.6703–0.7173</w:t>
            </w:r>
          </w:p>
        </w:tc>
        <w:tc>
          <w:tcPr>
            <w:tcW w:type="dxa" w:w="2074"/>
            <w:vAlign w:val="center"/>
          </w:tcPr>
          <w:p>
            <w:pPr>
              <w:spacing w:after="0"/>
            </w:pPr>
            <w:r>
              <w:t>0.333</w:t>
            </w:r>
          </w:p>
        </w:tc>
      </w:tr>
      <w:tr>
        <w:tc>
          <w:tcPr>
            <w:tcW w:type="dxa" w:w="2074"/>
            <w:vAlign w:val="center"/>
          </w:tcPr>
          <w:p>
            <w:pPr>
              <w:spacing w:after="0"/>
            </w:pPr>
            <w:r>
              <w:t>COMPAS</w:t>
            </w:r>
          </w:p>
        </w:tc>
        <w:tc>
          <w:tcPr>
            <w:tcW w:type="dxa" w:w="2074"/>
            <w:vAlign w:val="center"/>
          </w:tcPr>
          <w:p>
            <w:pPr>
              <w:spacing w:after="0"/>
            </w:pPr>
            <w:r>
              <w:t>MLP</w:t>
            </w:r>
          </w:p>
        </w:tc>
        <w:tc>
          <w:tcPr>
            <w:tcW w:type="dxa" w:w="2074"/>
            <w:vAlign w:val="center"/>
          </w:tcPr>
          <w:p>
            <w:pPr>
              <w:spacing w:after="0"/>
            </w:pPr>
            <w:r>
              <w:t>10</w:t>
            </w:r>
          </w:p>
        </w:tc>
        <w:tc>
          <w:tcPr>
            <w:tcW w:type="dxa" w:w="2074"/>
            <w:vAlign w:val="center"/>
          </w:tcPr>
          <w:p>
            <w:pPr>
              <w:spacing w:after="0"/>
            </w:pPr>
            <w:r>
              <w:t>0.6417–0.7962</w:t>
            </w:r>
          </w:p>
        </w:tc>
        <w:tc>
          <w:tcPr>
            <w:tcW w:type="dxa" w:w="2074"/>
            <w:vAlign w:val="center"/>
          </w:tcPr>
          <w:p>
            <w:pPr>
              <w:spacing w:after="0"/>
            </w:pPr>
            <w:r>
              <w:t>-0.394</w:t>
            </w:r>
          </w:p>
        </w:tc>
      </w:tr>
      <w:tr>
        <w:tc>
          <w:tcPr>
            <w:tcW w:type="dxa" w:w="2074"/>
            <w:vAlign w:val="center"/>
          </w:tcPr>
          <w:p>
            <w:pPr>
              <w:spacing w:after="0"/>
            </w:pPr>
            <w:r>
              <w:t>COMPAS</w:t>
            </w:r>
          </w:p>
        </w:tc>
        <w:tc>
          <w:tcPr>
            <w:tcW w:type="dxa" w:w="2074"/>
            <w:vAlign w:val="center"/>
          </w:tcPr>
          <w:p>
            <w:pPr>
              <w:spacing w:after="0"/>
            </w:pPr>
            <w:r>
              <w:t>RF</w:t>
            </w:r>
          </w:p>
        </w:tc>
        <w:tc>
          <w:tcPr>
            <w:tcW w:type="dxa" w:w="2074"/>
            <w:vAlign w:val="center"/>
          </w:tcPr>
          <w:p>
            <w:pPr>
              <w:spacing w:after="0"/>
            </w:pPr>
            <w:r>
              <w:t>10</w:t>
            </w:r>
          </w:p>
        </w:tc>
        <w:tc>
          <w:tcPr>
            <w:tcW w:type="dxa" w:w="2074"/>
            <w:vAlign w:val="center"/>
          </w:tcPr>
          <w:p>
            <w:pPr>
              <w:spacing w:after="0"/>
            </w:pPr>
            <w:r>
              <w:t>0.6340–0.7062</w:t>
            </w:r>
          </w:p>
        </w:tc>
        <w:tc>
          <w:tcPr>
            <w:tcW w:type="dxa" w:w="2074"/>
            <w:vAlign w:val="center"/>
          </w:tcPr>
          <w:p>
            <w:pPr>
              <w:spacing w:after="0"/>
            </w:pPr>
            <w:r>
              <w:t>0.188</w:t>
            </w:r>
          </w:p>
        </w:tc>
      </w:tr>
      <w:tr>
        <w:tc>
          <w:tcPr>
            <w:tcW w:type="dxa" w:w="2074"/>
            <w:vAlign w:val="center"/>
          </w:tcPr>
          <w:p>
            <w:pPr>
              <w:spacing w:after="0"/>
            </w:pPr>
            <w:r>
              <w:t>COMPAS</w:t>
            </w:r>
          </w:p>
        </w:tc>
        <w:tc>
          <w:tcPr>
            <w:tcW w:type="dxa" w:w="2074"/>
            <w:vAlign w:val="center"/>
          </w:tcPr>
          <w:p>
            <w:pPr>
              <w:spacing w:after="0"/>
            </w:pPr>
            <w:r>
              <w:t>XGB</w:t>
            </w:r>
          </w:p>
        </w:tc>
        <w:tc>
          <w:tcPr>
            <w:tcW w:type="dxa" w:w="2074"/>
            <w:vAlign w:val="center"/>
          </w:tcPr>
          <w:p>
            <w:pPr>
              <w:spacing w:after="0"/>
            </w:pPr>
            <w:r>
              <w:t>10</w:t>
            </w:r>
          </w:p>
        </w:tc>
        <w:tc>
          <w:tcPr>
            <w:tcW w:type="dxa" w:w="2074"/>
            <w:vAlign w:val="center"/>
          </w:tcPr>
          <w:p>
            <w:pPr>
              <w:spacing w:after="0"/>
            </w:pPr>
            <w:r>
              <w:t>0.6612–0.7261</w:t>
            </w:r>
          </w:p>
        </w:tc>
        <w:tc>
          <w:tcPr>
            <w:tcW w:type="dxa" w:w="2074"/>
            <w:vAlign w:val="center"/>
          </w:tcPr>
          <w:p>
            <w:pPr>
              <w:spacing w:after="0"/>
            </w:pPr>
            <w:r>
              <w:t>0.576</w:t>
            </w:r>
          </w:p>
        </w:tc>
      </w:tr>
      <w:tr>
        <w:tc>
          <w:tcPr>
            <w:tcW w:type="dxa" w:w="2074"/>
            <w:vAlign w:val="center"/>
          </w:tcPr>
          <w:p>
            <w:pPr>
              <w:spacing w:after="0"/>
            </w:pPr>
            <w:r>
              <w:t>Taiwan Credit</w:t>
            </w:r>
          </w:p>
        </w:tc>
        <w:tc>
          <w:tcPr>
            <w:tcW w:type="dxa" w:w="2074"/>
            <w:vAlign w:val="center"/>
          </w:tcPr>
          <w:p>
            <w:pPr>
              <w:spacing w:after="0"/>
            </w:pPr>
            <w:r>
              <w:t>LGB</w:t>
            </w:r>
          </w:p>
        </w:tc>
        <w:tc>
          <w:tcPr>
            <w:tcW w:type="dxa" w:w="2074"/>
            <w:vAlign w:val="center"/>
          </w:tcPr>
          <w:p>
            <w:pPr>
              <w:spacing w:after="0"/>
            </w:pPr>
            <w:r>
              <w:t>10</w:t>
            </w:r>
          </w:p>
        </w:tc>
        <w:tc>
          <w:tcPr>
            <w:tcW w:type="dxa" w:w="2074"/>
            <w:vAlign w:val="center"/>
          </w:tcPr>
          <w:p>
            <w:pPr>
              <w:spacing w:after="0"/>
            </w:pPr>
            <w:r>
              <w:t>0.3330–0.3752</w:t>
            </w:r>
          </w:p>
        </w:tc>
        <w:tc>
          <w:tcPr>
            <w:tcW w:type="dxa" w:w="2074"/>
            <w:vAlign w:val="center"/>
          </w:tcPr>
          <w:p>
            <w:pPr>
              <w:spacing w:after="0"/>
            </w:pPr>
            <w:r>
              <w:t>-0.079</w:t>
            </w:r>
          </w:p>
        </w:tc>
      </w:tr>
      <w:tr>
        <w:tc>
          <w:tcPr>
            <w:tcW w:type="dxa" w:w="2074"/>
            <w:vAlign w:val="center"/>
          </w:tcPr>
          <w:p>
            <w:pPr>
              <w:spacing w:after="0"/>
            </w:pPr>
            <w:r>
              <w:t>Taiwan Credit</w:t>
            </w:r>
          </w:p>
        </w:tc>
        <w:tc>
          <w:tcPr>
            <w:tcW w:type="dxa" w:w="2074"/>
            <w:vAlign w:val="center"/>
          </w:tcPr>
          <w:p>
            <w:pPr>
              <w:spacing w:after="0"/>
            </w:pPr>
            <w:r>
              <w:t>MLP</w:t>
            </w:r>
          </w:p>
        </w:tc>
        <w:tc>
          <w:tcPr>
            <w:tcW w:type="dxa" w:w="2074"/>
            <w:vAlign w:val="center"/>
          </w:tcPr>
          <w:p>
            <w:pPr>
              <w:spacing w:after="0"/>
            </w:pPr>
            <w:r>
              <w:t>10</w:t>
            </w:r>
          </w:p>
        </w:tc>
        <w:tc>
          <w:tcPr>
            <w:tcW w:type="dxa" w:w="2074"/>
            <w:vAlign w:val="center"/>
          </w:tcPr>
          <w:p>
            <w:pPr>
              <w:spacing w:after="0"/>
            </w:pPr>
            <w:r>
              <w:t>0.3339–0.4112</w:t>
            </w:r>
          </w:p>
        </w:tc>
        <w:tc>
          <w:tcPr>
            <w:tcW w:type="dxa" w:w="2074"/>
            <w:vAlign w:val="center"/>
          </w:tcPr>
          <w:p>
            <w:pPr>
              <w:spacing w:after="0"/>
            </w:pPr>
            <w:r>
              <w:t>0.576</w:t>
            </w:r>
          </w:p>
        </w:tc>
      </w:tr>
      <w:tr>
        <w:tc>
          <w:tcPr>
            <w:tcW w:type="dxa" w:w="2074"/>
            <w:vAlign w:val="center"/>
          </w:tcPr>
          <w:p>
            <w:pPr>
              <w:spacing w:after="0"/>
            </w:pPr>
            <w:r>
              <w:t>Taiwan Credit</w:t>
            </w:r>
          </w:p>
        </w:tc>
        <w:tc>
          <w:tcPr>
            <w:tcW w:type="dxa" w:w="2074"/>
            <w:vAlign w:val="center"/>
          </w:tcPr>
          <w:p>
            <w:pPr>
              <w:spacing w:after="0"/>
            </w:pPr>
            <w:r>
              <w:t>RF</w:t>
            </w:r>
          </w:p>
        </w:tc>
        <w:tc>
          <w:tcPr>
            <w:tcW w:type="dxa" w:w="2074"/>
            <w:vAlign w:val="center"/>
          </w:tcPr>
          <w:p>
            <w:pPr>
              <w:spacing w:after="0"/>
            </w:pPr>
            <w:r>
              <w:t>10</w:t>
            </w:r>
          </w:p>
        </w:tc>
        <w:tc>
          <w:tcPr>
            <w:tcW w:type="dxa" w:w="2074"/>
            <w:vAlign w:val="center"/>
          </w:tcPr>
          <w:p>
            <w:pPr>
              <w:spacing w:after="0"/>
            </w:pPr>
            <w:r>
              <w:t>0.3410–0.3770</w:t>
            </w:r>
          </w:p>
        </w:tc>
        <w:tc>
          <w:tcPr>
            <w:tcW w:type="dxa" w:w="2074"/>
            <w:vAlign w:val="center"/>
          </w:tcPr>
          <w:p>
            <w:pPr>
              <w:spacing w:after="0"/>
            </w:pPr>
            <w:r>
              <w:t>0.345</w:t>
            </w:r>
          </w:p>
        </w:tc>
      </w:tr>
      <w:tr>
        <w:tc>
          <w:tcPr>
            <w:tcW w:type="dxa" w:w="2074"/>
            <w:vAlign w:val="center"/>
          </w:tcPr>
          <w:p>
            <w:pPr>
              <w:spacing w:after="0"/>
            </w:pPr>
            <w:r>
              <w:t>Taiwan Credit</w:t>
            </w:r>
          </w:p>
        </w:tc>
        <w:tc>
          <w:tcPr>
            <w:tcW w:type="dxa" w:w="2074"/>
            <w:vAlign w:val="center"/>
          </w:tcPr>
          <w:p>
            <w:pPr>
              <w:spacing w:after="0"/>
            </w:pPr>
            <w:r>
              <w:t>XGB</w:t>
            </w:r>
          </w:p>
        </w:tc>
        <w:tc>
          <w:tcPr>
            <w:tcW w:type="dxa" w:w="2074"/>
            <w:vAlign w:val="center"/>
          </w:tcPr>
          <w:p>
            <w:pPr>
              <w:spacing w:after="0"/>
            </w:pPr>
            <w:r>
              <w:t>10</w:t>
            </w:r>
          </w:p>
        </w:tc>
        <w:tc>
          <w:tcPr>
            <w:tcW w:type="dxa" w:w="2074"/>
            <w:vAlign w:val="center"/>
          </w:tcPr>
          <w:p>
            <w:pPr>
              <w:spacing w:after="0"/>
            </w:pPr>
            <w:r>
              <w:t>0.3316–0.3709</w:t>
            </w:r>
          </w:p>
        </w:tc>
        <w:tc>
          <w:tcPr>
            <w:tcW w:type="dxa" w:w="2074"/>
            <w:vAlign w:val="center"/>
          </w:tcPr>
          <w:p>
            <w:pPr>
              <w:spacing w:after="0"/>
            </w:pPr>
            <w:r>
              <w:t>-0.285</w:t>
            </w:r>
          </w:p>
        </w:tc>
      </w:tr>
    </w:tbl>
    <w:p/>
    <w:p>
      <w:r>
        <w:t>Corrected source files: `adult_corrected_rerun/baseline_recall_summary_corrected_adult.csv` and `adult_corrected_rerun/baseline_recall_per_seed_corrected_adult.csv`.</w:t>
      </w:r>
    </w:p>
    <w:p>
      <w:r>
        <w:t>Table S3. Group-conditional MAR versus MCAR. The mechanism conditions cell-masking probabilities on the prespecified audit group. Means and positive-split counts describe the stated constructed mechanism only.</w:t>
      </w:r>
    </w:p>
    <w:p>
      <w:pPr>
        <w:pStyle w:val="Heading2"/>
      </w:pPr>
      <w:r>
        <w:t>Table S3. Group-conditional MAR summaries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CEEF4"/>
          </w:tcPr>
          <w:p>
            <w:pPr>
              <w:spacing w:after="0"/>
            </w:pPr>
            <w:r>
              <w:t>Dataset</w:t>
            </w:r>
          </w:p>
        </w:tc>
        <w:tc>
          <w:tcPr>
            <w:tcW w:type="dxa" w:w="1481"/>
            <w:vAlign w:val="center"/>
            <w:shd w:fill="DCEEF4"/>
          </w:tcPr>
          <w:p>
            <w:pPr>
              <w:spacing w:after="0"/>
            </w:pPr>
            <w:r>
              <w:t>Model</w:t>
            </w:r>
          </w:p>
        </w:tc>
        <w:tc>
          <w:tcPr>
            <w:tcW w:type="dxa" w:w="1481"/>
            <w:vAlign w:val="center"/>
            <w:shd w:fill="DCEEF4"/>
          </w:tcPr>
          <w:p>
            <w:pPr>
              <w:spacing w:after="0"/>
            </w:pPr>
            <w:r>
              <w:t>Rate</w:t>
            </w:r>
          </w:p>
        </w:tc>
        <w:tc>
          <w:tcPr>
            <w:tcW w:type="dxa" w:w="1481"/>
            <w:vAlign w:val="center"/>
            <w:shd w:fill="DCEEF4"/>
          </w:tcPr>
          <w:p>
            <w:pPr>
              <w:spacing w:after="0"/>
            </w:pPr>
            <w:r>
              <w:t>Mean MCAR FMG</w:t>
            </w:r>
          </w:p>
        </w:tc>
        <w:tc>
          <w:tcPr>
            <w:tcW w:type="dxa" w:w="1481"/>
            <w:vAlign w:val="center"/>
            <w:shd w:fill="DCEEF4"/>
          </w:tcPr>
          <w:p>
            <w:pPr>
              <w:spacing w:after="0"/>
            </w:pPr>
            <w:r>
              <w:t>Mean MAR FMG</w:t>
            </w:r>
          </w:p>
        </w:tc>
        <w:tc>
          <w:tcPr>
            <w:tcW w:type="dxa" w:w="1481"/>
            <w:vAlign w:val="center"/>
            <w:shd w:fill="DCEEF4"/>
          </w:tcPr>
          <w:p>
            <w:pPr>
              <w:spacing w:after="0"/>
            </w:pPr>
            <w:r>
              <w:t>Mean difference</w:t>
            </w:r>
          </w:p>
        </w:tc>
        <w:tc>
          <w:tcPr>
            <w:tcW w:type="dxa" w:w="1481"/>
            <w:vAlign w:val="center"/>
            <w:shd w:fill="DCEEF4"/>
          </w:tcPr>
          <w:p>
            <w:pPr>
              <w:spacing w:after="0"/>
            </w:pPr>
            <w:r>
              <w:t>Positive splits</w:t>
            </w:r>
          </w:p>
        </w:tc>
      </w:tr>
      <w:tr>
        <w:tc>
          <w:tcPr>
            <w:tcW w:type="dxa" w:w="1481"/>
            <w:vAlign w:val="center"/>
          </w:tcPr>
          <w:p>
            <w:pPr>
              <w:spacing w:after="0"/>
            </w:pPr>
            <w:r>
              <w:t>Adult Income</w:t>
            </w:r>
          </w:p>
        </w:tc>
        <w:tc>
          <w:tcPr>
            <w:tcW w:type="dxa" w:w="1481"/>
            <w:vAlign w:val="center"/>
          </w:tcPr>
          <w:p>
            <w:pPr>
              <w:spacing w:after="0"/>
            </w:pPr>
            <w:r>
              <w:t>LGB</w:t>
            </w:r>
          </w:p>
        </w:tc>
        <w:tc>
          <w:tcPr>
            <w:tcW w:type="dxa" w:w="1481"/>
            <w:vAlign w:val="center"/>
          </w:tcPr>
          <w:p>
            <w:pPr>
              <w:spacing w:after="0"/>
            </w:pPr>
            <w:r>
              <w:t>10%</w:t>
            </w:r>
          </w:p>
        </w:tc>
        <w:tc>
          <w:tcPr>
            <w:tcW w:type="dxa" w:w="1481"/>
            <w:vAlign w:val="center"/>
          </w:tcPr>
          <w:p>
            <w:pPr>
              <w:spacing w:after="0"/>
            </w:pPr>
            <w:r>
              <w:t>0.0488</w:t>
            </w:r>
          </w:p>
        </w:tc>
        <w:tc>
          <w:tcPr>
            <w:tcW w:type="dxa" w:w="1481"/>
            <w:vAlign w:val="center"/>
          </w:tcPr>
          <w:p>
            <w:pPr>
              <w:spacing w:after="0"/>
            </w:pPr>
            <w:r>
              <w:t>0.0728</w:t>
            </w:r>
          </w:p>
        </w:tc>
        <w:tc>
          <w:tcPr>
            <w:tcW w:type="dxa" w:w="1481"/>
            <w:vAlign w:val="center"/>
          </w:tcPr>
          <w:p>
            <w:pPr>
              <w:spacing w:after="0"/>
            </w:pPr>
            <w:r>
              <w:t>0.0240</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LGB</w:t>
            </w:r>
          </w:p>
        </w:tc>
        <w:tc>
          <w:tcPr>
            <w:tcW w:type="dxa" w:w="1481"/>
            <w:vAlign w:val="center"/>
          </w:tcPr>
          <w:p>
            <w:pPr>
              <w:spacing w:after="0"/>
            </w:pPr>
            <w:r>
              <w:t>20%</w:t>
            </w:r>
          </w:p>
        </w:tc>
        <w:tc>
          <w:tcPr>
            <w:tcW w:type="dxa" w:w="1481"/>
            <w:vAlign w:val="center"/>
          </w:tcPr>
          <w:p>
            <w:pPr>
              <w:spacing w:after="0"/>
            </w:pPr>
            <w:r>
              <w:t>0.0977</w:t>
            </w:r>
          </w:p>
        </w:tc>
        <w:tc>
          <w:tcPr>
            <w:tcW w:type="dxa" w:w="1481"/>
            <w:vAlign w:val="center"/>
          </w:tcPr>
          <w:p>
            <w:pPr>
              <w:spacing w:after="0"/>
            </w:pPr>
            <w:r>
              <w:t>0.1415</w:t>
            </w:r>
          </w:p>
        </w:tc>
        <w:tc>
          <w:tcPr>
            <w:tcW w:type="dxa" w:w="1481"/>
            <w:vAlign w:val="center"/>
          </w:tcPr>
          <w:p>
            <w:pPr>
              <w:spacing w:after="0"/>
            </w:pPr>
            <w:r>
              <w:t>0.0438</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MLP</w:t>
            </w:r>
          </w:p>
        </w:tc>
        <w:tc>
          <w:tcPr>
            <w:tcW w:type="dxa" w:w="1481"/>
            <w:vAlign w:val="center"/>
          </w:tcPr>
          <w:p>
            <w:pPr>
              <w:spacing w:after="0"/>
            </w:pPr>
            <w:r>
              <w:t>10%</w:t>
            </w:r>
          </w:p>
        </w:tc>
        <w:tc>
          <w:tcPr>
            <w:tcW w:type="dxa" w:w="1481"/>
            <w:vAlign w:val="center"/>
          </w:tcPr>
          <w:p>
            <w:pPr>
              <w:spacing w:after="0"/>
            </w:pPr>
            <w:r>
              <w:t>0.0379</w:t>
            </w:r>
          </w:p>
        </w:tc>
        <w:tc>
          <w:tcPr>
            <w:tcW w:type="dxa" w:w="1481"/>
            <w:vAlign w:val="center"/>
          </w:tcPr>
          <w:p>
            <w:pPr>
              <w:spacing w:after="0"/>
            </w:pPr>
            <w:r>
              <w:t>0.0539</w:t>
            </w:r>
          </w:p>
        </w:tc>
        <w:tc>
          <w:tcPr>
            <w:tcW w:type="dxa" w:w="1481"/>
            <w:vAlign w:val="center"/>
          </w:tcPr>
          <w:p>
            <w:pPr>
              <w:spacing w:after="0"/>
            </w:pPr>
            <w:r>
              <w:t>0.0159</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MLP</w:t>
            </w:r>
          </w:p>
        </w:tc>
        <w:tc>
          <w:tcPr>
            <w:tcW w:type="dxa" w:w="1481"/>
            <w:vAlign w:val="center"/>
          </w:tcPr>
          <w:p>
            <w:pPr>
              <w:spacing w:after="0"/>
            </w:pPr>
            <w:r>
              <w:t>20%</w:t>
            </w:r>
          </w:p>
        </w:tc>
        <w:tc>
          <w:tcPr>
            <w:tcW w:type="dxa" w:w="1481"/>
            <w:vAlign w:val="center"/>
          </w:tcPr>
          <w:p>
            <w:pPr>
              <w:spacing w:after="0"/>
            </w:pPr>
            <w:r>
              <w:t>0.0616</w:t>
            </w:r>
          </w:p>
        </w:tc>
        <w:tc>
          <w:tcPr>
            <w:tcW w:type="dxa" w:w="1481"/>
            <w:vAlign w:val="center"/>
          </w:tcPr>
          <w:p>
            <w:pPr>
              <w:spacing w:after="0"/>
            </w:pPr>
            <w:r>
              <w:t>0.0877</w:t>
            </w:r>
          </w:p>
        </w:tc>
        <w:tc>
          <w:tcPr>
            <w:tcW w:type="dxa" w:w="1481"/>
            <w:vAlign w:val="center"/>
          </w:tcPr>
          <w:p>
            <w:pPr>
              <w:spacing w:after="0"/>
            </w:pPr>
            <w:r>
              <w:t>0.0260</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RF</w:t>
            </w:r>
          </w:p>
        </w:tc>
        <w:tc>
          <w:tcPr>
            <w:tcW w:type="dxa" w:w="1481"/>
            <w:vAlign w:val="center"/>
          </w:tcPr>
          <w:p>
            <w:pPr>
              <w:spacing w:after="0"/>
            </w:pPr>
            <w:r>
              <w:t>10%</w:t>
            </w:r>
          </w:p>
        </w:tc>
        <w:tc>
          <w:tcPr>
            <w:tcW w:type="dxa" w:w="1481"/>
            <w:vAlign w:val="center"/>
          </w:tcPr>
          <w:p>
            <w:pPr>
              <w:spacing w:after="0"/>
            </w:pPr>
            <w:r>
              <w:t>0.0422</w:t>
            </w:r>
          </w:p>
        </w:tc>
        <w:tc>
          <w:tcPr>
            <w:tcW w:type="dxa" w:w="1481"/>
            <w:vAlign w:val="center"/>
          </w:tcPr>
          <w:p>
            <w:pPr>
              <w:spacing w:after="0"/>
            </w:pPr>
            <w:r>
              <w:t>0.0704</w:t>
            </w:r>
          </w:p>
        </w:tc>
        <w:tc>
          <w:tcPr>
            <w:tcW w:type="dxa" w:w="1481"/>
            <w:vAlign w:val="center"/>
          </w:tcPr>
          <w:p>
            <w:pPr>
              <w:spacing w:after="0"/>
            </w:pPr>
            <w:r>
              <w:t>0.0282</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RF</w:t>
            </w:r>
          </w:p>
        </w:tc>
        <w:tc>
          <w:tcPr>
            <w:tcW w:type="dxa" w:w="1481"/>
            <w:vAlign w:val="center"/>
          </w:tcPr>
          <w:p>
            <w:pPr>
              <w:spacing w:after="0"/>
            </w:pPr>
            <w:r>
              <w:t>20%</w:t>
            </w:r>
          </w:p>
        </w:tc>
        <w:tc>
          <w:tcPr>
            <w:tcW w:type="dxa" w:w="1481"/>
            <w:vAlign w:val="center"/>
          </w:tcPr>
          <w:p>
            <w:pPr>
              <w:spacing w:after="0"/>
            </w:pPr>
            <w:r>
              <w:t>0.0865</w:t>
            </w:r>
          </w:p>
        </w:tc>
        <w:tc>
          <w:tcPr>
            <w:tcW w:type="dxa" w:w="1481"/>
            <w:vAlign w:val="center"/>
          </w:tcPr>
          <w:p>
            <w:pPr>
              <w:spacing w:after="0"/>
            </w:pPr>
            <w:r>
              <w:t>0.1266</w:t>
            </w:r>
          </w:p>
        </w:tc>
        <w:tc>
          <w:tcPr>
            <w:tcW w:type="dxa" w:w="1481"/>
            <w:vAlign w:val="center"/>
          </w:tcPr>
          <w:p>
            <w:pPr>
              <w:spacing w:after="0"/>
            </w:pPr>
            <w:r>
              <w:t>0.0401</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XGB</w:t>
            </w:r>
          </w:p>
        </w:tc>
        <w:tc>
          <w:tcPr>
            <w:tcW w:type="dxa" w:w="1481"/>
            <w:vAlign w:val="center"/>
          </w:tcPr>
          <w:p>
            <w:pPr>
              <w:spacing w:after="0"/>
            </w:pPr>
            <w:r>
              <w:t>10%</w:t>
            </w:r>
          </w:p>
        </w:tc>
        <w:tc>
          <w:tcPr>
            <w:tcW w:type="dxa" w:w="1481"/>
            <w:vAlign w:val="center"/>
          </w:tcPr>
          <w:p>
            <w:pPr>
              <w:spacing w:after="0"/>
            </w:pPr>
            <w:r>
              <w:t>0.0473</w:t>
            </w:r>
          </w:p>
        </w:tc>
        <w:tc>
          <w:tcPr>
            <w:tcW w:type="dxa" w:w="1481"/>
            <w:vAlign w:val="center"/>
          </w:tcPr>
          <w:p>
            <w:pPr>
              <w:spacing w:after="0"/>
            </w:pPr>
            <w:r>
              <w:t>0.0695</w:t>
            </w:r>
          </w:p>
        </w:tc>
        <w:tc>
          <w:tcPr>
            <w:tcW w:type="dxa" w:w="1481"/>
            <w:vAlign w:val="center"/>
          </w:tcPr>
          <w:p>
            <w:pPr>
              <w:spacing w:after="0"/>
            </w:pPr>
            <w:r>
              <w:t>0.0222</w:t>
            </w:r>
          </w:p>
        </w:tc>
        <w:tc>
          <w:tcPr>
            <w:tcW w:type="dxa" w:w="1481"/>
            <w:vAlign w:val="center"/>
          </w:tcPr>
          <w:p>
            <w:pPr>
              <w:spacing w:after="0"/>
            </w:pPr>
            <w:r>
              <w:t>10/10</w:t>
            </w:r>
          </w:p>
        </w:tc>
      </w:tr>
      <w:tr>
        <w:tc>
          <w:tcPr>
            <w:tcW w:type="dxa" w:w="1481"/>
            <w:vAlign w:val="center"/>
          </w:tcPr>
          <w:p>
            <w:pPr>
              <w:spacing w:after="0"/>
            </w:pPr>
            <w:r>
              <w:t>Adult Income</w:t>
            </w:r>
          </w:p>
        </w:tc>
        <w:tc>
          <w:tcPr>
            <w:tcW w:type="dxa" w:w="1481"/>
            <w:vAlign w:val="center"/>
          </w:tcPr>
          <w:p>
            <w:pPr>
              <w:spacing w:after="0"/>
            </w:pPr>
            <w:r>
              <w:t>XGB</w:t>
            </w:r>
          </w:p>
        </w:tc>
        <w:tc>
          <w:tcPr>
            <w:tcW w:type="dxa" w:w="1481"/>
            <w:vAlign w:val="center"/>
          </w:tcPr>
          <w:p>
            <w:pPr>
              <w:spacing w:after="0"/>
            </w:pPr>
            <w:r>
              <w:t>20%</w:t>
            </w:r>
          </w:p>
        </w:tc>
        <w:tc>
          <w:tcPr>
            <w:tcW w:type="dxa" w:w="1481"/>
            <w:vAlign w:val="center"/>
          </w:tcPr>
          <w:p>
            <w:pPr>
              <w:spacing w:after="0"/>
            </w:pPr>
            <w:r>
              <w:t>0.0890</w:t>
            </w:r>
          </w:p>
        </w:tc>
        <w:tc>
          <w:tcPr>
            <w:tcW w:type="dxa" w:w="1481"/>
            <w:vAlign w:val="center"/>
          </w:tcPr>
          <w:p>
            <w:pPr>
              <w:spacing w:after="0"/>
            </w:pPr>
            <w:r>
              <w:t>0.1299</w:t>
            </w:r>
          </w:p>
        </w:tc>
        <w:tc>
          <w:tcPr>
            <w:tcW w:type="dxa" w:w="1481"/>
            <w:vAlign w:val="center"/>
          </w:tcPr>
          <w:p>
            <w:pPr>
              <w:spacing w:after="0"/>
            </w:pPr>
            <w:r>
              <w:t>0.0409</w:t>
            </w:r>
          </w:p>
        </w:tc>
        <w:tc>
          <w:tcPr>
            <w:tcW w:type="dxa" w:w="1481"/>
            <w:vAlign w:val="center"/>
          </w:tcPr>
          <w:p>
            <w:pPr>
              <w:spacing w:after="0"/>
            </w:pPr>
            <w:r>
              <w:t>10/10</w:t>
            </w:r>
          </w:p>
        </w:tc>
      </w:tr>
      <w:tr>
        <w:tc>
          <w:tcPr>
            <w:tcW w:type="dxa" w:w="1481"/>
            <w:vAlign w:val="center"/>
          </w:tcPr>
          <w:p>
            <w:pPr>
              <w:spacing w:after="0"/>
            </w:pPr>
            <w:r>
              <w:t>COMPAS</w:t>
            </w:r>
          </w:p>
        </w:tc>
        <w:tc>
          <w:tcPr>
            <w:tcW w:type="dxa" w:w="1481"/>
            <w:vAlign w:val="center"/>
          </w:tcPr>
          <w:p>
            <w:pPr>
              <w:spacing w:after="0"/>
            </w:pPr>
            <w:r>
              <w:t>LGB</w:t>
            </w:r>
          </w:p>
        </w:tc>
        <w:tc>
          <w:tcPr>
            <w:tcW w:type="dxa" w:w="1481"/>
            <w:vAlign w:val="center"/>
          </w:tcPr>
          <w:p>
            <w:pPr>
              <w:spacing w:after="0"/>
            </w:pPr>
            <w:r>
              <w:t>10%</w:t>
            </w:r>
          </w:p>
        </w:tc>
        <w:tc>
          <w:tcPr>
            <w:tcW w:type="dxa" w:w="1481"/>
            <w:vAlign w:val="center"/>
          </w:tcPr>
          <w:p>
            <w:pPr>
              <w:spacing w:after="0"/>
            </w:pPr>
            <w:r>
              <w:t>0.0031</w:t>
            </w:r>
          </w:p>
        </w:tc>
        <w:tc>
          <w:tcPr>
            <w:tcW w:type="dxa" w:w="1481"/>
            <w:vAlign w:val="center"/>
          </w:tcPr>
          <w:p>
            <w:pPr>
              <w:spacing w:after="0"/>
            </w:pPr>
            <w:r>
              <w:t>0.0059</w:t>
            </w:r>
          </w:p>
        </w:tc>
        <w:tc>
          <w:tcPr>
            <w:tcW w:type="dxa" w:w="1481"/>
            <w:vAlign w:val="center"/>
          </w:tcPr>
          <w:p>
            <w:pPr>
              <w:spacing w:after="0"/>
            </w:pPr>
            <w:r>
              <w:t>0.0028</w:t>
            </w:r>
          </w:p>
        </w:tc>
        <w:tc>
          <w:tcPr>
            <w:tcW w:type="dxa" w:w="1481"/>
            <w:vAlign w:val="center"/>
          </w:tcPr>
          <w:p>
            <w:pPr>
              <w:spacing w:after="0"/>
            </w:pPr>
            <w:r>
              <w:t>8/10</w:t>
            </w:r>
          </w:p>
        </w:tc>
      </w:tr>
      <w:tr>
        <w:tc>
          <w:tcPr>
            <w:tcW w:type="dxa" w:w="1481"/>
            <w:vAlign w:val="center"/>
          </w:tcPr>
          <w:p>
            <w:pPr>
              <w:spacing w:after="0"/>
            </w:pPr>
            <w:r>
              <w:t>COMPAS</w:t>
            </w:r>
          </w:p>
        </w:tc>
        <w:tc>
          <w:tcPr>
            <w:tcW w:type="dxa" w:w="1481"/>
            <w:vAlign w:val="center"/>
          </w:tcPr>
          <w:p>
            <w:pPr>
              <w:spacing w:after="0"/>
            </w:pPr>
            <w:r>
              <w:t>LGB</w:t>
            </w:r>
          </w:p>
        </w:tc>
        <w:tc>
          <w:tcPr>
            <w:tcW w:type="dxa" w:w="1481"/>
            <w:vAlign w:val="center"/>
          </w:tcPr>
          <w:p>
            <w:pPr>
              <w:spacing w:after="0"/>
            </w:pPr>
            <w:r>
              <w:t>20%</w:t>
            </w:r>
          </w:p>
        </w:tc>
        <w:tc>
          <w:tcPr>
            <w:tcW w:type="dxa" w:w="1481"/>
            <w:vAlign w:val="center"/>
          </w:tcPr>
          <w:p>
            <w:pPr>
              <w:spacing w:after="0"/>
            </w:pPr>
            <w:r>
              <w:t>0.0010</w:t>
            </w:r>
          </w:p>
        </w:tc>
        <w:tc>
          <w:tcPr>
            <w:tcW w:type="dxa" w:w="1481"/>
            <w:vAlign w:val="center"/>
          </w:tcPr>
          <w:p>
            <w:pPr>
              <w:spacing w:after="0"/>
            </w:pPr>
            <w:r>
              <w:t>0.0026</w:t>
            </w:r>
          </w:p>
        </w:tc>
        <w:tc>
          <w:tcPr>
            <w:tcW w:type="dxa" w:w="1481"/>
            <w:vAlign w:val="center"/>
          </w:tcPr>
          <w:p>
            <w:pPr>
              <w:spacing w:after="0"/>
            </w:pPr>
            <w:r>
              <w:t>0.0016</w:t>
            </w:r>
          </w:p>
        </w:tc>
        <w:tc>
          <w:tcPr>
            <w:tcW w:type="dxa" w:w="1481"/>
            <w:vAlign w:val="center"/>
          </w:tcPr>
          <w:p>
            <w:pPr>
              <w:spacing w:after="0"/>
            </w:pPr>
            <w:r>
              <w:t>4/10</w:t>
            </w:r>
          </w:p>
        </w:tc>
      </w:tr>
      <w:tr>
        <w:tc>
          <w:tcPr>
            <w:tcW w:type="dxa" w:w="1481"/>
            <w:vAlign w:val="center"/>
          </w:tcPr>
          <w:p>
            <w:pPr>
              <w:spacing w:after="0"/>
            </w:pPr>
            <w:r>
              <w:t>COMPAS</w:t>
            </w:r>
          </w:p>
        </w:tc>
        <w:tc>
          <w:tcPr>
            <w:tcW w:type="dxa" w:w="1481"/>
            <w:vAlign w:val="center"/>
          </w:tcPr>
          <w:p>
            <w:pPr>
              <w:spacing w:after="0"/>
            </w:pPr>
            <w:r>
              <w:t>MLP</w:t>
            </w:r>
          </w:p>
        </w:tc>
        <w:tc>
          <w:tcPr>
            <w:tcW w:type="dxa" w:w="1481"/>
            <w:vAlign w:val="center"/>
          </w:tcPr>
          <w:p>
            <w:pPr>
              <w:spacing w:after="0"/>
            </w:pPr>
            <w:r>
              <w:t>10%</w:t>
            </w:r>
          </w:p>
        </w:tc>
        <w:tc>
          <w:tcPr>
            <w:tcW w:type="dxa" w:w="1481"/>
            <w:vAlign w:val="center"/>
          </w:tcPr>
          <w:p>
            <w:pPr>
              <w:spacing w:after="0"/>
            </w:pPr>
            <w:r>
              <w:t>0.0163</w:t>
            </w:r>
          </w:p>
        </w:tc>
        <w:tc>
          <w:tcPr>
            <w:tcW w:type="dxa" w:w="1481"/>
            <w:vAlign w:val="center"/>
          </w:tcPr>
          <w:p>
            <w:pPr>
              <w:spacing w:after="0"/>
            </w:pPr>
            <w:r>
              <w:t>0.0209</w:t>
            </w:r>
          </w:p>
        </w:tc>
        <w:tc>
          <w:tcPr>
            <w:tcW w:type="dxa" w:w="1481"/>
            <w:vAlign w:val="center"/>
          </w:tcPr>
          <w:p>
            <w:pPr>
              <w:spacing w:after="0"/>
            </w:pPr>
            <w:r>
              <w:t>0.0046</w:t>
            </w:r>
          </w:p>
        </w:tc>
        <w:tc>
          <w:tcPr>
            <w:tcW w:type="dxa" w:w="1481"/>
            <w:vAlign w:val="center"/>
          </w:tcPr>
          <w:p>
            <w:pPr>
              <w:spacing w:after="0"/>
            </w:pPr>
            <w:r>
              <w:t>8/10</w:t>
            </w:r>
          </w:p>
        </w:tc>
      </w:tr>
      <w:tr>
        <w:tc>
          <w:tcPr>
            <w:tcW w:type="dxa" w:w="1481"/>
            <w:vAlign w:val="center"/>
          </w:tcPr>
          <w:p>
            <w:pPr>
              <w:spacing w:after="0"/>
            </w:pPr>
            <w:r>
              <w:t>COMPAS</w:t>
            </w:r>
          </w:p>
        </w:tc>
        <w:tc>
          <w:tcPr>
            <w:tcW w:type="dxa" w:w="1481"/>
            <w:vAlign w:val="center"/>
          </w:tcPr>
          <w:p>
            <w:pPr>
              <w:spacing w:after="0"/>
            </w:pPr>
            <w:r>
              <w:t>MLP</w:t>
            </w:r>
          </w:p>
        </w:tc>
        <w:tc>
          <w:tcPr>
            <w:tcW w:type="dxa" w:w="1481"/>
            <w:vAlign w:val="center"/>
          </w:tcPr>
          <w:p>
            <w:pPr>
              <w:spacing w:after="0"/>
            </w:pPr>
            <w:r>
              <w:t>20%</w:t>
            </w:r>
          </w:p>
        </w:tc>
        <w:tc>
          <w:tcPr>
            <w:tcW w:type="dxa" w:w="1481"/>
            <w:vAlign w:val="center"/>
          </w:tcPr>
          <w:p>
            <w:pPr>
              <w:spacing w:after="0"/>
            </w:pPr>
            <w:r>
              <w:t>0.0293</w:t>
            </w:r>
          </w:p>
        </w:tc>
        <w:tc>
          <w:tcPr>
            <w:tcW w:type="dxa" w:w="1481"/>
            <w:vAlign w:val="center"/>
          </w:tcPr>
          <w:p>
            <w:pPr>
              <w:spacing w:after="0"/>
            </w:pPr>
            <w:r>
              <w:t>0.0393</w:t>
            </w:r>
          </w:p>
        </w:tc>
        <w:tc>
          <w:tcPr>
            <w:tcW w:type="dxa" w:w="1481"/>
            <w:vAlign w:val="center"/>
          </w:tcPr>
          <w:p>
            <w:pPr>
              <w:spacing w:after="0"/>
            </w:pPr>
            <w:r>
              <w:t>0.0100</w:t>
            </w:r>
          </w:p>
        </w:tc>
        <w:tc>
          <w:tcPr>
            <w:tcW w:type="dxa" w:w="1481"/>
            <w:vAlign w:val="center"/>
          </w:tcPr>
          <w:p>
            <w:pPr>
              <w:spacing w:after="0"/>
            </w:pPr>
            <w:r>
              <w:t>9/10</w:t>
            </w:r>
          </w:p>
        </w:tc>
      </w:tr>
      <w:tr>
        <w:tc>
          <w:tcPr>
            <w:tcW w:type="dxa" w:w="1481"/>
            <w:vAlign w:val="center"/>
          </w:tcPr>
          <w:p>
            <w:pPr>
              <w:spacing w:after="0"/>
            </w:pPr>
            <w:r>
              <w:t>COMPAS</w:t>
            </w:r>
          </w:p>
        </w:tc>
        <w:tc>
          <w:tcPr>
            <w:tcW w:type="dxa" w:w="1481"/>
            <w:vAlign w:val="center"/>
          </w:tcPr>
          <w:p>
            <w:pPr>
              <w:spacing w:after="0"/>
            </w:pPr>
            <w:r>
              <w:t>RF</w:t>
            </w:r>
          </w:p>
        </w:tc>
        <w:tc>
          <w:tcPr>
            <w:tcW w:type="dxa" w:w="1481"/>
            <w:vAlign w:val="center"/>
          </w:tcPr>
          <w:p>
            <w:pPr>
              <w:spacing w:after="0"/>
            </w:pPr>
            <w:r>
              <w:t>10%</w:t>
            </w:r>
          </w:p>
        </w:tc>
        <w:tc>
          <w:tcPr>
            <w:tcW w:type="dxa" w:w="1481"/>
            <w:vAlign w:val="center"/>
          </w:tcPr>
          <w:p>
            <w:pPr>
              <w:spacing w:after="0"/>
            </w:pPr>
            <w:r>
              <w:t>0.0016</w:t>
            </w:r>
          </w:p>
        </w:tc>
        <w:tc>
          <w:tcPr>
            <w:tcW w:type="dxa" w:w="1481"/>
            <w:vAlign w:val="center"/>
          </w:tcPr>
          <w:p>
            <w:pPr>
              <w:spacing w:after="0"/>
            </w:pPr>
            <w:r>
              <w:t>0.0048</w:t>
            </w:r>
          </w:p>
        </w:tc>
        <w:tc>
          <w:tcPr>
            <w:tcW w:type="dxa" w:w="1481"/>
            <w:vAlign w:val="center"/>
          </w:tcPr>
          <w:p>
            <w:pPr>
              <w:spacing w:after="0"/>
            </w:pPr>
            <w:r>
              <w:t>0.0033</w:t>
            </w:r>
          </w:p>
        </w:tc>
        <w:tc>
          <w:tcPr>
            <w:tcW w:type="dxa" w:w="1481"/>
            <w:vAlign w:val="center"/>
          </w:tcPr>
          <w:p>
            <w:pPr>
              <w:spacing w:after="0"/>
            </w:pPr>
            <w:r>
              <w:t>8/10</w:t>
            </w:r>
          </w:p>
        </w:tc>
      </w:tr>
      <w:tr>
        <w:tc>
          <w:tcPr>
            <w:tcW w:type="dxa" w:w="1481"/>
            <w:vAlign w:val="center"/>
          </w:tcPr>
          <w:p>
            <w:pPr>
              <w:spacing w:after="0"/>
            </w:pPr>
            <w:r>
              <w:t>COMPAS</w:t>
            </w:r>
          </w:p>
        </w:tc>
        <w:tc>
          <w:tcPr>
            <w:tcW w:type="dxa" w:w="1481"/>
            <w:vAlign w:val="center"/>
          </w:tcPr>
          <w:p>
            <w:pPr>
              <w:spacing w:after="0"/>
            </w:pPr>
            <w:r>
              <w:t>RF</w:t>
            </w:r>
          </w:p>
        </w:tc>
        <w:tc>
          <w:tcPr>
            <w:tcW w:type="dxa" w:w="1481"/>
            <w:vAlign w:val="center"/>
          </w:tcPr>
          <w:p>
            <w:pPr>
              <w:spacing w:after="0"/>
            </w:pPr>
            <w:r>
              <w:t>20%</w:t>
            </w:r>
          </w:p>
        </w:tc>
        <w:tc>
          <w:tcPr>
            <w:tcW w:type="dxa" w:w="1481"/>
            <w:vAlign w:val="center"/>
          </w:tcPr>
          <w:p>
            <w:pPr>
              <w:spacing w:after="0"/>
            </w:pPr>
            <w:r>
              <w:t>0.0047</w:t>
            </w:r>
          </w:p>
        </w:tc>
        <w:tc>
          <w:tcPr>
            <w:tcW w:type="dxa" w:w="1481"/>
            <w:vAlign w:val="center"/>
          </w:tcPr>
          <w:p>
            <w:pPr>
              <w:spacing w:after="0"/>
            </w:pPr>
            <w:r>
              <w:t>0.0093</w:t>
            </w:r>
          </w:p>
        </w:tc>
        <w:tc>
          <w:tcPr>
            <w:tcW w:type="dxa" w:w="1481"/>
            <w:vAlign w:val="center"/>
          </w:tcPr>
          <w:p>
            <w:pPr>
              <w:spacing w:after="0"/>
            </w:pPr>
            <w:r>
              <w:t>0.0046</w:t>
            </w:r>
          </w:p>
        </w:tc>
        <w:tc>
          <w:tcPr>
            <w:tcW w:type="dxa" w:w="1481"/>
            <w:vAlign w:val="center"/>
          </w:tcPr>
          <w:p>
            <w:pPr>
              <w:spacing w:after="0"/>
            </w:pPr>
            <w:r>
              <w:t>7/10</w:t>
            </w:r>
          </w:p>
        </w:tc>
      </w:tr>
      <w:tr>
        <w:tc>
          <w:tcPr>
            <w:tcW w:type="dxa" w:w="1481"/>
            <w:vAlign w:val="center"/>
          </w:tcPr>
          <w:p>
            <w:pPr>
              <w:spacing w:after="0"/>
            </w:pPr>
            <w:r>
              <w:t>COMPAS</w:t>
            </w:r>
          </w:p>
        </w:tc>
        <w:tc>
          <w:tcPr>
            <w:tcW w:type="dxa" w:w="1481"/>
            <w:vAlign w:val="center"/>
          </w:tcPr>
          <w:p>
            <w:pPr>
              <w:spacing w:after="0"/>
            </w:pPr>
            <w:r>
              <w:t>XGB</w:t>
            </w:r>
          </w:p>
        </w:tc>
        <w:tc>
          <w:tcPr>
            <w:tcW w:type="dxa" w:w="1481"/>
            <w:vAlign w:val="center"/>
          </w:tcPr>
          <w:p>
            <w:pPr>
              <w:spacing w:after="0"/>
            </w:pPr>
            <w:r>
              <w:t>10%</w:t>
            </w:r>
          </w:p>
        </w:tc>
        <w:tc>
          <w:tcPr>
            <w:tcW w:type="dxa" w:w="1481"/>
            <w:vAlign w:val="center"/>
          </w:tcPr>
          <w:p>
            <w:pPr>
              <w:spacing w:after="0"/>
            </w:pPr>
            <w:r>
              <w:t>-0.0012</w:t>
            </w:r>
          </w:p>
        </w:tc>
        <w:tc>
          <w:tcPr>
            <w:tcW w:type="dxa" w:w="1481"/>
            <w:vAlign w:val="center"/>
          </w:tcPr>
          <w:p>
            <w:pPr>
              <w:spacing w:after="0"/>
            </w:pPr>
            <w:r>
              <w:t>0.0025</w:t>
            </w:r>
          </w:p>
        </w:tc>
        <w:tc>
          <w:tcPr>
            <w:tcW w:type="dxa" w:w="1481"/>
            <w:vAlign w:val="center"/>
          </w:tcPr>
          <w:p>
            <w:pPr>
              <w:spacing w:after="0"/>
            </w:pPr>
            <w:r>
              <w:t>0.0037</w:t>
            </w:r>
          </w:p>
        </w:tc>
        <w:tc>
          <w:tcPr>
            <w:tcW w:type="dxa" w:w="1481"/>
            <w:vAlign w:val="center"/>
          </w:tcPr>
          <w:p>
            <w:pPr>
              <w:spacing w:after="0"/>
            </w:pPr>
            <w:r>
              <w:t>9/10</w:t>
            </w:r>
          </w:p>
        </w:tc>
      </w:tr>
      <w:tr>
        <w:tc>
          <w:tcPr>
            <w:tcW w:type="dxa" w:w="1481"/>
            <w:vAlign w:val="center"/>
          </w:tcPr>
          <w:p>
            <w:pPr>
              <w:spacing w:after="0"/>
            </w:pPr>
            <w:r>
              <w:t>COMPAS</w:t>
            </w:r>
          </w:p>
        </w:tc>
        <w:tc>
          <w:tcPr>
            <w:tcW w:type="dxa" w:w="1481"/>
            <w:vAlign w:val="center"/>
          </w:tcPr>
          <w:p>
            <w:pPr>
              <w:spacing w:after="0"/>
            </w:pPr>
            <w:r>
              <w:t>XGB</w:t>
            </w:r>
          </w:p>
        </w:tc>
        <w:tc>
          <w:tcPr>
            <w:tcW w:type="dxa" w:w="1481"/>
            <w:vAlign w:val="center"/>
          </w:tcPr>
          <w:p>
            <w:pPr>
              <w:spacing w:after="0"/>
            </w:pPr>
            <w:r>
              <w:t>20%</w:t>
            </w:r>
          </w:p>
        </w:tc>
        <w:tc>
          <w:tcPr>
            <w:tcW w:type="dxa" w:w="1481"/>
            <w:vAlign w:val="center"/>
          </w:tcPr>
          <w:p>
            <w:pPr>
              <w:spacing w:after="0"/>
            </w:pPr>
            <w:r>
              <w:t>-0.0060</w:t>
            </w:r>
          </w:p>
        </w:tc>
        <w:tc>
          <w:tcPr>
            <w:tcW w:type="dxa" w:w="1481"/>
            <w:vAlign w:val="center"/>
          </w:tcPr>
          <w:p>
            <w:pPr>
              <w:spacing w:after="0"/>
            </w:pPr>
            <w:r>
              <w:t>-0.0068</w:t>
            </w:r>
          </w:p>
        </w:tc>
        <w:tc>
          <w:tcPr>
            <w:tcW w:type="dxa" w:w="1481"/>
            <w:vAlign w:val="center"/>
          </w:tcPr>
          <w:p>
            <w:pPr>
              <w:spacing w:after="0"/>
            </w:pPr>
            <w:r>
              <w:t>-0.0007</w:t>
            </w:r>
          </w:p>
        </w:tc>
        <w:tc>
          <w:tcPr>
            <w:tcW w:type="dxa" w:w="1481"/>
            <w:vAlign w:val="center"/>
          </w:tcPr>
          <w:p>
            <w:pPr>
              <w:spacing w:after="0"/>
            </w:pPr>
            <w:r>
              <w:t>5/10</w:t>
            </w:r>
          </w:p>
        </w:tc>
      </w:tr>
      <w:tr>
        <w:tc>
          <w:tcPr>
            <w:tcW w:type="dxa" w:w="1481"/>
            <w:vAlign w:val="center"/>
          </w:tcPr>
          <w:p>
            <w:pPr>
              <w:spacing w:after="0"/>
            </w:pPr>
            <w:r>
              <w:t>Taiwan Credit</w:t>
            </w:r>
          </w:p>
        </w:tc>
        <w:tc>
          <w:tcPr>
            <w:tcW w:type="dxa" w:w="1481"/>
            <w:vAlign w:val="center"/>
          </w:tcPr>
          <w:p>
            <w:pPr>
              <w:spacing w:after="0"/>
            </w:pPr>
            <w:r>
              <w:t>LGB</w:t>
            </w:r>
          </w:p>
        </w:tc>
        <w:tc>
          <w:tcPr>
            <w:tcW w:type="dxa" w:w="1481"/>
            <w:vAlign w:val="center"/>
          </w:tcPr>
          <w:p>
            <w:pPr>
              <w:spacing w:after="0"/>
            </w:pPr>
            <w:r>
              <w:t>10%</w:t>
            </w:r>
          </w:p>
        </w:tc>
        <w:tc>
          <w:tcPr>
            <w:tcW w:type="dxa" w:w="1481"/>
            <w:vAlign w:val="center"/>
          </w:tcPr>
          <w:p>
            <w:pPr>
              <w:spacing w:after="0"/>
            </w:pPr>
            <w:r>
              <w:t>0.0374</w:t>
            </w:r>
          </w:p>
        </w:tc>
        <w:tc>
          <w:tcPr>
            <w:tcW w:type="dxa" w:w="1481"/>
            <w:vAlign w:val="center"/>
          </w:tcPr>
          <w:p>
            <w:pPr>
              <w:spacing w:after="0"/>
            </w:pPr>
            <w:r>
              <w:t>0.0456</w:t>
            </w:r>
          </w:p>
        </w:tc>
        <w:tc>
          <w:tcPr>
            <w:tcW w:type="dxa" w:w="1481"/>
            <w:vAlign w:val="center"/>
          </w:tcPr>
          <w:p>
            <w:pPr>
              <w:spacing w:after="0"/>
            </w:pPr>
            <w:r>
              <w:t>0.0082</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LGB</w:t>
            </w:r>
          </w:p>
        </w:tc>
        <w:tc>
          <w:tcPr>
            <w:tcW w:type="dxa" w:w="1481"/>
            <w:vAlign w:val="center"/>
          </w:tcPr>
          <w:p>
            <w:pPr>
              <w:spacing w:after="0"/>
            </w:pPr>
            <w:r>
              <w:t>20%</w:t>
            </w:r>
          </w:p>
        </w:tc>
        <w:tc>
          <w:tcPr>
            <w:tcW w:type="dxa" w:w="1481"/>
            <w:vAlign w:val="center"/>
          </w:tcPr>
          <w:p>
            <w:pPr>
              <w:spacing w:after="0"/>
            </w:pPr>
            <w:r>
              <w:t>0.0728</w:t>
            </w:r>
          </w:p>
        </w:tc>
        <w:tc>
          <w:tcPr>
            <w:tcW w:type="dxa" w:w="1481"/>
            <w:vAlign w:val="center"/>
          </w:tcPr>
          <w:p>
            <w:pPr>
              <w:spacing w:after="0"/>
            </w:pPr>
            <w:r>
              <w:t>0.0913</w:t>
            </w:r>
          </w:p>
        </w:tc>
        <w:tc>
          <w:tcPr>
            <w:tcW w:type="dxa" w:w="1481"/>
            <w:vAlign w:val="center"/>
          </w:tcPr>
          <w:p>
            <w:pPr>
              <w:spacing w:after="0"/>
            </w:pPr>
            <w:r>
              <w:t>0.0186</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MLP</w:t>
            </w:r>
          </w:p>
        </w:tc>
        <w:tc>
          <w:tcPr>
            <w:tcW w:type="dxa" w:w="1481"/>
            <w:vAlign w:val="center"/>
          </w:tcPr>
          <w:p>
            <w:pPr>
              <w:spacing w:after="0"/>
            </w:pPr>
            <w:r>
              <w:t>10%</w:t>
            </w:r>
          </w:p>
        </w:tc>
        <w:tc>
          <w:tcPr>
            <w:tcW w:type="dxa" w:w="1481"/>
            <w:vAlign w:val="center"/>
          </w:tcPr>
          <w:p>
            <w:pPr>
              <w:spacing w:after="0"/>
            </w:pPr>
            <w:r>
              <w:t>0.0357</w:t>
            </w:r>
          </w:p>
        </w:tc>
        <w:tc>
          <w:tcPr>
            <w:tcW w:type="dxa" w:w="1481"/>
            <w:vAlign w:val="center"/>
          </w:tcPr>
          <w:p>
            <w:pPr>
              <w:spacing w:after="0"/>
            </w:pPr>
            <w:r>
              <w:t>0.0441</w:t>
            </w:r>
          </w:p>
        </w:tc>
        <w:tc>
          <w:tcPr>
            <w:tcW w:type="dxa" w:w="1481"/>
            <w:vAlign w:val="center"/>
          </w:tcPr>
          <w:p>
            <w:pPr>
              <w:spacing w:after="0"/>
            </w:pPr>
            <w:r>
              <w:t>0.0083</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MLP</w:t>
            </w:r>
          </w:p>
        </w:tc>
        <w:tc>
          <w:tcPr>
            <w:tcW w:type="dxa" w:w="1481"/>
            <w:vAlign w:val="center"/>
          </w:tcPr>
          <w:p>
            <w:pPr>
              <w:spacing w:after="0"/>
            </w:pPr>
            <w:r>
              <w:t>20%</w:t>
            </w:r>
          </w:p>
        </w:tc>
        <w:tc>
          <w:tcPr>
            <w:tcW w:type="dxa" w:w="1481"/>
            <w:vAlign w:val="center"/>
          </w:tcPr>
          <w:p>
            <w:pPr>
              <w:spacing w:after="0"/>
            </w:pPr>
            <w:r>
              <w:t>0.0701</w:t>
            </w:r>
          </w:p>
        </w:tc>
        <w:tc>
          <w:tcPr>
            <w:tcW w:type="dxa" w:w="1481"/>
            <w:vAlign w:val="center"/>
          </w:tcPr>
          <w:p>
            <w:pPr>
              <w:spacing w:after="0"/>
            </w:pPr>
            <w:r>
              <w:t>0.0870</w:t>
            </w:r>
          </w:p>
        </w:tc>
        <w:tc>
          <w:tcPr>
            <w:tcW w:type="dxa" w:w="1481"/>
            <w:vAlign w:val="center"/>
          </w:tcPr>
          <w:p>
            <w:pPr>
              <w:spacing w:after="0"/>
            </w:pPr>
            <w:r>
              <w:t>0.0169</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RF</w:t>
            </w:r>
          </w:p>
        </w:tc>
        <w:tc>
          <w:tcPr>
            <w:tcW w:type="dxa" w:w="1481"/>
            <w:vAlign w:val="center"/>
          </w:tcPr>
          <w:p>
            <w:pPr>
              <w:spacing w:after="0"/>
            </w:pPr>
            <w:r>
              <w:t>10%</w:t>
            </w:r>
          </w:p>
        </w:tc>
        <w:tc>
          <w:tcPr>
            <w:tcW w:type="dxa" w:w="1481"/>
            <w:vAlign w:val="center"/>
          </w:tcPr>
          <w:p>
            <w:pPr>
              <w:spacing w:after="0"/>
            </w:pPr>
            <w:r>
              <w:t>0.0444</w:t>
            </w:r>
          </w:p>
        </w:tc>
        <w:tc>
          <w:tcPr>
            <w:tcW w:type="dxa" w:w="1481"/>
            <w:vAlign w:val="center"/>
          </w:tcPr>
          <w:p>
            <w:pPr>
              <w:spacing w:after="0"/>
            </w:pPr>
            <w:r>
              <w:t>0.0528</w:t>
            </w:r>
          </w:p>
        </w:tc>
        <w:tc>
          <w:tcPr>
            <w:tcW w:type="dxa" w:w="1481"/>
            <w:vAlign w:val="center"/>
          </w:tcPr>
          <w:p>
            <w:pPr>
              <w:spacing w:after="0"/>
            </w:pPr>
            <w:r>
              <w:t>0.0083</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RF</w:t>
            </w:r>
          </w:p>
        </w:tc>
        <w:tc>
          <w:tcPr>
            <w:tcW w:type="dxa" w:w="1481"/>
            <w:vAlign w:val="center"/>
          </w:tcPr>
          <w:p>
            <w:pPr>
              <w:spacing w:after="0"/>
            </w:pPr>
            <w:r>
              <w:t>20%</w:t>
            </w:r>
          </w:p>
        </w:tc>
        <w:tc>
          <w:tcPr>
            <w:tcW w:type="dxa" w:w="1481"/>
            <w:vAlign w:val="center"/>
          </w:tcPr>
          <w:p>
            <w:pPr>
              <w:spacing w:after="0"/>
            </w:pPr>
            <w:r>
              <w:t>0.0812</w:t>
            </w:r>
          </w:p>
        </w:tc>
        <w:tc>
          <w:tcPr>
            <w:tcW w:type="dxa" w:w="1481"/>
            <w:vAlign w:val="center"/>
          </w:tcPr>
          <w:p>
            <w:pPr>
              <w:spacing w:after="0"/>
            </w:pPr>
            <w:r>
              <w:t>0.0972</w:t>
            </w:r>
          </w:p>
        </w:tc>
        <w:tc>
          <w:tcPr>
            <w:tcW w:type="dxa" w:w="1481"/>
            <w:vAlign w:val="center"/>
          </w:tcPr>
          <w:p>
            <w:pPr>
              <w:spacing w:after="0"/>
            </w:pPr>
            <w:r>
              <w:t>0.0160</w:t>
            </w:r>
          </w:p>
        </w:tc>
        <w:tc>
          <w:tcPr>
            <w:tcW w:type="dxa" w:w="1481"/>
            <w:vAlign w:val="center"/>
          </w:tcPr>
          <w:p>
            <w:pPr>
              <w:spacing w:after="0"/>
            </w:pPr>
            <w:r>
              <w:t>10/10</w:t>
            </w:r>
          </w:p>
        </w:tc>
      </w:tr>
      <w:tr>
        <w:tc>
          <w:tcPr>
            <w:tcW w:type="dxa" w:w="1481"/>
            <w:vAlign w:val="center"/>
          </w:tcPr>
          <w:p>
            <w:pPr>
              <w:spacing w:after="0"/>
            </w:pPr>
            <w:r>
              <w:t>Taiwan Credit</w:t>
            </w:r>
          </w:p>
        </w:tc>
        <w:tc>
          <w:tcPr>
            <w:tcW w:type="dxa" w:w="1481"/>
            <w:vAlign w:val="center"/>
          </w:tcPr>
          <w:p>
            <w:pPr>
              <w:spacing w:after="0"/>
            </w:pPr>
            <w:r>
              <w:t>XGB</w:t>
            </w:r>
          </w:p>
        </w:tc>
        <w:tc>
          <w:tcPr>
            <w:tcW w:type="dxa" w:w="1481"/>
            <w:vAlign w:val="center"/>
          </w:tcPr>
          <w:p>
            <w:pPr>
              <w:spacing w:after="0"/>
            </w:pPr>
            <w:r>
              <w:t>10%</w:t>
            </w:r>
          </w:p>
        </w:tc>
        <w:tc>
          <w:tcPr>
            <w:tcW w:type="dxa" w:w="1481"/>
            <w:vAlign w:val="center"/>
          </w:tcPr>
          <w:p>
            <w:pPr>
              <w:spacing w:after="0"/>
            </w:pPr>
            <w:r>
              <w:t>0.0355</w:t>
            </w:r>
          </w:p>
        </w:tc>
        <w:tc>
          <w:tcPr>
            <w:tcW w:type="dxa" w:w="1481"/>
            <w:vAlign w:val="center"/>
          </w:tcPr>
          <w:p>
            <w:pPr>
              <w:spacing w:after="0"/>
            </w:pPr>
            <w:r>
              <w:t>0.0416</w:t>
            </w:r>
          </w:p>
        </w:tc>
        <w:tc>
          <w:tcPr>
            <w:tcW w:type="dxa" w:w="1481"/>
            <w:vAlign w:val="center"/>
          </w:tcPr>
          <w:p>
            <w:pPr>
              <w:spacing w:after="0"/>
            </w:pPr>
            <w:r>
              <w:t>0.0061</w:t>
            </w:r>
          </w:p>
        </w:tc>
        <w:tc>
          <w:tcPr>
            <w:tcW w:type="dxa" w:w="1481"/>
            <w:vAlign w:val="center"/>
          </w:tcPr>
          <w:p>
            <w:pPr>
              <w:spacing w:after="0"/>
            </w:pPr>
            <w:r>
              <w:t>9/10</w:t>
            </w:r>
          </w:p>
        </w:tc>
      </w:tr>
      <w:tr>
        <w:tc>
          <w:tcPr>
            <w:tcW w:type="dxa" w:w="1481"/>
            <w:vAlign w:val="center"/>
          </w:tcPr>
          <w:p>
            <w:pPr>
              <w:spacing w:after="0"/>
            </w:pPr>
            <w:r>
              <w:t>Taiwan Credit</w:t>
            </w:r>
          </w:p>
        </w:tc>
        <w:tc>
          <w:tcPr>
            <w:tcW w:type="dxa" w:w="1481"/>
            <w:vAlign w:val="center"/>
          </w:tcPr>
          <w:p>
            <w:pPr>
              <w:spacing w:after="0"/>
            </w:pPr>
            <w:r>
              <w:t>XGB</w:t>
            </w:r>
          </w:p>
        </w:tc>
        <w:tc>
          <w:tcPr>
            <w:tcW w:type="dxa" w:w="1481"/>
            <w:vAlign w:val="center"/>
          </w:tcPr>
          <w:p>
            <w:pPr>
              <w:spacing w:after="0"/>
            </w:pPr>
            <w:r>
              <w:t>20%</w:t>
            </w:r>
          </w:p>
        </w:tc>
        <w:tc>
          <w:tcPr>
            <w:tcW w:type="dxa" w:w="1481"/>
            <w:vAlign w:val="center"/>
          </w:tcPr>
          <w:p>
            <w:pPr>
              <w:spacing w:after="0"/>
            </w:pPr>
            <w:r>
              <w:t>0.0658</w:t>
            </w:r>
          </w:p>
        </w:tc>
        <w:tc>
          <w:tcPr>
            <w:tcW w:type="dxa" w:w="1481"/>
            <w:vAlign w:val="center"/>
          </w:tcPr>
          <w:p>
            <w:pPr>
              <w:spacing w:after="0"/>
            </w:pPr>
            <w:r>
              <w:t>0.0848</w:t>
            </w:r>
          </w:p>
        </w:tc>
        <w:tc>
          <w:tcPr>
            <w:tcW w:type="dxa" w:w="1481"/>
            <w:vAlign w:val="center"/>
          </w:tcPr>
          <w:p>
            <w:pPr>
              <w:spacing w:after="0"/>
            </w:pPr>
            <w:r>
              <w:t>0.0190</w:t>
            </w:r>
          </w:p>
        </w:tc>
        <w:tc>
          <w:tcPr>
            <w:tcW w:type="dxa" w:w="1481"/>
            <w:vAlign w:val="center"/>
          </w:tcPr>
          <w:p>
            <w:pPr>
              <w:spacing w:after="0"/>
            </w:pPr>
            <w:r>
              <w:t>10/10</w:t>
            </w:r>
          </w:p>
        </w:tc>
      </w:tr>
    </w:tbl>
    <w:p/>
    <w:p>
      <w:r>
        <w:t>Corrected source files: `adult_corrected_rerun/group_conditional_mar_per_seed_with_corrected_adult.csv` and `adult_corrected_rerun/group_conditional_mar_descriptive_summary_with_corrected_adult.csv`. This constructed mechanism does not represent all MAR processes or MNAR.</w:t>
      </w:r>
    </w:p>
    <w:p>
      <w:r>
        <w:t>Table S4. Age-conditioned MAR versus matched-eligible-feature MCAR. Each row summarizes ten paired repeated splits. The odds ratio is the conditional odds ratio per standard deviation of observed age.</w:t>
      </w:r>
    </w:p>
    <w:p>
      <w:pPr>
        <w:pStyle w:val="Heading2"/>
      </w:pPr>
      <w:r>
        <w:t>Table S4. Age-conditioned MAR descriptive summaries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t>Dataset</w:t>
            </w:r>
          </w:p>
        </w:tc>
        <w:tc>
          <w:tcPr>
            <w:tcW w:type="dxa" w:w="1728"/>
            <w:vAlign w:val="center"/>
            <w:shd w:fill="DCEEF4"/>
          </w:tcPr>
          <w:p>
            <w:pPr>
              <w:spacing w:after="0"/>
            </w:pPr>
            <w:r>
              <w:t>Model</w:t>
            </w:r>
          </w:p>
        </w:tc>
        <w:tc>
          <w:tcPr>
            <w:tcW w:type="dxa" w:w="1728"/>
            <w:vAlign w:val="center"/>
            <w:shd w:fill="DCEEF4"/>
          </w:tcPr>
          <w:p>
            <w:pPr>
              <w:spacing w:after="0"/>
            </w:pPr>
            <w:r>
              <w:t>Rate</w:t>
            </w:r>
          </w:p>
        </w:tc>
        <w:tc>
          <w:tcPr>
            <w:tcW w:type="dxa" w:w="1728"/>
            <w:vAlign w:val="center"/>
            <w:shd w:fill="DCEEF4"/>
          </w:tcPr>
          <w:p>
            <w:pPr>
              <w:spacing w:after="0"/>
            </w:pPr>
            <w:r>
              <w:t>Age OR/SD</w:t>
            </w:r>
          </w:p>
        </w:tc>
        <w:tc>
          <w:tcPr>
            <w:tcW w:type="dxa" w:w="1728"/>
            <w:vAlign w:val="center"/>
            <w:shd w:fill="DCEEF4"/>
          </w:tcPr>
          <w:p>
            <w:pPr>
              <w:spacing w:after="0"/>
            </w:pPr>
            <w:r>
              <w:t>Mean FMG difference</w:t>
            </w:r>
          </w:p>
        </w:tc>
        <w:tc>
          <w:tcPr>
            <w:tcW w:type="dxa" w:w="1728"/>
            <w:vAlign w:val="center"/>
            <w:shd w:fill="DCEEF4"/>
          </w:tcPr>
          <w:p>
            <w:pPr>
              <w:spacing w:after="0"/>
            </w:pPr>
            <w:r>
              <w:t>Positive splits</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-0.0002</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-0.0020</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-0.0033</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-0.0041</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-0.0015</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-0.0022</w:t>
            </w:r>
          </w:p>
        </w:tc>
        <w:tc>
          <w:tcPr>
            <w:tcW w:type="dxa" w:w="1728"/>
            <w:vAlign w:val="center"/>
          </w:tcPr>
          <w:p>
            <w:pPr>
              <w:spacing w:after="0"/>
            </w:pPr>
            <w:r>
              <w:t>6/10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-0.0039</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-0.0045</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-0.0053</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-0.0013</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0.0003</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-0.0025</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0.0016</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0.0024</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0.0035</w:t>
            </w:r>
          </w:p>
        </w:tc>
        <w:tc>
          <w:tcPr>
            <w:tcW w:type="dxa" w:w="1728"/>
            <w:vAlign w:val="center"/>
          </w:tcPr>
          <w:p>
            <w:pPr>
              <w:spacing w:after="0"/>
            </w:pPr>
            <w:r>
              <w:t>6/10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-0.0051</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-0.0024</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-0.0092</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-0.0009</w:t>
            </w:r>
          </w:p>
        </w:tc>
        <w:tc>
          <w:tcPr>
            <w:tcW w:type="dxa" w:w="1728"/>
            <w:vAlign w:val="center"/>
          </w:tcPr>
          <w:p>
            <w:pPr>
              <w:spacing w:after="0"/>
            </w:pPr>
            <w:r>
              <w:t>3/10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-0.0003</w:t>
            </w:r>
          </w:p>
        </w:tc>
        <w:tc>
          <w:tcPr>
            <w:tcW w:type="dxa" w:w="1728"/>
            <w:vAlign w:val="center"/>
          </w:tcPr>
          <w:p>
            <w:pPr>
              <w:spacing w:after="0"/>
            </w:pPr>
            <w:r>
              <w:t>4/10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0.0008</w:t>
            </w:r>
          </w:p>
        </w:tc>
        <w:tc>
          <w:tcPr>
            <w:tcW w:type="dxa" w:w="1728"/>
            <w:vAlign w:val="center"/>
          </w:tcPr>
          <w:p>
            <w:pPr>
              <w:spacing w:after="0"/>
            </w:pPr>
            <w:r>
              <w:t>5/10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0.0012</w:t>
            </w:r>
          </w:p>
        </w:tc>
        <w:tc>
          <w:tcPr>
            <w:tcW w:type="dxa" w:w="1728"/>
            <w:vAlign w:val="center"/>
          </w:tcPr>
          <w:p>
            <w:pPr>
              <w:spacing w:after="0"/>
            </w:pPr>
            <w:r>
              <w:t>6/10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0.0050</w:t>
            </w:r>
          </w:p>
        </w:tc>
        <w:tc>
          <w:tcPr>
            <w:tcW w:type="dxa" w:w="1728"/>
            <w:vAlign w:val="center"/>
          </w:tcPr>
          <w:p>
            <w:pPr>
              <w:spacing w:after="0"/>
            </w:pPr>
            <w:r>
              <w:t>8/10</w:t>
            </w:r>
          </w:p>
        </w:tc>
      </w:tr>
      <w:tr>
        <w:tc>
          <w:tcPr>
            <w:tcW w:type="dxa" w:w="1728"/>
            <w:vAlign w:val="center"/>
          </w:tcPr>
          <w:p>
            <w:pPr>
              <w:spacing w:after="0"/>
            </w:pPr>
            <w:r>
              <w:t>Adult Income</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0.0021</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0.0033</w:t>
            </w:r>
          </w:p>
        </w:tc>
        <w:tc>
          <w:tcPr>
            <w:tcW w:type="dxa" w:w="1728"/>
            <w:vAlign w:val="center"/>
          </w:tcPr>
          <w:p>
            <w:pPr>
              <w:spacing w:after="0"/>
            </w:pPr>
            <w:r>
              <w:t>5/10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0.0070</w:t>
            </w:r>
          </w:p>
        </w:tc>
        <w:tc>
          <w:tcPr>
            <w:tcW w:type="dxa" w:w="1728"/>
            <w:vAlign w:val="center"/>
          </w:tcPr>
          <w:p>
            <w:pPr>
              <w:spacing w:after="0"/>
            </w:pPr>
            <w:r>
              <w:t>6/10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0.0154</w:t>
            </w:r>
          </w:p>
        </w:tc>
        <w:tc>
          <w:tcPr>
            <w:tcW w:type="dxa" w:w="1728"/>
            <w:vAlign w:val="center"/>
          </w:tcPr>
          <w:p>
            <w:pPr>
              <w:spacing w:after="0"/>
            </w:pPr>
            <w:r>
              <w:t>8/10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0.0089</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0.0163</w:t>
            </w:r>
          </w:p>
        </w:tc>
        <w:tc>
          <w:tcPr>
            <w:tcW w:type="dxa" w:w="1728"/>
            <w:vAlign w:val="center"/>
          </w:tcPr>
          <w:p>
            <w:pPr>
              <w:spacing w:after="0"/>
            </w:pPr>
            <w:r>
              <w:t>9/10</w:t>
            </w:r>
          </w:p>
        </w:tc>
      </w:tr>
      <w:tr>
        <w:tc>
          <w:tcPr>
            <w:tcW w:type="dxa" w:w="1728"/>
            <w:vAlign w:val="center"/>
          </w:tcPr>
          <w:p>
            <w:pPr>
              <w:spacing w:after="0"/>
            </w:pPr>
            <w:r>
              <w:t>COMPAS</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0.0284</w:t>
            </w:r>
          </w:p>
        </w:tc>
        <w:tc>
          <w:tcPr>
            <w:tcW w:type="dxa" w:w="1728"/>
            <w:vAlign w:val="center"/>
          </w:tcPr>
          <w:p>
            <w:pPr>
              <w:spacing w:after="0"/>
            </w:pPr>
            <w:r>
              <w:t>10/10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0.0086</w:t>
            </w:r>
          </w:p>
        </w:tc>
        <w:tc>
          <w:tcPr>
            <w:tcW w:type="dxa" w:w="1728"/>
            <w:vAlign w:val="center"/>
          </w:tcPr>
          <w:p>
            <w:pPr>
              <w:spacing w:after="0"/>
            </w:pPr>
            <w:r>
              <w:t>8/10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0.0123</w:t>
            </w:r>
          </w:p>
        </w:tc>
        <w:tc>
          <w:tcPr>
            <w:tcW w:type="dxa" w:w="1728"/>
            <w:vAlign w:val="center"/>
          </w:tcPr>
          <w:p>
            <w:pPr>
              <w:spacing w:after="0"/>
            </w:pPr>
            <w:r>
              <w:t>8/10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0.0174</w:t>
            </w:r>
          </w:p>
        </w:tc>
        <w:tc>
          <w:tcPr>
            <w:tcW w:type="dxa" w:w="1728"/>
            <w:vAlign w:val="center"/>
          </w:tcPr>
          <w:p>
            <w:pPr>
              <w:spacing w:after="0"/>
            </w:pPr>
            <w:r>
              <w:t>9/10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0.0081</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0.0156</w:t>
            </w:r>
          </w:p>
        </w:tc>
        <w:tc>
          <w:tcPr>
            <w:tcW w:type="dxa" w:w="1728"/>
            <w:vAlign w:val="center"/>
          </w:tcPr>
          <w:p>
            <w:pPr>
              <w:spacing w:after="0"/>
            </w:pPr>
            <w:r>
              <w:t>9/10</w:t>
            </w:r>
          </w:p>
        </w:tc>
      </w:tr>
      <w:tr>
        <w:tc>
          <w:tcPr>
            <w:tcW w:type="dxa" w:w="1728"/>
            <w:vAlign w:val="center"/>
          </w:tcPr>
          <w:p>
            <w:pPr>
              <w:spacing w:after="0"/>
            </w:pPr>
            <w:r>
              <w:t>COMPAS</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0.0259</w:t>
            </w:r>
          </w:p>
        </w:tc>
        <w:tc>
          <w:tcPr>
            <w:tcW w:type="dxa" w:w="1728"/>
            <w:vAlign w:val="center"/>
          </w:tcPr>
          <w:p>
            <w:pPr>
              <w:spacing w:after="0"/>
            </w:pPr>
            <w:r>
              <w:t>10/10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0.0010</w:t>
            </w:r>
          </w:p>
        </w:tc>
        <w:tc>
          <w:tcPr>
            <w:tcW w:type="dxa" w:w="1728"/>
            <w:vAlign w:val="center"/>
          </w:tcPr>
          <w:p>
            <w:pPr>
              <w:spacing w:after="0"/>
            </w:pPr>
            <w:r>
              <w:t>4/10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0.0037</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0.0107</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0.0058</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0.0130</w:t>
            </w:r>
          </w:p>
        </w:tc>
        <w:tc>
          <w:tcPr>
            <w:tcW w:type="dxa" w:w="1728"/>
            <w:vAlign w:val="center"/>
          </w:tcPr>
          <w:p>
            <w:pPr>
              <w:spacing w:after="0"/>
            </w:pPr>
            <w:r>
              <w:t>9/10</w:t>
            </w:r>
          </w:p>
        </w:tc>
      </w:tr>
      <w:tr>
        <w:tc>
          <w:tcPr>
            <w:tcW w:type="dxa" w:w="1728"/>
            <w:vAlign w:val="center"/>
          </w:tcPr>
          <w:p>
            <w:pPr>
              <w:spacing w:after="0"/>
            </w:pPr>
            <w:r>
              <w:t>COMPAS</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0.0206</w:t>
            </w:r>
          </w:p>
        </w:tc>
        <w:tc>
          <w:tcPr>
            <w:tcW w:type="dxa" w:w="1728"/>
            <w:vAlign w:val="center"/>
          </w:tcPr>
          <w:p>
            <w:pPr>
              <w:spacing w:after="0"/>
            </w:pPr>
            <w:r>
              <w:t>10/10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0.0059</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0.0096</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0.0169</w:t>
            </w:r>
          </w:p>
        </w:tc>
        <w:tc>
          <w:tcPr>
            <w:tcW w:type="dxa" w:w="1728"/>
            <w:vAlign w:val="center"/>
          </w:tcPr>
          <w:p>
            <w:pPr>
              <w:spacing w:after="0"/>
            </w:pPr>
            <w:r>
              <w:t>9/10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0.0122</w:t>
            </w:r>
          </w:p>
        </w:tc>
        <w:tc>
          <w:tcPr>
            <w:tcW w:type="dxa" w:w="1728"/>
            <w:vAlign w:val="center"/>
          </w:tcPr>
          <w:p>
            <w:pPr>
              <w:spacing w:after="0"/>
            </w:pPr>
            <w:r>
              <w:t>7/10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0.0198</w:t>
            </w:r>
          </w:p>
        </w:tc>
        <w:tc>
          <w:tcPr>
            <w:tcW w:type="dxa" w:w="1728"/>
            <w:vAlign w:val="center"/>
          </w:tcPr>
          <w:p>
            <w:pPr>
              <w:spacing w:after="0"/>
            </w:pPr>
            <w:r>
              <w:t>10/10</w:t>
            </w:r>
          </w:p>
        </w:tc>
      </w:tr>
      <w:tr>
        <w:tc>
          <w:tcPr>
            <w:tcW w:type="dxa" w:w="1728"/>
            <w:vAlign w:val="center"/>
          </w:tcPr>
          <w:p>
            <w:pPr>
              <w:spacing w:after="0"/>
            </w:pPr>
            <w:r>
              <w:t>COMPAS</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0.0318</w:t>
            </w:r>
          </w:p>
        </w:tc>
        <w:tc>
          <w:tcPr>
            <w:tcW w:type="dxa" w:w="1728"/>
            <w:vAlign w:val="center"/>
          </w:tcPr>
          <w:p>
            <w:pPr>
              <w:spacing w:after="0"/>
            </w:pPr>
            <w:r>
              <w:t>10/10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0.0035</w:t>
            </w:r>
          </w:p>
        </w:tc>
        <w:tc>
          <w:tcPr>
            <w:tcW w:type="dxa" w:w="1728"/>
            <w:vAlign w:val="center"/>
          </w:tcPr>
          <w:p>
            <w:pPr>
              <w:spacing w:after="0"/>
            </w:pPr>
            <w:r>
              <w:t>7/10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0.0023</w:t>
            </w:r>
          </w:p>
        </w:tc>
        <w:tc>
          <w:tcPr>
            <w:tcW w:type="dxa" w:w="1728"/>
            <w:vAlign w:val="center"/>
          </w:tcPr>
          <w:p>
            <w:pPr>
              <w:spacing w:after="0"/>
            </w:pPr>
            <w:r>
              <w:t>7/10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0.0042</w:t>
            </w:r>
          </w:p>
        </w:tc>
        <w:tc>
          <w:tcPr>
            <w:tcW w:type="dxa" w:w="1728"/>
            <w:vAlign w:val="center"/>
          </w:tcPr>
          <w:p>
            <w:pPr>
              <w:spacing w:after="0"/>
            </w:pPr>
            <w:r>
              <w:t>6/10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0.0001</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-0.0010</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LGB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-0.0034</w:t>
            </w:r>
          </w:p>
        </w:tc>
        <w:tc>
          <w:tcPr>
            <w:tcW w:type="dxa" w:w="1728"/>
            <w:vAlign w:val="center"/>
          </w:tcPr>
          <w:p>
            <w:pPr>
              <w:spacing w:after="0"/>
            </w:pPr>
            <w:r>
              <w:t>3/10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0.0022</w:t>
            </w:r>
          </w:p>
        </w:tc>
        <w:tc>
          <w:tcPr>
            <w:tcW w:type="dxa" w:w="1728"/>
            <w:vAlign w:val="center"/>
          </w:tcPr>
          <w:p>
            <w:pPr>
              <w:spacing w:after="0"/>
            </w:pPr>
            <w:r>
              <w:t>7/10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0.0016</w:t>
            </w:r>
          </w:p>
        </w:tc>
        <w:tc>
          <w:tcPr>
            <w:tcW w:type="dxa" w:w="1728"/>
            <w:vAlign w:val="center"/>
          </w:tcPr>
          <w:p>
            <w:pPr>
              <w:spacing w:after="0"/>
            </w:pPr>
            <w:r>
              <w:t>7/10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0.0023</w:t>
            </w:r>
          </w:p>
        </w:tc>
        <w:tc>
          <w:tcPr>
            <w:tcW w:type="dxa" w:w="1728"/>
            <w:vAlign w:val="center"/>
          </w:tcPr>
          <w:p>
            <w:pPr>
              <w:spacing w:after="0"/>
            </w:pPr>
            <w:r>
              <w:t>5/10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-0.0016</w:t>
            </w:r>
          </w:p>
        </w:tc>
        <w:tc>
          <w:tcPr>
            <w:tcW w:type="dxa" w:w="1728"/>
            <w:vAlign w:val="center"/>
          </w:tcPr>
          <w:p>
            <w:pPr>
              <w:spacing w:after="0"/>
            </w:pPr>
            <w:r>
              <w:t>5/10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-0.0032</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MLP</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-0.0050</w:t>
            </w:r>
          </w:p>
        </w:tc>
        <w:tc>
          <w:tcPr>
            <w:tcW w:type="dxa" w:w="1728"/>
            <w:vAlign w:val="center"/>
          </w:tcPr>
          <w:p>
            <w:pPr>
              <w:spacing w:after="0"/>
            </w:pPr>
            <w:r>
              <w:t>3/10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0.0004</w:t>
            </w:r>
          </w:p>
        </w:tc>
        <w:tc>
          <w:tcPr>
            <w:tcW w:type="dxa" w:w="1728"/>
            <w:vAlign w:val="center"/>
          </w:tcPr>
          <w:p>
            <w:pPr>
              <w:spacing w:after="0"/>
            </w:pPr>
            <w:r>
              <w:t>5/10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-0.0009</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-0.0009</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0.0021</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0.0017</w:t>
            </w:r>
          </w:p>
        </w:tc>
        <w:tc>
          <w:tcPr>
            <w:tcW w:type="dxa" w:w="1728"/>
            <w:vAlign w:val="center"/>
          </w:tcPr>
          <w:p>
            <w:pPr>
              <w:spacing w:after="0"/>
            </w:pPr>
            <w:r>
              <w:t>5/10</w:t>
            </w:r>
          </w:p>
        </w:tc>
      </w:tr>
      <w:tr>
        <w:tc>
          <w:tcPr>
            <w:tcW w:type="dxa" w:w="1728"/>
            <w:vAlign w:val="center"/>
          </w:tcPr>
          <w:p>
            <w:pPr>
              <w:spacing w:after="0"/>
            </w:pPr>
            <w:r>
              <w:t>Taiwan Credit</w:t>
            </w:r>
          </w:p>
        </w:tc>
        <w:tc>
          <w:tcPr>
            <w:tcW w:type="dxa" w:w="1728"/>
            <w:vAlign w:val="center"/>
          </w:tcPr>
          <w:p>
            <w:pPr>
              <w:spacing w:after="0"/>
            </w:pPr>
            <w:r>
              <w:t>RF</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-0.0017</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1.5</w:t>
            </w:r>
          </w:p>
        </w:tc>
        <w:tc>
          <w:tcPr>
            <w:tcW w:type="dxa" w:w="1728"/>
            <w:vAlign w:val="center"/>
          </w:tcPr>
          <w:p>
            <w:pPr>
              <w:spacing w:after="0"/>
            </w:pPr>
            <w:r>
              <w:t>0.0023</w:t>
            </w:r>
          </w:p>
        </w:tc>
        <w:tc>
          <w:tcPr>
            <w:tcW w:type="dxa" w:w="1728"/>
            <w:vAlign w:val="center"/>
          </w:tcPr>
          <w:p>
            <w:pPr>
              <w:spacing w:after="0"/>
            </w:pPr>
            <w:r>
              <w:t>6/10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2</w:t>
            </w:r>
          </w:p>
        </w:tc>
        <w:tc>
          <w:tcPr>
            <w:tcW w:type="dxa" w:w="1728"/>
            <w:vAlign w:val="center"/>
          </w:tcPr>
          <w:p>
            <w:pPr>
              <w:spacing w:after="0"/>
            </w:pPr>
            <w:r>
              <w:t>0.0026</w:t>
            </w:r>
          </w:p>
        </w:tc>
        <w:tc>
          <w:tcPr>
            <w:tcW w:type="dxa" w:w="1728"/>
            <w:vAlign w:val="center"/>
          </w:tcPr>
          <w:p>
            <w:pPr>
              <w:spacing w:after="0"/>
            </w:pPr>
            <w:r>
              <w:t>6/10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10%</w:t>
            </w:r>
          </w:p>
        </w:tc>
        <w:tc>
          <w:tcPr>
            <w:tcW w:type="dxa" w:w="1728"/>
            <w:vAlign w:val="center"/>
          </w:tcPr>
          <w:p>
            <w:pPr>
              <w:spacing w:after="0"/>
            </w:pPr>
            <w:r>
              <w:t>4</w:t>
            </w:r>
          </w:p>
        </w:tc>
        <w:tc>
          <w:tcPr>
            <w:tcW w:type="dxa" w:w="1728"/>
            <w:vAlign w:val="center"/>
          </w:tcPr>
          <w:p>
            <w:pPr>
              <w:spacing w:after="0"/>
            </w:pPr>
            <w:r>
              <w:t>0.0064</w:t>
            </w:r>
          </w:p>
        </w:tc>
        <w:tc>
          <w:tcPr>
            <w:tcW w:type="dxa" w:w="1728"/>
            <w:vAlign w:val="center"/>
          </w:tcPr>
          <w:p>
            <w:pPr>
              <w:spacing w:after="0"/>
            </w:pPr>
            <w:r>
              <w:t>8/10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1.5</w:t>
            </w:r>
          </w:p>
        </w:tc>
        <w:tc>
          <w:tcPr>
            <w:tcW w:type="dxa" w:w="1728"/>
            <w:vAlign w:val="center"/>
          </w:tcPr>
          <w:p>
            <w:pPr>
              <w:spacing w:after="0"/>
            </w:pPr>
            <w:r>
              <w:t>-0.0025</w:t>
            </w:r>
          </w:p>
        </w:tc>
        <w:tc>
          <w:tcPr>
            <w:tcW w:type="dxa" w:w="1728"/>
            <w:vAlign w:val="center"/>
          </w:tcPr>
          <w:p>
            <w:pPr>
              <w:spacing w:after="0"/>
            </w:pPr>
            <w:r>
              <w:t>4/10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2</w:t>
            </w:r>
          </w:p>
        </w:tc>
        <w:tc>
          <w:tcPr>
            <w:tcW w:type="dxa" w:w="1728"/>
            <w:vAlign w:val="center"/>
          </w:tcPr>
          <w:p>
            <w:pPr>
              <w:spacing w:after="0"/>
            </w:pPr>
            <w:r>
              <w:t>-0.0024</w:t>
            </w:r>
          </w:p>
        </w:tc>
        <w:tc>
          <w:tcPr>
            <w:tcW w:type="dxa" w:w="1728"/>
            <w:vAlign w:val="center"/>
          </w:tcPr>
          <w:p>
            <w:pPr>
              <w:spacing w:after="0"/>
            </w:pPr>
            <w:r>
              <w:t>3/10</w:t>
            </w:r>
          </w:p>
        </w:tc>
      </w:tr>
      <w:tr>
        <w:tc>
          <w:tcPr>
            <w:tcW w:type="dxa" w:w="1728"/>
            <w:vAlign w:val="center"/>
          </w:tcPr>
          <w:p>
            <w:pPr>
              <w:spacing w:after="0"/>
            </w:pPr>
            <w:r>
              <w:t>Taiwan Credit</w:t>
            </w:r>
          </w:p>
        </w:tc>
        <w:tc>
          <w:tcPr>
            <w:tcW w:type="dxa" w:w="1728"/>
            <w:vAlign w:val="center"/>
          </w:tcPr>
          <w:p>
            <w:pPr>
              <w:spacing w:after="0"/>
            </w:pPr>
            <w:r>
              <w:t>XGB</w:t>
            </w:r>
          </w:p>
        </w:tc>
        <w:tc>
          <w:tcPr>
            <w:tcW w:type="dxa" w:w="1728"/>
            <w:vAlign w:val="center"/>
          </w:tcPr>
          <w:p>
            <w:pPr>
              <w:spacing w:after="0"/>
            </w:pPr>
            <w:r>
              <w:t>20%</w:t>
            </w:r>
          </w:p>
        </w:tc>
        <w:tc>
          <w:tcPr>
            <w:tcW w:type="dxa" w:w="1728"/>
            <w:vAlign w:val="center"/>
          </w:tcPr>
          <w:p>
            <w:pPr>
              <w:spacing w:after="0"/>
            </w:pPr>
            <w:r>
              <w:t>4</w:t>
            </w:r>
          </w:p>
        </w:tc>
        <w:tc>
          <w:tcPr>
            <w:tcW w:type="dxa" w:w="1728"/>
            <w:vAlign w:val="center"/>
          </w:tcPr>
          <w:p>
            <w:pPr>
              <w:spacing w:after="0"/>
            </w:pPr>
            <w:r>
              <w:t>0.0005</w:t>
            </w:r>
          </w:p>
        </w:tc>
        <w:tc>
          <w:tcPr>
            <w:tcW w:type="dxa" w:w="1728"/>
            <w:vAlign w:val="center"/>
          </w:tcPr>
          <w:p>
            <w:pPr>
              <w:spacing w:after="0"/>
            </w:pPr>
            <w:r>
              <w:t>4/10</w:t>
            </w:r>
          </w:p>
        </w:tc>
      </w:tr>
    </w:tbl>
    <w:p/>
    <w:p>
      <w:r>
        <w:t>Corrected combined files: `adult_corrected_rerun/age_conditional_mar_summary_reconciled_latest.csv` and `adult_corrected_rerun/age_conditional_mar_per_seed_reconciled_latest.csv`. Adult rows were rerun on the corrected UCI Adult archive; COMPAS and Taiwan rows retain the earlier recorded runs. This mechanism tests one observed covariate and a specified logistic propensity form; it does not establish a general MAR result.</w:t>
      </w:r>
    </w:p>
    <w:p>
      <w:r>
        <w:t>Table S5. Type-aware preprocessing sensitivity at 20% MCAR. Classifiers are trained on clean data under each pipeline and held fixed during that pipeline’s clean and masked evaluation. These rows are descriptive, with no inferential test.</w:t>
      </w:r>
    </w:p>
    <w:p>
      <w:pPr>
        <w:pStyle w:val="Heading2"/>
      </w:pPr>
      <w:r>
        <w:t>Table S5. Type-aware preprocessing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F4"/>
          </w:tcPr>
          <w:p>
            <w:pPr>
              <w:spacing w:after="0"/>
            </w:pPr>
            <w:r>
              <w:t>Dataset</w:t>
            </w:r>
          </w:p>
        </w:tc>
        <w:tc>
          <w:tcPr>
            <w:tcW w:type="dxa" w:w="1728"/>
            <w:vAlign w:val="center"/>
            <w:shd w:fill="DCEEF4"/>
          </w:tcPr>
          <w:p>
            <w:pPr>
              <w:spacing w:after="0"/>
            </w:pPr>
            <w:r>
              <w:t>Pipeline</w:t>
            </w:r>
          </w:p>
        </w:tc>
        <w:tc>
          <w:tcPr>
            <w:tcW w:type="dxa" w:w="1728"/>
            <w:vAlign w:val="center"/>
            <w:shd w:fill="DCEEF4"/>
          </w:tcPr>
          <w:p>
            <w:pPr>
              <w:spacing w:after="0"/>
            </w:pPr>
            <w:r>
              <w:t>Mean FMG ± SD</w:t>
            </w:r>
          </w:p>
        </w:tc>
        <w:tc>
          <w:tcPr>
            <w:tcW w:type="dxa" w:w="1728"/>
            <w:vAlign w:val="center"/>
            <w:shd w:fill="DCEEF4"/>
          </w:tcPr>
          <w:p>
            <w:pPr>
              <w:spacing w:after="0"/>
            </w:pPr>
            <w:r>
              <w:t>Positive splits</w:t>
            </w:r>
          </w:p>
        </w:tc>
        <w:tc>
          <w:tcPr>
            <w:tcW w:type="dxa" w:w="1728"/>
            <w:vAlign w:val="center"/>
            <w:shd w:fill="DCEEF4"/>
          </w:tcPr>
          <w:p>
            <w:pPr>
              <w:spacing w:after="0"/>
            </w:pPr>
            <w:r>
              <w:t>Accuracy loss</w:t>
            </w:r>
          </w:p>
        </w:tc>
        <w:tc>
          <w:tcPr>
            <w:tcW w:type="dxa" w:w="1728"/>
            <w:vAlign w:val="center"/>
            <w:shd w:fill="DCEEF4"/>
          </w:tcPr>
          <w:p>
            <w:pPr>
              <w:spacing w:after="0"/>
            </w:pPr>
            <w:r>
              <w:t>g0 recall loss</w:t>
            </w:r>
          </w:p>
        </w:tc>
      </w:tr>
      <w:tr>
        <w:tc>
          <w:tcPr>
            <w:tcW w:type="dxa" w:w="1728"/>
            <w:vAlign w:val="center"/>
          </w:tcPr>
          <w:p>
            <w:pPr>
              <w:spacing w:after="0"/>
            </w:pPr>
            <w:r>
              <w:t>Adult Income</w:t>
            </w:r>
          </w:p>
        </w:tc>
        <w:tc>
          <w:tcPr>
            <w:tcW w:type="dxa" w:w="1728"/>
            <w:vAlign w:val="center"/>
          </w:tcPr>
          <w:p>
            <w:pPr>
              <w:spacing w:after="0"/>
            </w:pPr>
            <w:r>
              <w:t>Median/mode</w:t>
            </w:r>
          </w:p>
        </w:tc>
        <w:tc>
          <w:tcPr>
            <w:tcW w:type="dxa" w:w="1728"/>
            <w:vAlign w:val="center"/>
          </w:tcPr>
          <w:p>
            <w:pPr>
              <w:spacing w:after="0"/>
            </w:pPr>
            <w:r>
              <w:t>0.031763 ± 0.027052</w:t>
            </w:r>
          </w:p>
        </w:tc>
        <w:tc>
          <w:tcPr>
            <w:tcW w:type="dxa" w:w="1728"/>
            <w:vAlign w:val="center"/>
          </w:tcPr>
          <w:p>
            <w:pPr>
              <w:spacing w:after="0"/>
            </w:pPr>
            <w:r>
              <w:t>9/10</w:t>
            </w:r>
          </w:p>
        </w:tc>
        <w:tc>
          <w:tcPr>
            <w:tcW w:type="dxa" w:w="1728"/>
            <w:vAlign w:val="center"/>
          </w:tcPr>
          <w:p>
            <w:pPr>
              <w:spacing w:after="0"/>
            </w:pPr>
            <w:r>
              <w:t>0.0205</w:t>
            </w:r>
          </w:p>
        </w:tc>
        <w:tc>
          <w:tcPr>
            <w:tcW w:type="dxa" w:w="1728"/>
            <w:vAlign w:val="center"/>
          </w:tcPr>
          <w:p>
            <w:pPr>
              <w:spacing w:after="0"/>
            </w:pPr>
            <w:r>
              <w:t>0.0523</w:t>
            </w:r>
          </w:p>
        </w:tc>
      </w:tr>
      <w:tr>
        <w:tc>
          <w:tcPr>
            <w:tcW w:type="dxa" w:w="1728"/>
            <w:vAlign w:val="center"/>
          </w:tcPr>
          <w:p>
            <w:pPr>
              <w:spacing w:after="0"/>
            </w:pPr>
            <w:r>
              <w:t>Adult Income</w:t>
            </w:r>
          </w:p>
        </w:tc>
        <w:tc>
          <w:tcPr>
            <w:tcW w:type="dxa" w:w="1728"/>
            <w:vAlign w:val="center"/>
          </w:tcPr>
          <w:p>
            <w:pPr>
              <w:spacing w:after="0"/>
            </w:pPr>
            <w:r>
              <w:t>KNN/mode</w:t>
            </w:r>
          </w:p>
        </w:tc>
        <w:tc>
          <w:tcPr>
            <w:tcW w:type="dxa" w:w="1728"/>
            <w:vAlign w:val="center"/>
          </w:tcPr>
          <w:p>
            <w:pPr>
              <w:spacing w:after="0"/>
            </w:pPr>
            <w:r>
              <w:t>0.032747 ± 0.024813</w:t>
            </w:r>
          </w:p>
        </w:tc>
        <w:tc>
          <w:tcPr>
            <w:tcW w:type="dxa" w:w="1728"/>
            <w:vAlign w:val="center"/>
          </w:tcPr>
          <w:p>
            <w:pPr>
              <w:spacing w:after="0"/>
            </w:pPr>
            <w:r>
              <w:t>9/10</w:t>
            </w:r>
          </w:p>
        </w:tc>
        <w:tc>
          <w:tcPr>
            <w:tcW w:type="dxa" w:w="1728"/>
            <w:vAlign w:val="center"/>
          </w:tcPr>
          <w:p>
            <w:pPr>
              <w:spacing w:after="0"/>
            </w:pPr>
            <w:r>
              <w:t>0.0226</w:t>
            </w:r>
          </w:p>
        </w:tc>
        <w:tc>
          <w:tcPr>
            <w:tcW w:type="dxa" w:w="1728"/>
            <w:vAlign w:val="center"/>
          </w:tcPr>
          <w:p>
            <w:pPr>
              <w:spacing w:after="0"/>
            </w:pPr>
            <w:r>
              <w:t>0.0553</w:t>
            </w:r>
          </w:p>
        </w:tc>
      </w:tr>
      <w:tr>
        <w:tc>
          <w:tcPr>
            <w:tcW w:type="dxa" w:w="1728"/>
            <w:vAlign w:val="center"/>
          </w:tcPr>
          <w:p>
            <w:pPr>
              <w:spacing w:after="0"/>
            </w:pPr>
            <w:r>
              <w:t>Adult Income</w:t>
            </w:r>
          </w:p>
        </w:tc>
        <w:tc>
          <w:tcPr>
            <w:tcW w:type="dxa" w:w="1728"/>
            <w:vAlign w:val="center"/>
          </w:tcPr>
          <w:p>
            <w:pPr>
              <w:spacing w:after="0"/>
            </w:pPr>
            <w:r>
              <w:t>Iterative/mode</w:t>
            </w:r>
          </w:p>
        </w:tc>
        <w:tc>
          <w:tcPr>
            <w:tcW w:type="dxa" w:w="1728"/>
            <w:vAlign w:val="center"/>
          </w:tcPr>
          <w:p>
            <w:pPr>
              <w:spacing w:after="0"/>
            </w:pPr>
            <w:r>
              <w:t>0.026972 ± 0.029278</w:t>
            </w:r>
          </w:p>
        </w:tc>
        <w:tc>
          <w:tcPr>
            <w:tcW w:type="dxa" w:w="1728"/>
            <w:vAlign w:val="center"/>
          </w:tcPr>
          <w:p>
            <w:pPr>
              <w:spacing w:after="0"/>
            </w:pPr>
            <w:r>
              <w:t>7/10</w:t>
            </w:r>
          </w:p>
        </w:tc>
        <w:tc>
          <w:tcPr>
            <w:tcW w:type="dxa" w:w="1728"/>
            <w:vAlign w:val="center"/>
          </w:tcPr>
          <w:p>
            <w:pPr>
              <w:spacing w:after="0"/>
            </w:pPr>
            <w:r>
              <w:t>0.0194</w:t>
            </w:r>
          </w:p>
        </w:tc>
        <w:tc>
          <w:tcPr>
            <w:tcW w:type="dxa" w:w="1728"/>
            <w:vAlign w:val="center"/>
          </w:tcPr>
          <w:p>
            <w:pPr>
              <w:spacing w:after="0"/>
            </w:pPr>
            <w:r>
              <w:t>0.0464</w:t>
            </w:r>
          </w:p>
        </w:tc>
      </w:tr>
      <w:tr>
        <w:tc>
          <w:tcPr>
            <w:tcW w:type="dxa" w:w="1728"/>
            <w:vAlign w:val="center"/>
          </w:tcPr>
          <w:p>
            <w:pPr>
              <w:spacing w:after="0"/>
            </w:pPr>
            <w:r>
              <w:t>COMPAS</w:t>
            </w:r>
          </w:p>
        </w:tc>
        <w:tc>
          <w:tcPr>
            <w:tcW w:type="dxa" w:w="1728"/>
            <w:vAlign w:val="center"/>
          </w:tcPr>
          <w:p>
            <w:pPr>
              <w:spacing w:after="0"/>
            </w:pPr>
            <w:r>
              <w:t>Median/mode</w:t>
            </w:r>
          </w:p>
        </w:tc>
        <w:tc>
          <w:tcPr>
            <w:tcW w:type="dxa" w:w="1728"/>
            <w:vAlign w:val="center"/>
          </w:tcPr>
          <w:p>
            <w:pPr>
              <w:spacing w:after="0"/>
            </w:pPr>
            <w:r>
              <w:t>0.004873 ± 0.026213</w:t>
            </w:r>
          </w:p>
        </w:tc>
        <w:tc>
          <w:tcPr>
            <w:tcW w:type="dxa" w:w="1728"/>
            <w:vAlign w:val="center"/>
          </w:tcPr>
          <w:p>
            <w:pPr>
              <w:spacing w:after="0"/>
            </w:pPr>
            <w:r>
              <w:t>5/10</w:t>
            </w:r>
          </w:p>
        </w:tc>
        <w:tc>
          <w:tcPr>
            <w:tcW w:type="dxa" w:w="1728"/>
            <w:vAlign w:val="center"/>
          </w:tcPr>
          <w:p>
            <w:pPr>
              <w:spacing w:after="0"/>
            </w:pPr>
            <w:r>
              <w:t>0.0249</w:t>
            </w:r>
          </w:p>
        </w:tc>
        <w:tc>
          <w:tcPr>
            <w:tcW w:type="dxa" w:w="1728"/>
            <w:vAlign w:val="center"/>
          </w:tcPr>
          <w:p>
            <w:pPr>
              <w:spacing w:after="0"/>
            </w:pPr>
            <w:r>
              <w:t>0.0297</w:t>
            </w:r>
          </w:p>
        </w:tc>
      </w:tr>
      <w:tr>
        <w:tc>
          <w:tcPr>
            <w:tcW w:type="dxa" w:w="1728"/>
            <w:vAlign w:val="center"/>
          </w:tcPr>
          <w:p>
            <w:pPr>
              <w:spacing w:after="0"/>
            </w:pPr>
            <w:r>
              <w:t>COMPAS</w:t>
            </w:r>
          </w:p>
        </w:tc>
        <w:tc>
          <w:tcPr>
            <w:tcW w:type="dxa" w:w="1728"/>
            <w:vAlign w:val="center"/>
          </w:tcPr>
          <w:p>
            <w:pPr>
              <w:spacing w:after="0"/>
            </w:pPr>
            <w:r>
              <w:t>KNN/mode</w:t>
            </w:r>
          </w:p>
        </w:tc>
        <w:tc>
          <w:tcPr>
            <w:tcW w:type="dxa" w:w="1728"/>
            <w:vAlign w:val="center"/>
          </w:tcPr>
          <w:p>
            <w:pPr>
              <w:spacing w:after="0"/>
            </w:pPr>
            <w:r>
              <w:t>-0.004284 ± 0.017726</w:t>
            </w:r>
          </w:p>
        </w:tc>
        <w:tc>
          <w:tcPr>
            <w:tcW w:type="dxa" w:w="1728"/>
            <w:vAlign w:val="center"/>
          </w:tcPr>
          <w:p>
            <w:pPr>
              <w:spacing w:after="0"/>
            </w:pPr>
            <w:r>
              <w:t>4/10</w:t>
            </w:r>
          </w:p>
        </w:tc>
        <w:tc>
          <w:tcPr>
            <w:tcW w:type="dxa" w:w="1728"/>
            <w:vAlign w:val="center"/>
          </w:tcPr>
          <w:p>
            <w:pPr>
              <w:spacing w:after="0"/>
            </w:pPr>
            <w:r>
              <w:t>0.0245</w:t>
            </w:r>
          </w:p>
        </w:tc>
        <w:tc>
          <w:tcPr>
            <w:tcW w:type="dxa" w:w="1728"/>
            <w:vAlign w:val="center"/>
          </w:tcPr>
          <w:p>
            <w:pPr>
              <w:spacing w:after="0"/>
            </w:pPr>
            <w:r>
              <w:t>0.0202</w:t>
            </w:r>
          </w:p>
        </w:tc>
      </w:tr>
      <w:tr>
        <w:tc>
          <w:tcPr>
            <w:tcW w:type="dxa" w:w="1728"/>
            <w:vAlign w:val="center"/>
          </w:tcPr>
          <w:p>
            <w:pPr>
              <w:spacing w:after="0"/>
            </w:pPr>
            <w:r>
              <w:t>COMPAS</w:t>
            </w:r>
          </w:p>
        </w:tc>
        <w:tc>
          <w:tcPr>
            <w:tcW w:type="dxa" w:w="1728"/>
            <w:vAlign w:val="center"/>
          </w:tcPr>
          <w:p>
            <w:pPr>
              <w:spacing w:after="0"/>
            </w:pPr>
            <w:r>
              <w:t>Iterative/mode</w:t>
            </w:r>
          </w:p>
        </w:tc>
        <w:tc>
          <w:tcPr>
            <w:tcW w:type="dxa" w:w="1728"/>
            <w:vAlign w:val="center"/>
          </w:tcPr>
          <w:p>
            <w:pPr>
              <w:spacing w:after="0"/>
            </w:pPr>
            <w:r>
              <w:t>-0.013119 ± 0.026977</w:t>
            </w:r>
          </w:p>
        </w:tc>
        <w:tc>
          <w:tcPr>
            <w:tcW w:type="dxa" w:w="1728"/>
            <w:vAlign w:val="center"/>
          </w:tcPr>
          <w:p>
            <w:pPr>
              <w:spacing w:after="0"/>
            </w:pPr>
            <w:r>
              <w:t>3/10</w:t>
            </w:r>
          </w:p>
        </w:tc>
        <w:tc>
          <w:tcPr>
            <w:tcW w:type="dxa" w:w="1728"/>
            <w:vAlign w:val="center"/>
          </w:tcPr>
          <w:p>
            <w:pPr>
              <w:spacing w:after="0"/>
            </w:pPr>
            <w:r>
              <w:t>0.0187</w:t>
            </w:r>
          </w:p>
        </w:tc>
        <w:tc>
          <w:tcPr>
            <w:tcW w:type="dxa" w:w="1728"/>
            <w:vAlign w:val="center"/>
          </w:tcPr>
          <w:p>
            <w:pPr>
              <w:spacing w:after="0"/>
            </w:pPr>
            <w:r>
              <w:t>0.0056</w:t>
            </w:r>
          </w:p>
        </w:tc>
      </w:tr>
      <w:tr>
        <w:tc>
          <w:tcPr>
            <w:tcW w:type="dxa" w:w="1728"/>
            <w:vAlign w:val="center"/>
          </w:tcPr>
          <w:p>
            <w:pPr>
              <w:spacing w:after="0"/>
            </w:pPr>
            <w:r>
              <w:t>Taiwan Credit</w:t>
            </w:r>
          </w:p>
        </w:tc>
        <w:tc>
          <w:tcPr>
            <w:tcW w:type="dxa" w:w="1728"/>
            <w:vAlign w:val="center"/>
          </w:tcPr>
          <w:p>
            <w:pPr>
              <w:spacing w:after="0"/>
            </w:pPr>
            <w:r>
              <w:t>Median/mode</w:t>
            </w:r>
          </w:p>
        </w:tc>
        <w:tc>
          <w:tcPr>
            <w:tcW w:type="dxa" w:w="1728"/>
            <w:vAlign w:val="center"/>
          </w:tcPr>
          <w:p>
            <w:pPr>
              <w:spacing w:after="0"/>
            </w:pPr>
            <w:r>
              <w:t>0.083100 ± 0.014349</w:t>
            </w:r>
          </w:p>
        </w:tc>
        <w:tc>
          <w:tcPr>
            <w:tcW w:type="dxa" w:w="1728"/>
            <w:vAlign w:val="center"/>
          </w:tcPr>
          <w:p>
            <w:pPr>
              <w:spacing w:after="0"/>
            </w:pPr>
            <w:r>
              <w:t>10/10</w:t>
            </w:r>
          </w:p>
        </w:tc>
        <w:tc>
          <w:tcPr>
            <w:tcW w:type="dxa" w:w="1728"/>
            <w:vAlign w:val="center"/>
          </w:tcPr>
          <w:p>
            <w:pPr>
              <w:spacing w:after="0"/>
            </w:pPr>
            <w:r>
              <w:t>0.0044</w:t>
            </w:r>
          </w:p>
        </w:tc>
        <w:tc>
          <w:tcPr>
            <w:tcW w:type="dxa" w:w="1728"/>
            <w:vAlign w:val="center"/>
          </w:tcPr>
          <w:p>
            <w:pPr>
              <w:spacing w:after="0"/>
            </w:pPr>
            <w:r>
              <w:t>0.0875</w:t>
            </w:r>
          </w:p>
        </w:tc>
      </w:tr>
      <w:tr>
        <w:tc>
          <w:tcPr>
            <w:tcW w:type="dxa" w:w="1728"/>
            <w:vAlign w:val="center"/>
          </w:tcPr>
          <w:p>
            <w:pPr>
              <w:spacing w:after="0"/>
            </w:pPr>
            <w:r>
              <w:t>Taiwan Credit</w:t>
            </w:r>
          </w:p>
        </w:tc>
        <w:tc>
          <w:tcPr>
            <w:tcW w:type="dxa" w:w="1728"/>
            <w:vAlign w:val="center"/>
          </w:tcPr>
          <w:p>
            <w:pPr>
              <w:spacing w:after="0"/>
            </w:pPr>
            <w:r>
              <w:t>KNN/mode</w:t>
            </w:r>
          </w:p>
        </w:tc>
        <w:tc>
          <w:tcPr>
            <w:tcW w:type="dxa" w:w="1728"/>
            <w:vAlign w:val="center"/>
          </w:tcPr>
          <w:p>
            <w:pPr>
              <w:spacing w:after="0"/>
            </w:pPr>
            <w:r>
              <w:t>0.068865 ± 0.014564</w:t>
            </w:r>
          </w:p>
        </w:tc>
        <w:tc>
          <w:tcPr>
            <w:tcW w:type="dxa" w:w="1728"/>
            <w:vAlign w:val="center"/>
          </w:tcPr>
          <w:p>
            <w:pPr>
              <w:spacing w:after="0"/>
            </w:pPr>
            <w:r>
              <w:t>10/10</w:t>
            </w:r>
          </w:p>
        </w:tc>
        <w:tc>
          <w:tcPr>
            <w:tcW w:type="dxa" w:w="1728"/>
            <w:vAlign w:val="center"/>
          </w:tcPr>
          <w:p>
            <w:pPr>
              <w:spacing w:after="0"/>
            </w:pPr>
            <w:r>
              <w:t>0.0055</w:t>
            </w:r>
          </w:p>
        </w:tc>
        <w:tc>
          <w:tcPr>
            <w:tcW w:type="dxa" w:w="1728"/>
            <w:vAlign w:val="center"/>
          </w:tcPr>
          <w:p>
            <w:pPr>
              <w:spacing w:after="0"/>
            </w:pPr>
            <w:r>
              <w:t>0.0744</w:t>
            </w:r>
          </w:p>
        </w:tc>
      </w:tr>
      <w:tr>
        <w:tc>
          <w:tcPr>
            <w:tcW w:type="dxa" w:w="1728"/>
            <w:vAlign w:val="center"/>
          </w:tcPr>
          <w:p>
            <w:pPr>
              <w:spacing w:after="0"/>
            </w:pPr>
            <w:r>
              <w:t>Taiwan Credit</w:t>
            </w:r>
          </w:p>
        </w:tc>
        <w:tc>
          <w:tcPr>
            <w:tcW w:type="dxa" w:w="1728"/>
            <w:vAlign w:val="center"/>
          </w:tcPr>
          <w:p>
            <w:pPr>
              <w:spacing w:after="0"/>
            </w:pPr>
            <w:r>
              <w:t>Iterative/mode</w:t>
            </w:r>
          </w:p>
        </w:tc>
        <w:tc>
          <w:tcPr>
            <w:tcW w:type="dxa" w:w="1728"/>
            <w:vAlign w:val="center"/>
          </w:tcPr>
          <w:p>
            <w:pPr>
              <w:spacing w:after="0"/>
            </w:pPr>
            <w:r>
              <w:t>0.085624 ± 0.014840</w:t>
            </w:r>
          </w:p>
        </w:tc>
        <w:tc>
          <w:tcPr>
            <w:tcW w:type="dxa" w:w="1728"/>
            <w:vAlign w:val="center"/>
          </w:tcPr>
          <w:p>
            <w:pPr>
              <w:spacing w:after="0"/>
            </w:pPr>
            <w:r>
              <w:t>10/10</w:t>
            </w:r>
          </w:p>
        </w:tc>
        <w:tc>
          <w:tcPr>
            <w:tcW w:type="dxa" w:w="1728"/>
            <w:vAlign w:val="center"/>
          </w:tcPr>
          <w:p>
            <w:pPr>
              <w:spacing w:after="0"/>
            </w:pPr>
            <w:r>
              <w:t>0.0049</w:t>
            </w:r>
          </w:p>
        </w:tc>
        <w:tc>
          <w:tcPr>
            <w:tcW w:type="dxa" w:w="1728"/>
            <w:vAlign w:val="center"/>
          </w:tcPr>
          <w:p>
            <w:pPr>
              <w:spacing w:after="0"/>
            </w:pPr>
            <w:r>
              <w:t>0.0906</w:t>
            </w:r>
          </w:p>
        </w:tc>
      </w:tr>
    </w:tbl>
    <w:p/>
    <w:p>
      <w:r>
        <w:t>Corrected combined files: `adult_corrected_rerun/typeaware_imputation_summary_reconciled_latest.csv` and `adult_corrected_rerun/typeaware_imputation_per_seed_reconciled_latest.csv`. Adult rows were rerun on the corrected UCI Adult archive; COMPAS and Taiwan rows retain their recorded runs. The Adult KNN/mode mean FMG differed modestly between scikit-learn 1.6.1 (0.031762) and 1.9.1 (0.032747), so the table reports the latter run with its version noted. This comparison does not establish general preprocessing robustness across model families, rates, or datasets.</w:t>
      </w:r>
    </w:p>
    <w:p>
      <w:pPr>
        <w:pStyle w:val="Heading1"/>
      </w:pPr>
      <w:r>
        <w:t>Archived seed-based test outputs</w:t>
      </w:r>
    </w:p>
    <w:p>
      <w:r>
        <w:t>Earlier repository summary CSVs contain Wilcoxon p-values and significance flags computed from repeated split-level values. Because the split repetitions reuse observations, those values are not used as inferential support in this revised manuscript. The revised canonical notebook reports descriptive means, standard deviations, ranges, and sign counts instead. Archived CSV files are retained for provenance and should not be interpreted as independent-sample inference.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Supplementary Tables S1-S5 reconciled to corrected Adult sensitivity outputs.</dc:description>
  <cp:lastModifiedBy/>
  <cp:revision>1</cp:revision>
  <dcterms:created xsi:type="dcterms:W3CDTF">2013-12-23T23:15:00Z</dcterms:created>
  <dcterms:modified xsi:type="dcterms:W3CDTF">2013-12-23T23:15:00Z</dcterms:modified>
  <cp:category/>
</cp:coreProperties>
</file>