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26"/>
        <w:tblBorders>
          <w:top w:val="single" w:color="0F4761" w:sz="12"/>
          <w:left w:val="single" w:color="0F4761" w:sz="12"/>
          <w:bottom w:val="single" w:color="0F4761" w:sz="12"/>
          <w:right w:val="single" w:color="0F4761" w:sz="12"/>
          <w:insideH w:val="single" w:color="auto" w:sz="4"/>
          <w:insideV w:val="single" w:color="auto" w:sz="4"/>
        </w:tblBorders>
      </w:tblPr>
      <w:tblGrid>
        <w:gridCol w:w="10426"/>
      </w:tblGrid>
      <w:tr>
        <w:tc>
          <w:tcPr>
            <w:tcW w:type="dxa" w:w="10426"/>
            <w:shd w:fill="DEEBF7" w:val="clear"/>
            <w:tcMar>
              <w:top w:type="dxa" w:w="120"/>
              <w:left w:type="dxa" w:w="120"/>
              <w:bottom w:type="dxa" w:w="120"/>
              <w:right w:type="dxa" w:w="120"/>
            </w:tcMar>
          </w:tcPr>
          <w:p>
            <w:pPr>
              <w:spacing w:after="60"/>
              <w:jc w:val="center"/>
            </w:pPr>
            <w:r>
              <w:rPr>
                <w:rFonts w:ascii="Arial" w:cs="Arial" w:eastAsia="Arial" w:hAnsi="Arial"/>
                <w:b/>
                <w:bCs/>
                <w:sz w:val="26"/>
                <w:szCs w:val="26"/>
              </w:rPr>
              <w:t xml:space="preserve">Rapport de simulation — Stockage par batteries</w:t>
            </w:r>
          </w:p>
          <w:p>
            <w:pPr>
              <w:spacing w:after="60"/>
              <w:jc w:val="center"/>
            </w:pPr>
            <w:r>
              <w:rPr>
                <w:rFonts w:ascii="Arial" w:cs="Arial" w:eastAsia="Arial" w:hAnsi="Arial"/>
                <w:b/>
                <w:bCs/>
                <w:sz w:val="18"/>
                <w:szCs w:val="18"/>
              </w:rPr>
              <w:t xml:space="preserve">5 capacités comparées</w:t>
            </w:r>
            <w:r>
              <w:rPr>
                <w:rFonts w:ascii="Arial" w:cs="Arial" w:eastAsia="Arial" w:hAnsi="Arial"/>
                <w:b/>
                <w:bCs/>
                <w:sz w:val="18"/>
                <w:szCs w:val="18"/>
              </w:rPr>
              <w:t xml:space="preserve"> · </w:t>
            </w:r>
            <w:r>
              <w:rPr>
                <w:rFonts w:ascii="Arial" w:cs="Arial" w:eastAsia="Arial" w:hAnsi="Arial"/>
                <w:b/>
                <w:bCs/>
                <w:sz w:val="18"/>
                <w:szCs w:val="18"/>
              </w:rPr>
              <w:t xml:space="preserve">conseillée : </w:t>
            </w:r>
            <w:r>
              <w:rPr>
                <w:rFonts w:ascii="Arial" w:cs="Arial" w:eastAsia="Arial" w:hAnsi="Arial"/>
                <w:b/>
                <w:bCs/>
                <w:sz w:val="18"/>
                <w:szCs w:val="18"/>
              </w:rPr>
              <w:t xml:space="preserve">20,0 kWh</w:t>
            </w:r>
            <w:r>
              <w:rPr>
                <w:rFonts w:ascii="Arial" w:cs="Arial" w:eastAsia="Arial" w:hAnsi="Arial"/>
                <w:b/>
                <w:bCs/>
                <w:sz w:val="18"/>
                <w:szCs w:val="18"/>
              </w:rPr>
              <w:t xml:space="preserve"> · </w:t>
            </w:r>
            <w:r>
              <w:rPr>
                <w:rFonts w:ascii="Arial" w:cs="Arial" w:eastAsia="Arial" w:hAnsi="Arial"/>
                <w:b/>
                <w:bCs/>
                <w:sz w:val="18"/>
                <w:szCs w:val="18"/>
              </w:rPr>
              <w:t xml:space="preserve">5 000 kWh injectés/an</w:t>
            </w:r>
          </w:p>
          <w:p>
            <w:pPr>
              <w:jc w:val="center"/>
            </w:pPr>
            <w:r>
              <w:rPr>
                <w:rFonts w:ascii="Arial" w:cs="Arial" w:eastAsia="Arial" w:hAnsi="Arial"/>
                <w:color w:val="595959"/>
                <w:sz w:val="17"/>
                <w:szCs w:val="17"/>
              </w:rPr>
              <w:t xml:space="preserve">Établi le </w:t>
            </w:r>
            <w:r>
              <w:rPr>
                <w:rFonts w:ascii="Arial" w:cs="Arial" w:eastAsia="Arial" w:hAnsi="Arial"/>
                <w:color w:val="595959"/>
                <w:sz w:val="17"/>
                <w:szCs w:val="17"/>
              </w:rPr>
              <w:t xml:space="preserve">7 septembre 2026</w:t>
            </w:r>
            <w:r>
              <w:rPr>
                <w:rFonts w:ascii="Arial" w:cs="Arial" w:eastAsia="Arial" w:hAnsi="Arial"/>
                <w:color w:val="595959"/>
                <w:sz w:val="17"/>
                <w:szCs w:val="17"/>
              </w:rPr>
              <w:t xml:space="preserve"> · horizon </w:t>
            </w:r>
            <w:r>
              <w:rPr>
                <w:rFonts w:ascii="Arial" w:cs="Arial" w:eastAsia="Arial" w:hAnsi="Arial"/>
                <w:color w:val="595959"/>
                <w:sz w:val="17"/>
                <w:szCs w:val="17"/>
              </w:rPr>
              <w:t xml:space="preserve">20 ans</w:t>
            </w:r>
          </w:p>
          <w:p>
            <w:pPr>
              <w:spacing w:before="70"/>
              <w:jc w:val="center"/>
            </w:pPr>
            <w:r>
              <w:rPr>
                <w:rFonts w:ascii="Arial" w:cs="Arial" w:eastAsia="Arial" w:hAnsi="Arial"/>
                <w:i/>
                <w:iCs/>
                <w:color w:val="595959"/>
                <w:sz w:val="16"/>
                <w:szCs w:val="16"/>
              </w:rPr>
              <w:t xml:space="preserve">Document d'estimation à caractère indicatif : il ne constitue ni un conseil financier, ni un conseil juridique, ni une garantie de résultat.</w:t>
            </w:r>
          </w:p>
        </w:tc>
      </w:tr>
    </w:tbl>
    <w:p>
      <w:pPr>
        <w:spacing w:after="160"/>
      </w:pPr>
    </w:p>
    <w:tbl>
      <w:tblPr>
        <w:tblW w:type="dxa" w:w="10426"/>
        <w:tblBorders>
          <w:top w:val="single" w:color="0F4761" w:sz="12"/>
          <w:left w:val="single" w:color="0F4761" w:sz="12"/>
          <w:bottom w:val="single" w:color="0F4761" w:sz="12"/>
          <w:right w:val="single" w:color="0F4761" w:sz="12"/>
          <w:insideH w:val="single" w:color="auto" w:sz="4"/>
          <w:insideV w:val="single" w:color="auto" w:sz="4"/>
        </w:tblBorders>
      </w:tblPr>
      <w:tblGrid>
        <w:gridCol w:w="10426"/>
      </w:tblGrid>
      <w:tr>
        <w:tc>
          <w:tcPr>
            <w:tcW w:type="dxa" w:w="10426"/>
            <w:shd w:fill="FFF8E1" w:val="clear"/>
            <w:tcMar>
              <w:top w:type="dxa" w:w="100"/>
              <w:left w:type="dxa" w:w="120"/>
              <w:bottom w:type="dxa" w:w="100"/>
              <w:right w:type="dxa" w:w="120"/>
            </w:tcMar>
          </w:tcPr>
          <w:p>
            <w:pPr>
              <w:spacing w:after="70"/>
              <w:jc w:val="center"/>
            </w:pPr>
            <w:r>
              <w:rPr>
                <w:rFonts w:ascii="Arial" w:cs="Arial" w:eastAsia="Arial" w:hAnsi="Arial"/>
                <w:b/>
                <w:bCs/>
                <w:color w:val="0F4761"/>
                <w:sz w:val="20"/>
                <w:szCs w:val="20"/>
              </w:rPr>
              <w:t xml:space="preserve">Comment lire ce rapport</w:t>
            </w:r>
          </w:p>
          <w:p>
            <w:pPr>
              <w:jc w:val="both"/>
            </w:pPr>
            <w:r>
              <w:rPr>
                <w:rFonts w:ascii="Arial" w:cs="Arial" w:eastAsia="Arial" w:hAnsi="Arial"/>
                <w:sz w:val="18"/>
                <w:szCs w:val="18"/>
              </w:rPr>
              <w:t xml:space="preserve">Il est produit automatiquement par le simulateur : les chiffres reprennent l'état de la </w:t>
            </w:r>
            <w:r>
              <w:rPr>
                <w:rFonts w:ascii="Arial" w:cs="Arial" w:eastAsia="Arial" w:hAnsi="Arial"/>
                <w:sz w:val="18"/>
                <w:szCs w:val="18"/>
              </w:rPr>
              <w:t xml:space="preserve">simulation au moment de l'export. Dans les tableaux de paramètres, la colonne </w:t>
            </w:r>
            <w:r>
              <w:rPr>
                <w:rFonts w:ascii="Arial" w:cs="Arial" w:eastAsia="Arial" w:hAnsi="Arial"/>
                <w:b/>
                <w:bCs/>
                <w:sz w:val="18"/>
                <w:szCs w:val="18"/>
              </w:rPr>
              <w:t xml:space="preserve">Statut</w:t>
            </w:r>
            <w:r>
              <w:rPr>
                <w:rFonts w:ascii="Arial" w:cs="Arial" w:eastAsia="Arial" w:hAnsi="Arial"/>
                <w:sz w:val="18"/>
                <w:szCs w:val="18"/>
              </w:rPr>
              <w:t xml:space="preserve"> distingue les données </w:t>
            </w:r>
            <w:r>
              <w:rPr>
                <w:rFonts w:ascii="Arial" w:cs="Arial" w:eastAsia="Arial" w:hAnsi="Arial"/>
                <w:b/>
                <w:bCs/>
                <w:color w:val="1F7A3D"/>
                <w:sz w:val="18"/>
                <w:szCs w:val="18"/>
              </w:rPr>
              <w:t xml:space="preserve">sourcées</w:t>
            </w:r>
            <w:r>
              <w:rPr>
                <w:rFonts w:ascii="Arial" w:cs="Arial" w:eastAsia="Arial" w:hAnsi="Arial"/>
                <w:sz w:val="18"/>
                <w:szCs w:val="18"/>
              </w:rPr>
              <w:t xml:space="preserve">, les </w:t>
            </w:r>
            <w:r>
              <w:rPr>
                <w:rFonts w:ascii="Arial" w:cs="Arial" w:eastAsia="Arial" w:hAnsi="Arial"/>
                <w:b/>
                <w:bCs/>
                <w:color w:val="9C5A00"/>
                <w:sz w:val="18"/>
                <w:szCs w:val="18"/>
              </w:rPr>
              <w:t xml:space="preserve">hypothèses</w:t>
            </w:r>
            <w:r>
              <w:rPr>
                <w:rFonts w:ascii="Arial" w:cs="Arial" w:eastAsia="Arial" w:hAnsi="Arial"/>
                <w:sz w:val="18"/>
                <w:szCs w:val="18"/>
              </w:rPr>
              <w:t xml:space="preserve"> à confirmer, et les valeurs </w:t>
            </w:r>
            <w:r>
              <w:rPr>
                <w:rFonts w:ascii="Arial" w:cs="Arial" w:eastAsia="Arial" w:hAnsi="Arial"/>
                <w:b/>
                <w:bCs/>
                <w:color w:val="595959"/>
                <w:sz w:val="18"/>
                <w:szCs w:val="18"/>
              </w:rPr>
              <w:t xml:space="preserve">calculées</w:t>
            </w:r>
            <w:r>
              <w:rPr>
                <w:rFonts w:ascii="Arial" w:cs="Arial" w:eastAsia="Arial" w:hAnsi="Arial"/>
                <w:sz w:val="18"/>
                <w:szCs w:val="18"/>
              </w:rPr>
              <w:t xml:space="preserve">. Les paragraphes explicatifs sont repris du manuel d'utilisation et restent valables </w:t>
            </w:r>
            <w:r>
              <w:rPr>
                <w:rFonts w:ascii="Arial" w:cs="Arial" w:eastAsia="Arial" w:hAnsi="Arial"/>
                <w:sz w:val="18"/>
                <w:szCs w:val="18"/>
              </w:rPr>
              <w:t xml:space="preserve">quelles que soient les valeurs saisies.</w:t>
            </w:r>
          </w:p>
        </w:tc>
      </w:tr>
    </w:tbl>
    <w:p>
      <w:pPr>
        <w:pStyle w:val="Heading2"/>
        <w:spacing w:after="100" w:before="260"/>
      </w:pPr>
      <w:r>
        <w:rPr>
          <w:rFonts w:ascii="Arial" w:cs="Arial" w:eastAsia="Arial" w:hAnsi="Arial"/>
          <w:b/>
          <w:bCs/>
          <w:color w:val="0F4761"/>
          <w:sz w:val="22"/>
          <w:szCs w:val="22"/>
        </w:rPr>
        <w:t xml:space="preserve">1. Objet et principe du stockage</w:t>
      </w:r>
    </w:p>
    <w:p>
      <w:pPr>
        <w:spacing w:after="120" w:line="264"/>
        <w:jc w:val="both"/>
      </w:pPr>
      <w:r>
        <w:rPr>
          <w:rFonts w:ascii="Arial" w:cs="Arial" w:eastAsia="Arial" w:hAnsi="Arial"/>
          <w:sz w:val="20"/>
          <w:szCs w:val="20"/>
        </w:rPr>
        <w:t xml:space="preserve">Ce rapport compare plusieurs capacités de batterie pour répondre à une question précise : faut-il stocker son surplus solaire plutôt que de le revendre ? Le mécanisme est un arbitrage de prix. Aujourd'hui, le surplus part au réseau et est racheté à un tarif bas ; le soir venu, l'électricité est rachetée à un tarif plus élevé. La batterie capture cet écart.</w:t>
      </w:r>
    </w:p>
    <w:p>
      <w:pPr>
        <w:spacing w:after="120" w:line="264"/>
        <w:jc w:val="both"/>
      </w:pPr>
      <w:r>
        <w:rPr>
          <w:rFonts w:ascii="Arial" w:cs="Arial" w:eastAsia="Arial" w:hAnsi="Arial"/>
          <w:sz w:val="20"/>
          <w:szCs w:val="20"/>
        </w:rPr>
        <w:t xml:space="preserve">La conséquence est contre-intuitive mais déterminante : ce n'est pas le prix de l'électricité qui fait la rentabilité d'une batterie, mais l'écart entre achat et revente. Un tarif de rachat généreux rend le stockage moins intéressant ; un surplus cédé gratuitement le rend beaucoup plus attractif.</w:t>
      </w:r>
    </w:p>
    <w:p>
      <w:pPr>
        <w:pStyle w:val="Heading2"/>
        <w:spacing w:after="100" w:before="260"/>
      </w:pPr>
      <w:r>
        <w:rPr>
          <w:rFonts w:ascii="Arial" w:cs="Arial" w:eastAsia="Arial" w:hAnsi="Arial"/>
          <w:b/>
          <w:bCs/>
          <w:color w:val="0F4761"/>
          <w:sz w:val="22"/>
          <w:szCs w:val="22"/>
        </w:rPr>
        <w:t xml:space="preserve">2. Synthèse</w:t>
      </w:r>
    </w:p>
    <w:p>
      <w:pPr>
        <w:spacing w:after="120" w:line="264"/>
        <w:jc w:val="both"/>
      </w:pPr>
      <w:r>
        <w:rPr>
          <w:rFonts w:ascii="Arial" w:cs="Arial" w:eastAsia="Arial" w:hAnsi="Arial"/>
          <w:color w:val="0F4761"/>
          <w:sz w:val="20"/>
          <w:szCs w:val="20"/>
        </w:rPr>
        <w:t xml:space="preserve">Dans cette configuration, le stockage est rentable : la capacité de 20,0 kWh dégage la meilleure valeur actuelle nette, 1 397 € sur 20 ans, pour un coût de 7 407 €. L'investissement est remboursé au bout de 13 ans.</w:t>
      </w:r>
    </w:p>
    <w:p>
      <w:pPr>
        <w:spacing w:after="120" w:line="264"/>
        <w:jc w:val="both"/>
      </w:pPr>
      <w:r>
        <w:rPr>
          <w:rFonts w:ascii="Arial" w:cs="Arial" w:eastAsia="Arial" w:hAnsi="Arial"/>
          <w:color w:val="0F4761"/>
          <w:sz w:val="20"/>
          <w:szCs w:val="20"/>
        </w:rPr>
        <w:t xml:space="preserve">Le moteur de la rentabilité n'est pas le prix de l'électricité, mais l'écart entre le prix d'achat (0,2000 €/kWh) et le prix de revente (0,1000 €/kWh), soit 0,1000 €/kWh capturés sur chaque kilowattheure stocké. Cet écart est confortable : chaque kilowattheure détourné du réseau rapporte une part significative de sa valeur.</w:t>
      </w:r>
    </w:p>
    <w:p>
      <w:pPr>
        <w:spacing w:after="120" w:line="264"/>
        <w:jc w:val="both"/>
      </w:pPr>
      <w:r>
        <w:rPr>
          <w:rFonts w:ascii="Arial" w:cs="Arial" w:eastAsia="Arial" w:hAnsi="Arial"/>
          <w:color w:val="0F4761"/>
          <w:sz w:val="20"/>
          <w:szCs w:val="20"/>
        </w:rPr>
        <w:t xml:space="preserve">Le gisement stockable est plafonné par l'injection réseau, 5 000 kWh par an. La capacité conseillée en valorise 4 500 kWh, soit 90,0 % — le reste dépasse ce qu'une batterie de cette taille peut absorber au fil de l'année.</w:t>
      </w:r>
    </w:p>
    <w:p>
      <w:pPr>
        <w:pStyle w:val="Heading2"/>
        <w:spacing w:after="100" w:before="260"/>
      </w:pPr>
      <w:r>
        <w:rPr>
          <w:rFonts w:ascii="Arial" w:cs="Arial" w:eastAsia="Arial" w:hAnsi="Arial"/>
          <w:b/>
          <w:bCs/>
          <w:color w:val="0F4761"/>
          <w:sz w:val="22"/>
          <w:szCs w:val="22"/>
        </w:rPr>
        <w:t xml:space="preserve">3. Paramètres retenus</w:t>
      </w:r>
    </w:p>
    <w:p>
      <w:pPr>
        <w:pStyle w:val="Heading3"/>
        <w:spacing w:after="70" w:before="160"/>
      </w:pPr>
      <w:r>
        <w:rPr>
          <w:rFonts w:ascii="Arial" w:cs="Arial" w:eastAsia="Arial" w:hAnsi="Arial"/>
          <w:b/>
          <w:bCs/>
          <w:color w:val="0F4761"/>
          <w:sz w:val="20"/>
          <w:szCs w:val="20"/>
        </w:rPr>
        <w:t xml:space="preserve">3.1 Installation et énergie</w:t>
      </w:r>
    </w:p>
    <w:tbl>
      <w:tblPr>
        <w:tblW w:type="dxa" w:w="10426"/>
        <w:tblBorders>
          <w:top w:val="single" w:color="9DB8C9" w:sz="4"/>
          <w:left w:val="single" w:color="9DB8C9" w:sz="4"/>
          <w:bottom w:val="single" w:color="9DB8C9" w:sz="4"/>
          <w:right w:val="single" w:color="9DB8C9" w:sz="4"/>
          <w:insideH w:val="single" w:color="9DB8C9" w:sz="4"/>
          <w:insideV w:val="single" w:color="9DB8C9" w:sz="4"/>
        </w:tblBorders>
      </w:tblPr>
      <w:tblGrid>
        <w:gridCol w:w="4233"/>
        <w:gridCol w:w="2116"/>
        <w:gridCol w:w="2072"/>
        <w:gridCol w:w="2005"/>
      </w:tblGrid>
      <w:tr>
        <w:trPr>
          <w:tblHeader/>
        </w:trPr>
        <w:tc>
          <w:tcPr>
            <w:tcW w:type="dxa" w:w="4233"/>
            <w:shd w:fill="DEEBF7" w:val="clear"/>
            <w:tcMar>
              <w:top w:type="dxa" w:w="40"/>
              <w:left w:type="dxa" w:w="80"/>
              <w:bottom w:type="dxa" w:w="40"/>
              <w:right w:type="dxa" w:w="80"/>
            </w:tcMar>
          </w:tcPr>
          <w:p>
            <w:pPr>
              <w:spacing w:after="0"/>
              <w:jc w:val="left"/>
            </w:pPr>
            <w:r>
              <w:rPr>
                <w:rFonts w:ascii="Arial" w:cs="Arial" w:eastAsia="Arial" w:hAnsi="Arial"/>
                <w:b/>
                <w:bCs/>
                <w:color w:val="0F4761"/>
                <w:sz w:val="17"/>
                <w:szCs w:val="17"/>
              </w:rPr>
              <w:t xml:space="preserve">Paramètre</w:t>
            </w:r>
          </w:p>
        </w:tc>
        <w:tc>
          <w:tcPr>
            <w:tcW w:type="dxa" w:w="2116"/>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Valeur</w:t>
            </w:r>
          </w:p>
        </w:tc>
        <w:tc>
          <w:tcPr>
            <w:tcW w:type="dxa" w:w="2072"/>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Unité</w:t>
            </w:r>
          </w:p>
        </w:tc>
        <w:tc>
          <w:tcPr>
            <w:tcW w:type="dxa" w:w="2005"/>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Statut</w:t>
            </w:r>
          </w:p>
        </w:tc>
      </w:tr>
      <w:tr>
        <w:tc>
          <w:tcPr>
            <w:tcW w:type="dxa" w:w="4233"/>
            <w:tcMar>
              <w:top w:type="dxa" w:w="40"/>
              <w:left w:type="dxa" w:w="80"/>
              <w:bottom w:type="dxa" w:w="40"/>
              <w:right w:type="dxa" w:w="80"/>
            </w:tcMar>
          </w:tcPr>
          <w:p>
            <w:pPr>
              <w:spacing w:after="0"/>
              <w:jc w:val="left"/>
            </w:pPr>
            <w:r>
              <w:rPr>
                <w:rFonts w:ascii="Arial" w:cs="Arial" w:eastAsia="Arial" w:hAnsi="Arial"/>
                <w:sz w:val="17"/>
                <w:szCs w:val="17"/>
              </w:rPr>
              <w:t xml:space="preserve">Production PV</w:t>
            </w:r>
          </w:p>
        </w:tc>
        <w:tc>
          <w:tcPr>
            <w:tcW w:type="dxa" w:w="2116"/>
            <w:tcMar>
              <w:top w:type="dxa" w:w="40"/>
              <w:left w:type="dxa" w:w="80"/>
              <w:bottom w:type="dxa" w:w="40"/>
              <w:right w:type="dxa" w:w="80"/>
            </w:tcMar>
          </w:tcPr>
          <w:p>
            <w:pPr>
              <w:spacing w:after="0"/>
              <w:jc w:val="center"/>
            </w:pPr>
            <w:r>
              <w:rPr>
                <w:rFonts w:ascii="Arial" w:cs="Arial" w:eastAsia="Arial" w:hAnsi="Arial"/>
                <w:b/>
                <w:bCs/>
                <w:sz w:val="17"/>
                <w:szCs w:val="17"/>
              </w:rPr>
              <w:t xml:space="preserve">NaN</w:t>
            </w:r>
          </w:p>
        </w:tc>
        <w:tc>
          <w:tcPr>
            <w:tcW w:type="dxa" w:w="2072"/>
            <w:tcMar>
              <w:top w:type="dxa" w:w="40"/>
              <w:left w:type="dxa" w:w="80"/>
              <w:bottom w:type="dxa" w:w="40"/>
              <w:right w:type="dxa" w:w="80"/>
            </w:tcMar>
          </w:tcPr>
          <w:p>
            <w:pPr>
              <w:spacing w:after="0"/>
              <w:jc w:val="center"/>
            </w:pPr>
            <w:r>
              <w:rPr>
                <w:rFonts w:ascii="Arial" w:cs="Arial" w:eastAsia="Arial" w:hAnsi="Arial"/>
                <w:sz w:val="17"/>
                <w:szCs w:val="17"/>
              </w:rPr>
              <w:t xml:space="preserve">kWh/an</w:t>
            </w:r>
          </w:p>
        </w:tc>
        <w:tc>
          <w:tcPr>
            <w:tcW w:type="dxa" w:w="2005"/>
            <w:tcMar>
              <w:top w:type="dxa" w:w="40"/>
              <w:left w:type="dxa" w:w="80"/>
              <w:bottom w:type="dxa" w:w="40"/>
              <w:right w:type="dxa" w:w="80"/>
            </w:tcMar>
          </w:tcPr>
          <w:p>
            <w:pPr>
              <w:spacing w:after="0"/>
              <w:jc w:val="center"/>
            </w:pPr>
            <w:r>
              <w:rPr>
                <w:rFonts w:ascii="Arial" w:cs="Arial" w:eastAsia="Arial" w:hAnsi="Arial"/>
                <w:b/>
                <w:bCs/>
                <w:color w:val="9C5A00"/>
                <w:sz w:val="17"/>
                <w:szCs w:val="17"/>
              </w:rPr>
              <w:t xml:space="preserve">Contexte — non calculé</w:t>
            </w:r>
          </w:p>
        </w:tc>
      </w:tr>
      <w:tr>
        <w:tc>
          <w:tcPr>
            <w:tcW w:type="dxa" w:w="4233"/>
            <w:shd w:fill="F4F9FC" w:val="clear"/>
            <w:tcMar>
              <w:top w:type="dxa" w:w="40"/>
              <w:left w:type="dxa" w:w="80"/>
              <w:bottom w:type="dxa" w:w="40"/>
              <w:right w:type="dxa" w:w="80"/>
            </w:tcMar>
          </w:tcPr>
          <w:p>
            <w:pPr>
              <w:spacing w:after="0"/>
              <w:jc w:val="left"/>
            </w:pPr>
            <w:r>
              <w:rPr>
                <w:rFonts w:ascii="Arial" w:cs="Arial" w:eastAsia="Arial" w:hAnsi="Arial"/>
                <w:sz w:val="17"/>
                <w:szCs w:val="17"/>
              </w:rPr>
              <w:t xml:space="preserve">Consommation</w:t>
            </w:r>
          </w:p>
        </w:tc>
        <w:tc>
          <w:tcPr>
            <w:tcW w:type="dxa" w:w="2116"/>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NaN</w:t>
            </w:r>
          </w:p>
        </w:tc>
        <w:tc>
          <w:tcPr>
            <w:tcW w:type="dxa" w:w="2072"/>
            <w:shd w:fill="F4F9FC" w:val="clear"/>
            <w:tcMar>
              <w:top w:type="dxa" w:w="40"/>
              <w:left w:type="dxa" w:w="80"/>
              <w:bottom w:type="dxa" w:w="40"/>
              <w:right w:type="dxa" w:w="80"/>
            </w:tcMar>
          </w:tcPr>
          <w:p>
            <w:pPr>
              <w:spacing w:after="0"/>
              <w:jc w:val="center"/>
            </w:pPr>
            <w:r>
              <w:rPr>
                <w:rFonts w:ascii="Arial" w:cs="Arial" w:eastAsia="Arial" w:hAnsi="Arial"/>
                <w:sz w:val="17"/>
                <w:szCs w:val="17"/>
              </w:rPr>
              <w:t xml:space="preserve">kWh/an</w:t>
            </w:r>
          </w:p>
        </w:tc>
        <w:tc>
          <w:tcPr>
            <w:tcW w:type="dxa" w:w="2005"/>
            <w:shd w:fill="F4F9FC" w:val="clear"/>
            <w:tcMar>
              <w:top w:type="dxa" w:w="40"/>
              <w:left w:type="dxa" w:w="80"/>
              <w:bottom w:type="dxa" w:w="40"/>
              <w:right w:type="dxa" w:w="80"/>
            </w:tcMar>
          </w:tcPr>
          <w:p>
            <w:pPr>
              <w:spacing w:after="0"/>
              <w:jc w:val="center"/>
            </w:pPr>
            <w:r>
              <w:rPr>
                <w:rFonts w:ascii="Arial" w:cs="Arial" w:eastAsia="Arial" w:hAnsi="Arial"/>
                <w:b/>
                <w:bCs/>
                <w:color w:val="9C5A00"/>
                <w:sz w:val="17"/>
                <w:szCs w:val="17"/>
              </w:rPr>
              <w:t xml:space="preserve">Contexte — non calculé</w:t>
            </w:r>
          </w:p>
        </w:tc>
      </w:tr>
      <w:tr>
        <w:tc>
          <w:tcPr>
            <w:tcW w:type="dxa" w:w="4233"/>
            <w:tcMar>
              <w:top w:type="dxa" w:w="40"/>
              <w:left w:type="dxa" w:w="80"/>
              <w:bottom w:type="dxa" w:w="40"/>
              <w:right w:type="dxa" w:w="80"/>
            </w:tcMar>
          </w:tcPr>
          <w:p>
            <w:pPr>
              <w:spacing w:after="0"/>
              <w:jc w:val="left"/>
            </w:pPr>
            <w:r>
              <w:rPr>
                <w:rFonts w:ascii="Arial" w:cs="Arial" w:eastAsia="Arial" w:hAnsi="Arial"/>
                <w:sz w:val="17"/>
                <w:szCs w:val="17"/>
              </w:rPr>
              <w:t xml:space="preserve">Injection réseau</w:t>
            </w:r>
          </w:p>
        </w:tc>
        <w:tc>
          <w:tcPr>
            <w:tcW w:type="dxa" w:w="2116"/>
            <w:tcMar>
              <w:top w:type="dxa" w:w="40"/>
              <w:left w:type="dxa" w:w="80"/>
              <w:bottom w:type="dxa" w:w="40"/>
              <w:right w:type="dxa" w:w="80"/>
            </w:tcMar>
          </w:tcPr>
          <w:p>
            <w:pPr>
              <w:spacing w:after="0"/>
              <w:jc w:val="center"/>
            </w:pPr>
            <w:r>
              <w:rPr>
                <w:rFonts w:ascii="Arial" w:cs="Arial" w:eastAsia="Arial" w:hAnsi="Arial"/>
                <w:b/>
                <w:bCs/>
                <w:sz w:val="17"/>
                <w:szCs w:val="17"/>
              </w:rPr>
              <w:t xml:space="preserve">5 000</w:t>
            </w:r>
          </w:p>
        </w:tc>
        <w:tc>
          <w:tcPr>
            <w:tcW w:type="dxa" w:w="2072"/>
            <w:tcMar>
              <w:top w:type="dxa" w:w="40"/>
              <w:left w:type="dxa" w:w="80"/>
              <w:bottom w:type="dxa" w:w="40"/>
              <w:right w:type="dxa" w:w="80"/>
            </w:tcMar>
          </w:tcPr>
          <w:p>
            <w:pPr>
              <w:spacing w:after="0"/>
              <w:jc w:val="center"/>
            </w:pPr>
            <w:r>
              <w:rPr>
                <w:rFonts w:ascii="Arial" w:cs="Arial" w:eastAsia="Arial" w:hAnsi="Arial"/>
                <w:sz w:val="17"/>
                <w:szCs w:val="17"/>
              </w:rPr>
              <w:t xml:space="preserve">kWh/an</w:t>
            </w:r>
          </w:p>
        </w:tc>
        <w:tc>
          <w:tcPr>
            <w:tcW w:type="dxa" w:w="2005"/>
            <w:tcMar>
              <w:top w:type="dxa" w:w="40"/>
              <w:left w:type="dxa" w:w="80"/>
              <w:bottom w:type="dxa" w:w="40"/>
              <w:right w:type="dxa" w:w="80"/>
            </w:tcMar>
          </w:tcPr>
          <w:p>
            <w:pPr>
              <w:spacing w:after="0"/>
              <w:jc w:val="center"/>
            </w:pPr>
            <w:r>
              <w:rPr>
                <w:rFonts w:ascii="Arial" w:cs="Arial" w:eastAsia="Arial" w:hAnsi="Arial"/>
                <w:b/>
                <w:bCs/>
                <w:color w:val="9C5A00"/>
                <w:sz w:val="17"/>
                <w:szCs w:val="17"/>
              </w:rPr>
              <w:t xml:space="preserve">Hypothèse projet</w:t>
            </w:r>
          </w:p>
        </w:tc>
      </w:tr>
    </w:tbl>
    <w:p>
      <w:pPr>
        <w:spacing w:after="40" w:before="120"/>
      </w:pPr>
      <w:r>
        <w:rPr>
          <w:rFonts w:ascii="Arial" w:cs="Arial" w:eastAsia="Arial" w:hAnsi="Arial"/>
          <w:b/>
          <w:bCs/>
          <w:color w:val="0F4761"/>
          <w:sz w:val="19"/>
          <w:szCs w:val="19"/>
        </w:rPr>
        <w:t xml:space="preserve">Production PV</w:t>
      </w:r>
      <w:r>
        <w:rPr>
          <w:rFonts w:ascii="Arial" w:cs="Arial" w:eastAsia="Arial" w:hAnsi="Arial"/>
          <w:color w:val="595959"/>
          <w:sz w:val="17"/>
          <w:szCs w:val="17"/>
        </w:rPr>
        <w:t xml:space="preserve">  (kWh/an)</w:t>
      </w:r>
      <w:r>
        <w:rPr>
          <w:rFonts w:ascii="Arial" w:cs="Arial" w:eastAsia="Arial" w:hAnsi="Arial"/>
          <w:b/>
          <w:bCs/>
          <w:color w:val="9C5A00"/>
          <w:sz w:val="16"/>
          <w:szCs w:val="16"/>
        </w:rPr>
        <w:t xml:space="preserve">  ·  Contexte — non calculé</w:t>
      </w:r>
    </w:p>
    <w:p>
      <w:pPr>
        <w:spacing w:after="60"/>
        <w:ind w:left="220"/>
        <w:jc w:val="both"/>
      </w:pPr>
      <w:r>
        <w:rPr>
          <w:rFonts w:ascii="Arial" w:cs="Arial" w:eastAsia="Arial" w:hAnsi="Arial"/>
          <w:b/>
          <w:bCs/>
          <w:color w:val="595959"/>
          <w:sz w:val="18"/>
          <w:szCs w:val="18"/>
        </w:rPr>
        <w:t xml:space="preserve">Ce que c'est. </w:t>
      </w:r>
      <w:r>
        <w:rPr>
          <w:rFonts w:ascii="Arial" w:cs="Arial" w:eastAsia="Arial" w:hAnsi="Arial"/>
          <w:b w:val="false"/>
          <w:bCs w:val="false"/>
          <w:i w:val="false"/>
          <w:iCs w:val="false"/>
          <w:sz w:val="18"/>
          <w:szCs w:val="18"/>
        </w:rPr>
        <w:t xml:space="preserve">La production photovoltaïque annuelle du site. Ce champ sert de </w:t>
      </w:r>
      <w:r>
        <w:rPr>
          <w:rFonts w:ascii="Arial" w:cs="Arial" w:eastAsia="Arial" w:hAnsi="Arial"/>
          <w:b/>
          <w:bCs/>
          <w:i w:val="false"/>
          <w:iCs w:val="false"/>
          <w:sz w:val="18"/>
          <w:szCs w:val="18"/>
        </w:rPr>
        <w:t xml:space="preserve">repère de cohérence</w:t>
      </w:r>
      <w:r>
        <w:rPr>
          <w:rFonts w:ascii="Arial" w:cs="Arial" w:eastAsia="Arial" w:hAnsi="Arial"/>
          <w:b w:val="false"/>
          <w:bCs w:val="false"/>
          <w:i w:val="false"/>
          <w:iCs w:val="false"/>
          <w:sz w:val="18"/>
          <w:szCs w:val="18"/>
        </w:rPr>
        <w:t xml:space="preserve"> pour vous aider à situer l'injection réseau.</w:t>
      </w:r>
    </w:p>
    <w:p>
      <w:pPr>
        <w:spacing w:after="60"/>
        <w:ind w:left="220"/>
        <w:jc w:val="both"/>
      </w:pPr>
      <w:r>
        <w:rPr>
          <w:rFonts w:ascii="Arial" w:cs="Arial" w:eastAsia="Arial" w:hAnsi="Arial"/>
          <w:b/>
          <w:bCs/>
          <w:color w:val="595959"/>
          <w:sz w:val="18"/>
          <w:szCs w:val="18"/>
        </w:rPr>
        <w:t xml:space="preserve">Comment le régler. </w:t>
      </w:r>
      <w:r>
        <w:rPr>
          <w:rFonts w:ascii="Arial" w:cs="Arial" w:eastAsia="Arial" w:hAnsi="Arial"/>
          <w:b w:val="false"/>
          <w:bCs w:val="false"/>
          <w:i w:val="false"/>
          <w:iCs w:val="false"/>
          <w:sz w:val="18"/>
          <w:szCs w:val="18"/>
        </w:rPr>
        <w:t xml:space="preserve">Reprenez la production réelle relevée sur votre onduleur, ou l'estimation puissance × productible.</w:t>
      </w:r>
    </w:p>
    <w:p>
      <w:pPr>
        <w:spacing w:after="60"/>
        <w:ind w:left="220"/>
        <w:jc w:val="both"/>
      </w:pPr>
      <w:r>
        <w:rPr>
          <w:rFonts w:ascii="Arial" w:cs="Arial" w:eastAsia="Arial" w:hAnsi="Arial"/>
          <w:b/>
          <w:bCs/>
          <w:color w:val="595959"/>
          <w:sz w:val="18"/>
          <w:szCs w:val="18"/>
        </w:rPr>
        <w:t xml:space="preserve">Effet sur le résultat. </w:t>
      </w:r>
      <w:r>
        <w:rPr>
          <w:rFonts w:ascii="Arial" w:cs="Arial" w:eastAsia="Arial" w:hAnsi="Arial"/>
          <w:b/>
          <w:bCs/>
          <w:i w:val="false"/>
          <w:iCs w:val="false"/>
          <w:sz w:val="18"/>
          <w:szCs w:val="18"/>
        </w:rPr>
        <w:t xml:space="preserve">Aucun.</w:t>
      </w:r>
      <w:r>
        <w:rPr>
          <w:rFonts w:ascii="Arial" w:cs="Arial" w:eastAsia="Arial" w:hAnsi="Arial"/>
          <w:b w:val="false"/>
          <w:bCs w:val="false"/>
          <w:i w:val="false"/>
          <w:iCs w:val="false"/>
          <w:sz w:val="18"/>
          <w:szCs w:val="18"/>
        </w:rPr>
        <w:t xml:space="preserve"> Ce champ n'intervient pas dans les calculs actuels : seule l'injection réseau pilote le résultat. Il est là pour la lisibilité du contexte. Voir la section « Limites » à ce sujet.</w:t>
      </w:r>
    </w:p>
    <w:p>
      <w:pPr>
        <w:spacing w:after="40" w:before="120"/>
      </w:pPr>
      <w:r>
        <w:rPr>
          <w:rFonts w:ascii="Arial" w:cs="Arial" w:eastAsia="Arial" w:hAnsi="Arial"/>
          <w:b/>
          <w:bCs/>
          <w:color w:val="0F4761"/>
          <w:sz w:val="19"/>
          <w:szCs w:val="19"/>
        </w:rPr>
        <w:t xml:space="preserve">Consommation</w:t>
      </w:r>
      <w:r>
        <w:rPr>
          <w:rFonts w:ascii="Arial" w:cs="Arial" w:eastAsia="Arial" w:hAnsi="Arial"/>
          <w:color w:val="595959"/>
          <w:sz w:val="17"/>
          <w:szCs w:val="17"/>
        </w:rPr>
        <w:t xml:space="preserve">  (kWh/an)</w:t>
      </w:r>
      <w:r>
        <w:rPr>
          <w:rFonts w:ascii="Arial" w:cs="Arial" w:eastAsia="Arial" w:hAnsi="Arial"/>
          <w:b/>
          <w:bCs/>
          <w:color w:val="9C5A00"/>
          <w:sz w:val="16"/>
          <w:szCs w:val="16"/>
        </w:rPr>
        <w:t xml:space="preserve">  ·  Contexte — non calculé</w:t>
      </w:r>
    </w:p>
    <w:p>
      <w:pPr>
        <w:spacing w:after="60"/>
        <w:ind w:left="220"/>
        <w:jc w:val="both"/>
      </w:pPr>
      <w:r>
        <w:rPr>
          <w:rFonts w:ascii="Arial" w:cs="Arial" w:eastAsia="Arial" w:hAnsi="Arial"/>
          <w:b/>
          <w:bCs/>
          <w:color w:val="595959"/>
          <w:sz w:val="18"/>
          <w:szCs w:val="18"/>
        </w:rPr>
        <w:t xml:space="preserve">Ce que c'est. </w:t>
      </w:r>
      <w:r>
        <w:rPr>
          <w:rFonts w:ascii="Arial" w:cs="Arial" w:eastAsia="Arial" w:hAnsi="Arial"/>
          <w:b w:val="false"/>
          <w:bCs w:val="false"/>
          <w:i w:val="false"/>
          <w:iCs w:val="false"/>
          <w:sz w:val="18"/>
          <w:szCs w:val="18"/>
        </w:rPr>
        <w:t xml:space="preserve">La consommation électrique annuelle du foyer, également fournie à titre de repère.</w:t>
      </w:r>
    </w:p>
    <w:p>
      <w:pPr>
        <w:spacing w:after="60"/>
        <w:ind w:left="220"/>
        <w:jc w:val="both"/>
      </w:pPr>
      <w:r>
        <w:rPr>
          <w:rFonts w:ascii="Arial" w:cs="Arial" w:eastAsia="Arial" w:hAnsi="Arial"/>
          <w:b/>
          <w:bCs/>
          <w:color w:val="595959"/>
          <w:sz w:val="18"/>
          <w:szCs w:val="18"/>
        </w:rPr>
        <w:t xml:space="preserve">Comment le régler. </w:t>
      </w:r>
      <w:r>
        <w:rPr>
          <w:rFonts w:ascii="Arial" w:cs="Arial" w:eastAsia="Arial" w:hAnsi="Arial"/>
          <w:b w:val="false"/>
          <w:bCs w:val="false"/>
          <w:i w:val="false"/>
          <w:iCs w:val="false"/>
          <w:sz w:val="18"/>
          <w:szCs w:val="18"/>
        </w:rPr>
        <w:t xml:space="preserve">Relevé sur la facture annuelle ou l'espace client du fournisseur.</w:t>
      </w:r>
    </w:p>
    <w:p>
      <w:pPr>
        <w:spacing w:after="60"/>
        <w:ind w:left="220"/>
        <w:jc w:val="both"/>
      </w:pPr>
      <w:r>
        <w:rPr>
          <w:rFonts w:ascii="Arial" w:cs="Arial" w:eastAsia="Arial" w:hAnsi="Arial"/>
          <w:b/>
          <w:bCs/>
          <w:color w:val="595959"/>
          <w:sz w:val="18"/>
          <w:szCs w:val="18"/>
        </w:rPr>
        <w:t xml:space="preserve">Effet sur le résultat. </w:t>
      </w:r>
      <w:r>
        <w:rPr>
          <w:rFonts w:ascii="Arial" w:cs="Arial" w:eastAsia="Arial" w:hAnsi="Arial"/>
          <w:b/>
          <w:bCs/>
          <w:i w:val="false"/>
          <w:iCs w:val="false"/>
          <w:sz w:val="18"/>
          <w:szCs w:val="18"/>
        </w:rPr>
        <w:t xml:space="preserve">Aucun</w:t>
      </w:r>
      <w:r>
        <w:rPr>
          <w:rFonts w:ascii="Arial" w:cs="Arial" w:eastAsia="Arial" w:hAnsi="Arial"/>
          <w:b w:val="false"/>
          <w:bCs w:val="false"/>
          <w:i w:val="false"/>
          <w:iCs w:val="false"/>
          <w:sz w:val="18"/>
          <w:szCs w:val="18"/>
        </w:rPr>
        <w:t xml:space="preserve"> sur le calcul, pour la même raison que le champ précédent.</w:t>
      </w:r>
    </w:p>
    <w:p>
      <w:pPr>
        <w:spacing w:after="40" w:before="120"/>
      </w:pPr>
      <w:r>
        <w:rPr>
          <w:rFonts w:ascii="Arial" w:cs="Arial" w:eastAsia="Arial" w:hAnsi="Arial"/>
          <w:b/>
          <w:bCs/>
          <w:color w:val="0F4761"/>
          <w:sz w:val="19"/>
          <w:szCs w:val="19"/>
        </w:rPr>
        <w:t xml:space="preserve">Injection réseau</w:t>
      </w:r>
      <w:r>
        <w:rPr>
          <w:rFonts w:ascii="Arial" w:cs="Arial" w:eastAsia="Arial" w:hAnsi="Arial"/>
          <w:color w:val="595959"/>
          <w:sz w:val="17"/>
          <w:szCs w:val="17"/>
        </w:rPr>
        <w:t xml:space="preserve">  (kWh/an)</w:t>
      </w:r>
      <w:r>
        <w:rPr>
          <w:rFonts w:ascii="Arial" w:cs="Arial" w:eastAsia="Arial" w:hAnsi="Arial"/>
          <w:b/>
          <w:bCs/>
          <w:color w:val="9C5A00"/>
          <w:sz w:val="16"/>
          <w:szCs w:val="16"/>
        </w:rPr>
        <w:t xml:space="preserve">  ·  Hypothèse projet</w:t>
      </w:r>
    </w:p>
    <w:p>
      <w:pPr>
        <w:spacing w:after="60"/>
        <w:ind w:left="220"/>
        <w:jc w:val="both"/>
      </w:pPr>
      <w:r>
        <w:rPr>
          <w:rFonts w:ascii="Arial" w:cs="Arial" w:eastAsia="Arial" w:hAnsi="Arial"/>
          <w:b/>
          <w:bCs/>
          <w:color w:val="595959"/>
          <w:sz w:val="18"/>
          <w:szCs w:val="18"/>
        </w:rPr>
        <w:t xml:space="preserve">Ce que c'est. </w:t>
      </w:r>
      <w:r>
        <w:rPr>
          <w:rFonts w:ascii="Arial" w:cs="Arial" w:eastAsia="Arial" w:hAnsi="Arial"/>
          <w:b w:val="false"/>
          <w:bCs w:val="false"/>
          <w:i w:val="false"/>
          <w:iCs w:val="false"/>
          <w:sz w:val="18"/>
          <w:szCs w:val="18"/>
        </w:rPr>
        <w:t xml:space="preserve">Le surplus actuellement injecté sur le réseau, c'est-à-dire l'énergie produite mais non consommée sur place. C'est le </w:t>
      </w:r>
      <w:r>
        <w:rPr>
          <w:rFonts w:ascii="Arial" w:cs="Arial" w:eastAsia="Arial" w:hAnsi="Arial"/>
          <w:b/>
          <w:bCs/>
          <w:i w:val="false"/>
          <w:iCs w:val="false"/>
          <w:sz w:val="18"/>
          <w:szCs w:val="18"/>
        </w:rPr>
        <w:t xml:space="preserve">gisement stockable</w:t>
      </w:r>
      <w:r>
        <w:rPr>
          <w:rFonts w:ascii="Arial" w:cs="Arial" w:eastAsia="Arial" w:hAnsi="Arial"/>
          <w:b w:val="false"/>
          <w:bCs w:val="false"/>
          <w:i w:val="false"/>
          <w:iCs w:val="false"/>
          <w:sz w:val="18"/>
          <w:szCs w:val="18"/>
        </w:rPr>
        <w:t xml:space="preserve"> : une batterie ne peut valoriser que ce qui partait au réseau.</w:t>
      </w:r>
    </w:p>
    <w:p>
      <w:pPr>
        <w:spacing w:after="60"/>
        <w:ind w:left="220"/>
        <w:jc w:val="both"/>
      </w:pPr>
      <w:r>
        <w:rPr>
          <w:rFonts w:ascii="Arial" w:cs="Arial" w:eastAsia="Arial" w:hAnsi="Arial"/>
          <w:b/>
          <w:bCs/>
          <w:color w:val="595959"/>
          <w:sz w:val="18"/>
          <w:szCs w:val="18"/>
        </w:rPr>
        <w:t xml:space="preserve">Comment le régler. </w:t>
      </w:r>
      <w:r>
        <w:rPr>
          <w:rFonts w:ascii="Arial" w:cs="Arial" w:eastAsia="Arial" w:hAnsi="Arial"/>
          <w:b w:val="false"/>
          <w:bCs w:val="false"/>
          <w:i w:val="false"/>
          <w:iCs w:val="false"/>
          <w:sz w:val="18"/>
          <w:szCs w:val="18"/>
        </w:rPr>
        <w:t xml:space="preserve">Relevé sur votre compteur (index d'injection) ou sur votre facture de revente. À défaut : production annuelle × (1 − taux d'autoconsommation).</w:t>
      </w:r>
    </w:p>
    <w:p>
      <w:pPr>
        <w:spacing w:after="60"/>
        <w:ind w:left="220"/>
        <w:jc w:val="both"/>
      </w:pPr>
      <w:r>
        <w:rPr>
          <w:rFonts w:ascii="Arial" w:cs="Arial" w:eastAsia="Arial" w:hAnsi="Arial"/>
          <w:b/>
          <w:bCs/>
          <w:color w:val="595959"/>
          <w:sz w:val="18"/>
          <w:szCs w:val="18"/>
        </w:rPr>
        <w:t xml:space="preserve">Effet sur le résultat. </w:t>
      </w:r>
      <w:r>
        <w:rPr>
          <w:rFonts w:ascii="Arial" w:cs="Arial" w:eastAsia="Arial" w:hAnsi="Arial"/>
          <w:b/>
          <w:bCs/>
          <w:i w:val="false"/>
          <w:iCs w:val="false"/>
          <w:sz w:val="18"/>
          <w:szCs w:val="18"/>
        </w:rPr>
        <w:t xml:space="preserve">Paramètre pilote du modèle.</w:t>
      </w:r>
      <w:r>
        <w:rPr>
          <w:rFonts w:ascii="Arial" w:cs="Arial" w:eastAsia="Arial" w:hAnsi="Arial"/>
          <w:b w:val="false"/>
          <w:bCs w:val="false"/>
          <w:i w:val="false"/>
          <w:iCs w:val="false"/>
          <w:sz w:val="18"/>
          <w:szCs w:val="18"/>
        </w:rPr>
        <w:t xml:space="preserve"> Il plafonne l'énergie valorisable de chaque capacité : si l'injection est faible, même une grosse batterie ne trouvera rien à stocker et toutes les capacités convergeront vers le même résultat.</w:t>
      </w:r>
    </w:p>
    <w:p>
      <w:pPr>
        <w:pStyle w:val="Heading3"/>
        <w:spacing w:after="70" w:before="160"/>
      </w:pPr>
      <w:r>
        <w:rPr>
          <w:rFonts w:ascii="Arial" w:cs="Arial" w:eastAsia="Arial" w:hAnsi="Arial"/>
          <w:b/>
          <w:bCs/>
          <w:color w:val="0F4761"/>
          <w:sz w:val="20"/>
          <w:szCs w:val="20"/>
        </w:rPr>
        <w:t xml:space="preserve">3.2 Tarifs et hypothèses économiques</w:t>
      </w:r>
    </w:p>
    <w:tbl>
      <w:tblPr>
        <w:tblW w:type="dxa" w:w="10426"/>
        <w:tblBorders>
          <w:top w:val="single" w:color="9DB8C9" w:sz="4"/>
          <w:left w:val="single" w:color="9DB8C9" w:sz="4"/>
          <w:bottom w:val="single" w:color="9DB8C9" w:sz="4"/>
          <w:right w:val="single" w:color="9DB8C9" w:sz="4"/>
          <w:insideH w:val="single" w:color="9DB8C9" w:sz="4"/>
          <w:insideV w:val="single" w:color="9DB8C9" w:sz="4"/>
        </w:tblBorders>
      </w:tblPr>
      <w:tblGrid>
        <w:gridCol w:w="4233"/>
        <w:gridCol w:w="2116"/>
        <w:gridCol w:w="2072"/>
        <w:gridCol w:w="2005"/>
      </w:tblGrid>
      <w:tr>
        <w:trPr>
          <w:tblHeader/>
        </w:trPr>
        <w:tc>
          <w:tcPr>
            <w:tcW w:type="dxa" w:w="4233"/>
            <w:shd w:fill="DEEBF7" w:val="clear"/>
            <w:tcMar>
              <w:top w:type="dxa" w:w="40"/>
              <w:left w:type="dxa" w:w="80"/>
              <w:bottom w:type="dxa" w:w="40"/>
              <w:right w:type="dxa" w:w="80"/>
            </w:tcMar>
          </w:tcPr>
          <w:p>
            <w:pPr>
              <w:spacing w:after="0"/>
              <w:jc w:val="left"/>
            </w:pPr>
            <w:r>
              <w:rPr>
                <w:rFonts w:ascii="Arial" w:cs="Arial" w:eastAsia="Arial" w:hAnsi="Arial"/>
                <w:b/>
                <w:bCs/>
                <w:color w:val="0F4761"/>
                <w:sz w:val="17"/>
                <w:szCs w:val="17"/>
              </w:rPr>
              <w:t xml:space="preserve">Paramètre</w:t>
            </w:r>
          </w:p>
        </w:tc>
        <w:tc>
          <w:tcPr>
            <w:tcW w:type="dxa" w:w="2116"/>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Valeur</w:t>
            </w:r>
          </w:p>
        </w:tc>
        <w:tc>
          <w:tcPr>
            <w:tcW w:type="dxa" w:w="2072"/>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Unité</w:t>
            </w:r>
          </w:p>
        </w:tc>
        <w:tc>
          <w:tcPr>
            <w:tcW w:type="dxa" w:w="2005"/>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Statut</w:t>
            </w:r>
          </w:p>
        </w:tc>
      </w:tr>
      <w:tr>
        <w:tc>
          <w:tcPr>
            <w:tcW w:type="dxa" w:w="4233"/>
            <w:tcMar>
              <w:top w:type="dxa" w:w="40"/>
              <w:left w:type="dxa" w:w="80"/>
              <w:bottom w:type="dxa" w:w="40"/>
              <w:right w:type="dxa" w:w="80"/>
            </w:tcMar>
          </w:tcPr>
          <w:p>
            <w:pPr>
              <w:spacing w:after="0"/>
              <w:jc w:val="left"/>
            </w:pPr>
            <w:r>
              <w:rPr>
                <w:rFonts w:ascii="Arial" w:cs="Arial" w:eastAsia="Arial" w:hAnsi="Arial"/>
                <w:sz w:val="17"/>
                <w:szCs w:val="17"/>
              </w:rPr>
              <w:t xml:space="preserve">Prix d'achat</w:t>
            </w:r>
          </w:p>
        </w:tc>
        <w:tc>
          <w:tcPr>
            <w:tcW w:type="dxa" w:w="2116"/>
            <w:tcMar>
              <w:top w:type="dxa" w:w="40"/>
              <w:left w:type="dxa" w:w="80"/>
              <w:bottom w:type="dxa" w:w="40"/>
              <w:right w:type="dxa" w:w="80"/>
            </w:tcMar>
          </w:tcPr>
          <w:p>
            <w:pPr>
              <w:spacing w:after="0"/>
              <w:jc w:val="center"/>
            </w:pPr>
            <w:r>
              <w:rPr>
                <w:rFonts w:ascii="Arial" w:cs="Arial" w:eastAsia="Arial" w:hAnsi="Arial"/>
                <w:b/>
                <w:bCs/>
                <w:sz w:val="17"/>
                <w:szCs w:val="17"/>
              </w:rPr>
              <w:t xml:space="preserve">0,2000</w:t>
            </w:r>
          </w:p>
        </w:tc>
        <w:tc>
          <w:tcPr>
            <w:tcW w:type="dxa" w:w="2072"/>
            <w:tcMar>
              <w:top w:type="dxa" w:w="40"/>
              <w:left w:type="dxa" w:w="80"/>
              <w:bottom w:type="dxa" w:w="40"/>
              <w:right w:type="dxa" w:w="80"/>
            </w:tcMar>
          </w:tcPr>
          <w:p>
            <w:pPr>
              <w:spacing w:after="0"/>
              <w:jc w:val="center"/>
            </w:pPr>
            <w:r>
              <w:rPr>
                <w:rFonts w:ascii="Arial" w:cs="Arial" w:eastAsia="Arial" w:hAnsi="Arial"/>
                <w:sz w:val="17"/>
                <w:szCs w:val="17"/>
              </w:rPr>
              <w:t xml:space="preserve">€/kWh</w:t>
            </w:r>
          </w:p>
        </w:tc>
        <w:tc>
          <w:tcPr>
            <w:tcW w:type="dxa" w:w="2005"/>
            <w:tcMar>
              <w:top w:type="dxa" w:w="40"/>
              <w:left w:type="dxa" w:w="80"/>
              <w:bottom w:type="dxa" w:w="40"/>
              <w:right w:type="dxa" w:w="80"/>
            </w:tcMar>
          </w:tcPr>
          <w:p>
            <w:pPr>
              <w:spacing w:after="0"/>
              <w:jc w:val="center"/>
            </w:pPr>
            <w:r>
              <w:rPr>
                <w:rFonts w:ascii="Arial" w:cs="Arial" w:eastAsia="Arial" w:hAnsi="Arial"/>
                <w:b/>
                <w:bCs/>
                <w:color w:val="9C5A00"/>
                <w:sz w:val="17"/>
                <w:szCs w:val="17"/>
              </w:rPr>
              <w:t xml:space="preserve">Hypothèse</w:t>
            </w:r>
          </w:p>
        </w:tc>
      </w:tr>
      <w:tr>
        <w:tc>
          <w:tcPr>
            <w:tcW w:type="dxa" w:w="4233"/>
            <w:shd w:fill="F4F9FC" w:val="clear"/>
            <w:tcMar>
              <w:top w:type="dxa" w:w="40"/>
              <w:left w:type="dxa" w:w="80"/>
              <w:bottom w:type="dxa" w:w="40"/>
              <w:right w:type="dxa" w:w="80"/>
            </w:tcMar>
          </w:tcPr>
          <w:p>
            <w:pPr>
              <w:spacing w:after="0"/>
              <w:jc w:val="left"/>
            </w:pPr>
            <w:r>
              <w:rPr>
                <w:rFonts w:ascii="Arial" w:cs="Arial" w:eastAsia="Arial" w:hAnsi="Arial"/>
                <w:sz w:val="17"/>
                <w:szCs w:val="17"/>
              </w:rPr>
              <w:t xml:space="preserve">Prix de revente</w:t>
            </w:r>
          </w:p>
        </w:tc>
        <w:tc>
          <w:tcPr>
            <w:tcW w:type="dxa" w:w="2116"/>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0,1000</w:t>
            </w:r>
          </w:p>
        </w:tc>
        <w:tc>
          <w:tcPr>
            <w:tcW w:type="dxa" w:w="2072"/>
            <w:shd w:fill="F4F9FC" w:val="clear"/>
            <w:tcMar>
              <w:top w:type="dxa" w:w="40"/>
              <w:left w:type="dxa" w:w="80"/>
              <w:bottom w:type="dxa" w:w="40"/>
              <w:right w:type="dxa" w:w="80"/>
            </w:tcMar>
          </w:tcPr>
          <w:p>
            <w:pPr>
              <w:spacing w:after="0"/>
              <w:jc w:val="center"/>
            </w:pPr>
            <w:r>
              <w:rPr>
                <w:rFonts w:ascii="Arial" w:cs="Arial" w:eastAsia="Arial" w:hAnsi="Arial"/>
                <w:sz w:val="17"/>
                <w:szCs w:val="17"/>
              </w:rPr>
              <w:t xml:space="preserve">€/kWh</w:t>
            </w:r>
          </w:p>
        </w:tc>
        <w:tc>
          <w:tcPr>
            <w:tcW w:type="dxa" w:w="2005"/>
            <w:shd w:fill="F4F9FC" w:val="clear"/>
            <w:tcMar>
              <w:top w:type="dxa" w:w="40"/>
              <w:left w:type="dxa" w:w="80"/>
              <w:bottom w:type="dxa" w:w="40"/>
              <w:right w:type="dxa" w:w="80"/>
            </w:tcMar>
          </w:tcPr>
          <w:p>
            <w:pPr>
              <w:spacing w:after="0"/>
              <w:jc w:val="center"/>
            </w:pPr>
            <w:r>
              <w:rPr>
                <w:rFonts w:ascii="Arial" w:cs="Arial" w:eastAsia="Arial" w:hAnsi="Arial"/>
                <w:b/>
                <w:bCs/>
                <w:color w:val="9C5A00"/>
                <w:sz w:val="17"/>
                <w:szCs w:val="17"/>
              </w:rPr>
              <w:t xml:space="preserve">Hypothèse</w:t>
            </w:r>
          </w:p>
        </w:tc>
      </w:tr>
      <w:tr>
        <w:tc>
          <w:tcPr>
            <w:tcW w:type="dxa" w:w="4233"/>
            <w:tcMar>
              <w:top w:type="dxa" w:w="40"/>
              <w:left w:type="dxa" w:w="80"/>
              <w:bottom w:type="dxa" w:w="40"/>
              <w:right w:type="dxa" w:w="80"/>
            </w:tcMar>
          </w:tcPr>
          <w:p>
            <w:pPr>
              <w:spacing w:after="0"/>
              <w:jc w:val="left"/>
            </w:pPr>
            <w:r>
              <w:rPr>
                <w:rFonts w:ascii="Arial" w:cs="Arial" w:eastAsia="Arial" w:hAnsi="Arial"/>
                <w:sz w:val="17"/>
                <w:szCs w:val="17"/>
              </w:rPr>
              <w:t xml:space="preserve">Écart capturé par kWh stocké</w:t>
            </w:r>
          </w:p>
        </w:tc>
        <w:tc>
          <w:tcPr>
            <w:tcW w:type="dxa" w:w="2116"/>
            <w:tcMar>
              <w:top w:type="dxa" w:w="40"/>
              <w:left w:type="dxa" w:w="80"/>
              <w:bottom w:type="dxa" w:w="40"/>
              <w:right w:type="dxa" w:w="80"/>
            </w:tcMar>
          </w:tcPr>
          <w:p>
            <w:pPr>
              <w:spacing w:after="0"/>
              <w:jc w:val="center"/>
            </w:pPr>
            <w:r>
              <w:rPr>
                <w:rFonts w:ascii="Arial" w:cs="Arial" w:eastAsia="Arial" w:hAnsi="Arial"/>
                <w:b/>
                <w:bCs/>
                <w:sz w:val="17"/>
                <w:szCs w:val="17"/>
              </w:rPr>
              <w:t xml:space="preserve">0,1000</w:t>
            </w:r>
          </w:p>
        </w:tc>
        <w:tc>
          <w:tcPr>
            <w:tcW w:type="dxa" w:w="2072"/>
            <w:tcMar>
              <w:top w:type="dxa" w:w="40"/>
              <w:left w:type="dxa" w:w="80"/>
              <w:bottom w:type="dxa" w:w="40"/>
              <w:right w:type="dxa" w:w="80"/>
            </w:tcMar>
          </w:tcPr>
          <w:p>
            <w:pPr>
              <w:spacing w:after="0"/>
              <w:jc w:val="center"/>
            </w:pPr>
            <w:r>
              <w:rPr>
                <w:rFonts w:ascii="Arial" w:cs="Arial" w:eastAsia="Arial" w:hAnsi="Arial"/>
                <w:sz w:val="17"/>
                <w:szCs w:val="17"/>
              </w:rPr>
              <w:t xml:space="preserve">€/kWh</w:t>
            </w:r>
          </w:p>
        </w:tc>
        <w:tc>
          <w:tcPr>
            <w:tcW w:type="dxa" w:w="2005"/>
            <w:tcMar>
              <w:top w:type="dxa" w:w="40"/>
              <w:left w:type="dxa" w:w="80"/>
              <w:bottom w:type="dxa" w:w="40"/>
              <w:right w:type="dxa" w:w="80"/>
            </w:tcMar>
          </w:tcPr>
          <w:p>
            <w:pPr>
              <w:spacing w:after="0"/>
              <w:jc w:val="center"/>
            </w:pPr>
            <w:r>
              <w:rPr>
                <w:rFonts w:ascii="Arial" w:cs="Arial" w:eastAsia="Arial" w:hAnsi="Arial"/>
                <w:b/>
                <w:bCs/>
                <w:color w:val="595959"/>
                <w:sz w:val="17"/>
                <w:szCs w:val="17"/>
              </w:rPr>
              <w:t xml:space="preserve">Calculé</w:t>
            </w:r>
          </w:p>
        </w:tc>
      </w:tr>
      <w:tr>
        <w:tc>
          <w:tcPr>
            <w:tcW w:type="dxa" w:w="4233"/>
            <w:shd w:fill="F4F9FC" w:val="clear"/>
            <w:tcMar>
              <w:top w:type="dxa" w:w="40"/>
              <w:left w:type="dxa" w:w="80"/>
              <w:bottom w:type="dxa" w:w="40"/>
              <w:right w:type="dxa" w:w="80"/>
            </w:tcMar>
          </w:tcPr>
          <w:p>
            <w:pPr>
              <w:spacing w:after="0"/>
              <w:jc w:val="left"/>
            </w:pPr>
            <w:r>
              <w:rPr>
                <w:rFonts w:ascii="Arial" w:cs="Arial" w:eastAsia="Arial" w:hAnsi="Arial"/>
                <w:sz w:val="17"/>
                <w:szCs w:val="17"/>
              </w:rPr>
              <w:t xml:space="preserve">Hausse annuelle du prix élec.</w:t>
            </w:r>
          </w:p>
        </w:tc>
        <w:tc>
          <w:tcPr>
            <w:tcW w:type="dxa" w:w="2116"/>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3,0</w:t>
            </w:r>
          </w:p>
        </w:tc>
        <w:tc>
          <w:tcPr>
            <w:tcW w:type="dxa" w:w="2072"/>
            <w:shd w:fill="F4F9FC" w:val="clear"/>
            <w:tcMar>
              <w:top w:type="dxa" w:w="40"/>
              <w:left w:type="dxa" w:w="80"/>
              <w:bottom w:type="dxa" w:w="40"/>
              <w:right w:type="dxa" w:w="80"/>
            </w:tcMar>
          </w:tcPr>
          <w:p>
            <w:pPr>
              <w:spacing w:after="0"/>
              <w:jc w:val="center"/>
            </w:pPr>
            <w:r>
              <w:rPr>
                <w:rFonts w:ascii="Arial" w:cs="Arial" w:eastAsia="Arial" w:hAnsi="Arial"/>
                <w:sz w:val="17"/>
                <w:szCs w:val="17"/>
              </w:rPr>
              <w:t xml:space="preserve">%/an</w:t>
            </w:r>
          </w:p>
        </w:tc>
        <w:tc>
          <w:tcPr>
            <w:tcW w:type="dxa" w:w="2005"/>
            <w:shd w:fill="F4F9FC" w:val="clear"/>
            <w:tcMar>
              <w:top w:type="dxa" w:w="40"/>
              <w:left w:type="dxa" w:w="80"/>
              <w:bottom w:type="dxa" w:w="40"/>
              <w:right w:type="dxa" w:w="80"/>
            </w:tcMar>
          </w:tcPr>
          <w:p>
            <w:pPr>
              <w:spacing w:after="0"/>
              <w:jc w:val="center"/>
            </w:pPr>
            <w:r>
              <w:rPr>
                <w:rFonts w:ascii="Arial" w:cs="Arial" w:eastAsia="Arial" w:hAnsi="Arial"/>
                <w:b/>
                <w:bCs/>
                <w:color w:val="9C5A00"/>
                <w:sz w:val="17"/>
                <w:szCs w:val="17"/>
              </w:rPr>
              <w:t xml:space="preserve">Hypothèse</w:t>
            </w:r>
          </w:p>
        </w:tc>
      </w:tr>
      <w:tr>
        <w:tc>
          <w:tcPr>
            <w:tcW w:type="dxa" w:w="4233"/>
            <w:tcMar>
              <w:top w:type="dxa" w:w="40"/>
              <w:left w:type="dxa" w:w="80"/>
              <w:bottom w:type="dxa" w:w="40"/>
              <w:right w:type="dxa" w:w="80"/>
            </w:tcMar>
          </w:tcPr>
          <w:p>
            <w:pPr>
              <w:spacing w:after="0"/>
              <w:jc w:val="left"/>
            </w:pPr>
            <w:r>
              <w:rPr>
                <w:rFonts w:ascii="Arial" w:cs="Arial" w:eastAsia="Arial" w:hAnsi="Arial"/>
                <w:sz w:val="17"/>
                <w:szCs w:val="17"/>
              </w:rPr>
              <w:t xml:space="preserve">Taux d'actualisation</w:t>
            </w:r>
          </w:p>
        </w:tc>
        <w:tc>
          <w:tcPr>
            <w:tcW w:type="dxa" w:w="2116"/>
            <w:tcMar>
              <w:top w:type="dxa" w:w="40"/>
              <w:left w:type="dxa" w:w="80"/>
              <w:bottom w:type="dxa" w:w="40"/>
              <w:right w:type="dxa" w:w="80"/>
            </w:tcMar>
          </w:tcPr>
          <w:p>
            <w:pPr>
              <w:spacing w:after="0"/>
              <w:jc w:val="center"/>
            </w:pPr>
            <w:r>
              <w:rPr>
                <w:rFonts w:ascii="Arial" w:cs="Arial" w:eastAsia="Arial" w:hAnsi="Arial"/>
                <w:b/>
                <w:bCs/>
                <w:sz w:val="17"/>
                <w:szCs w:val="17"/>
              </w:rPr>
              <w:t xml:space="preserve">4,0</w:t>
            </w:r>
          </w:p>
        </w:tc>
        <w:tc>
          <w:tcPr>
            <w:tcW w:type="dxa" w:w="2072"/>
            <w:tcMar>
              <w:top w:type="dxa" w:w="40"/>
              <w:left w:type="dxa" w:w="80"/>
              <w:bottom w:type="dxa" w:w="40"/>
              <w:right w:type="dxa" w:w="80"/>
            </w:tcMar>
          </w:tcPr>
          <w:p>
            <w:pPr>
              <w:spacing w:after="0"/>
              <w:jc w:val="center"/>
            </w:pPr>
            <w:r>
              <w:rPr>
                <w:rFonts w:ascii="Arial" w:cs="Arial" w:eastAsia="Arial" w:hAnsi="Arial"/>
                <w:sz w:val="17"/>
                <w:szCs w:val="17"/>
              </w:rPr>
              <w:t xml:space="preserve">%</w:t>
            </w:r>
          </w:p>
        </w:tc>
        <w:tc>
          <w:tcPr>
            <w:tcW w:type="dxa" w:w="2005"/>
            <w:tcMar>
              <w:top w:type="dxa" w:w="40"/>
              <w:left w:type="dxa" w:w="80"/>
              <w:bottom w:type="dxa" w:w="40"/>
              <w:right w:type="dxa" w:w="80"/>
            </w:tcMar>
          </w:tcPr>
          <w:p>
            <w:pPr>
              <w:spacing w:after="0"/>
              <w:jc w:val="center"/>
            </w:pPr>
            <w:r>
              <w:rPr>
                <w:rFonts w:ascii="Arial" w:cs="Arial" w:eastAsia="Arial" w:hAnsi="Arial"/>
                <w:b/>
                <w:bCs/>
                <w:color w:val="9C5A00"/>
                <w:sz w:val="17"/>
                <w:szCs w:val="17"/>
              </w:rPr>
              <w:t xml:space="preserve">Hypothèse</w:t>
            </w:r>
          </w:p>
        </w:tc>
      </w:tr>
    </w:tbl>
    <w:p>
      <w:pPr>
        <w:spacing w:after="40" w:before="120"/>
      </w:pPr>
      <w:r>
        <w:rPr>
          <w:rFonts w:ascii="Arial" w:cs="Arial" w:eastAsia="Arial" w:hAnsi="Arial"/>
          <w:b/>
          <w:bCs/>
          <w:color w:val="0F4761"/>
          <w:sz w:val="19"/>
          <w:szCs w:val="19"/>
        </w:rPr>
        <w:t xml:space="preserve">Prix d'achat</w:t>
      </w:r>
      <w:r>
        <w:rPr>
          <w:rFonts w:ascii="Arial" w:cs="Arial" w:eastAsia="Arial" w:hAnsi="Arial"/>
          <w:color w:val="595959"/>
          <w:sz w:val="17"/>
          <w:szCs w:val="17"/>
        </w:rPr>
        <w:t xml:space="preserve">  (€/kWh)</w:t>
      </w:r>
      <w:r>
        <w:rPr>
          <w:rFonts w:ascii="Arial" w:cs="Arial" w:eastAsia="Arial" w:hAnsi="Arial"/>
          <w:b/>
          <w:bCs/>
          <w:color w:val="9C5A00"/>
          <w:sz w:val="16"/>
          <w:szCs w:val="16"/>
        </w:rPr>
        <w:t xml:space="preserve">  ·  Hypothèse</w:t>
      </w:r>
    </w:p>
    <w:p>
      <w:pPr>
        <w:spacing w:after="60"/>
        <w:ind w:left="220"/>
        <w:jc w:val="both"/>
      </w:pPr>
      <w:r>
        <w:rPr>
          <w:rFonts w:ascii="Arial" w:cs="Arial" w:eastAsia="Arial" w:hAnsi="Arial"/>
          <w:b/>
          <w:bCs/>
          <w:color w:val="595959"/>
          <w:sz w:val="18"/>
          <w:szCs w:val="18"/>
        </w:rPr>
        <w:t xml:space="preserve">Ce que c'est. </w:t>
      </w:r>
      <w:r>
        <w:rPr>
          <w:rFonts w:ascii="Arial" w:cs="Arial" w:eastAsia="Arial" w:hAnsi="Arial"/>
          <w:b w:val="false"/>
          <w:bCs w:val="false"/>
          <w:i w:val="false"/>
          <w:iCs w:val="false"/>
          <w:sz w:val="18"/>
          <w:szCs w:val="18"/>
        </w:rPr>
        <w:t xml:space="preserve">Le prix payé pour l'électricité soutirée au réseau — celui que la batterie permet d'éviter.</w:t>
      </w:r>
    </w:p>
    <w:p>
      <w:pPr>
        <w:spacing w:after="60"/>
        <w:ind w:left="220"/>
        <w:jc w:val="both"/>
      </w:pPr>
      <w:r>
        <w:rPr>
          <w:rFonts w:ascii="Arial" w:cs="Arial" w:eastAsia="Arial" w:hAnsi="Arial"/>
          <w:b/>
          <w:bCs/>
          <w:color w:val="595959"/>
          <w:sz w:val="18"/>
          <w:szCs w:val="18"/>
        </w:rPr>
        <w:t xml:space="preserve">Comment le régler. </w:t>
      </w:r>
      <w:r>
        <w:rPr>
          <w:rFonts w:ascii="Arial" w:cs="Arial" w:eastAsia="Arial" w:hAnsi="Arial"/>
          <w:b w:val="false"/>
          <w:bCs w:val="false"/>
          <w:i w:val="false"/>
          <w:iCs w:val="false"/>
          <w:sz w:val="18"/>
          <w:szCs w:val="18"/>
        </w:rPr>
        <w:t xml:space="preserve">Part variable TTC de votre facture, hors abonnement. Pour aligner ce simulateur sur le simulateur photovoltaïque, saisissez 0,1940 (tarif réglementé « Bleu », option Base, 3–6 kVA, depuis le 1er février 2026).</w:t>
      </w:r>
    </w:p>
    <w:p>
      <w:pPr>
        <w:spacing w:after="60"/>
        <w:ind w:left="220"/>
        <w:jc w:val="both"/>
      </w:pPr>
      <w:r>
        <w:rPr>
          <w:rFonts w:ascii="Arial" w:cs="Arial" w:eastAsia="Arial" w:hAnsi="Arial"/>
          <w:b/>
          <w:bCs/>
          <w:color w:val="595959"/>
          <w:sz w:val="18"/>
          <w:szCs w:val="18"/>
        </w:rPr>
        <w:t xml:space="preserve">Effet sur le résultat. </w:t>
      </w:r>
      <w:r>
        <w:rPr>
          <w:rFonts w:ascii="Arial" w:cs="Arial" w:eastAsia="Arial" w:hAnsi="Arial"/>
          <w:b w:val="false"/>
          <w:bCs w:val="false"/>
          <w:i w:val="false"/>
          <w:iCs w:val="false"/>
          <w:sz w:val="18"/>
          <w:szCs w:val="18"/>
        </w:rPr>
        <w:t xml:space="preserve">Moitié de l'équation du gain. Chaque kWh stocké rapporte exactement </w:t>
      </w:r>
      <w:r>
        <w:rPr>
          <w:rFonts w:ascii="Arial" w:cs="Arial" w:eastAsia="Arial" w:hAnsi="Arial"/>
          <w:b/>
          <w:bCs/>
          <w:i w:val="false"/>
          <w:iCs w:val="false"/>
          <w:sz w:val="18"/>
          <w:szCs w:val="18"/>
        </w:rPr>
        <w:t xml:space="preserve">prix d'achat − prix de revente</w:t>
      </w:r>
      <w:r>
        <w:rPr>
          <w:rFonts w:ascii="Arial" w:cs="Arial" w:eastAsia="Arial" w:hAnsi="Arial"/>
          <w:b w:val="false"/>
          <w:bCs w:val="false"/>
          <w:i w:val="false"/>
          <w:iCs w:val="false"/>
          <w:sz w:val="18"/>
          <w:szCs w:val="18"/>
        </w:rPr>
        <w:t xml:space="preserve">.</w:t>
      </w:r>
    </w:p>
    <w:p>
      <w:pPr>
        <w:spacing w:after="40" w:before="120"/>
      </w:pPr>
      <w:r>
        <w:rPr>
          <w:rFonts w:ascii="Arial" w:cs="Arial" w:eastAsia="Arial" w:hAnsi="Arial"/>
          <w:b/>
          <w:bCs/>
          <w:color w:val="0F4761"/>
          <w:sz w:val="19"/>
          <w:szCs w:val="19"/>
        </w:rPr>
        <w:t xml:space="preserve">Prix de revente</w:t>
      </w:r>
      <w:r>
        <w:rPr>
          <w:rFonts w:ascii="Arial" w:cs="Arial" w:eastAsia="Arial" w:hAnsi="Arial"/>
          <w:color w:val="595959"/>
          <w:sz w:val="17"/>
          <w:szCs w:val="17"/>
        </w:rPr>
        <w:t xml:space="preserve">  (€/kWh)</w:t>
      </w:r>
      <w:r>
        <w:rPr>
          <w:rFonts w:ascii="Arial" w:cs="Arial" w:eastAsia="Arial" w:hAnsi="Arial"/>
          <w:b/>
          <w:bCs/>
          <w:color w:val="9C5A00"/>
          <w:sz w:val="16"/>
          <w:szCs w:val="16"/>
        </w:rPr>
        <w:t xml:space="preserve">  ·  Hypothèse</w:t>
      </w:r>
    </w:p>
    <w:p>
      <w:pPr>
        <w:spacing w:after="60"/>
        <w:ind w:left="220"/>
        <w:jc w:val="both"/>
      </w:pPr>
      <w:r>
        <w:rPr>
          <w:rFonts w:ascii="Arial" w:cs="Arial" w:eastAsia="Arial" w:hAnsi="Arial"/>
          <w:b/>
          <w:bCs/>
          <w:color w:val="595959"/>
          <w:sz w:val="18"/>
          <w:szCs w:val="18"/>
        </w:rPr>
        <w:t xml:space="preserve">Ce que c'est. </w:t>
      </w:r>
      <w:r>
        <w:rPr>
          <w:rFonts w:ascii="Arial" w:cs="Arial" w:eastAsia="Arial" w:hAnsi="Arial"/>
          <w:b w:val="false"/>
          <w:bCs w:val="false"/>
          <w:i w:val="false"/>
          <w:iCs w:val="false"/>
          <w:sz w:val="18"/>
          <w:szCs w:val="18"/>
        </w:rPr>
        <w:t xml:space="preserve">Le tarif auquel votre surplus est actuellement racheté. C'est un </w:t>
      </w:r>
      <w:r>
        <w:rPr>
          <w:rFonts w:ascii="Arial" w:cs="Arial" w:eastAsia="Arial" w:hAnsi="Arial"/>
          <w:b/>
          <w:bCs/>
          <w:i w:val="false"/>
          <w:iCs w:val="false"/>
          <w:sz w:val="18"/>
          <w:szCs w:val="18"/>
        </w:rPr>
        <w:t xml:space="preserve">manque à gagner</w:t>
      </w:r>
      <w:r>
        <w:rPr>
          <w:rFonts w:ascii="Arial" w:cs="Arial" w:eastAsia="Arial" w:hAnsi="Arial"/>
          <w:b w:val="false"/>
          <w:bCs w:val="false"/>
          <w:i w:val="false"/>
          <w:iCs w:val="false"/>
          <w:sz w:val="18"/>
          <w:szCs w:val="18"/>
        </w:rPr>
        <w:t xml:space="preserve"> : en stockant, vous renoncez à cette recette.</w:t>
      </w:r>
    </w:p>
    <w:p>
      <w:pPr>
        <w:spacing w:after="60"/>
        <w:ind w:left="220"/>
        <w:jc w:val="both"/>
      </w:pPr>
      <w:r>
        <w:rPr>
          <w:rFonts w:ascii="Arial" w:cs="Arial" w:eastAsia="Arial" w:hAnsi="Arial"/>
          <w:b/>
          <w:bCs/>
          <w:color w:val="595959"/>
          <w:sz w:val="18"/>
          <w:szCs w:val="18"/>
        </w:rPr>
        <w:t xml:space="preserve">Comment le régler. </w:t>
      </w:r>
      <w:r>
        <w:rPr>
          <w:rFonts w:ascii="Arial" w:cs="Arial" w:eastAsia="Arial" w:hAnsi="Arial"/>
          <w:b w:val="false"/>
          <w:bCs w:val="false"/>
          <w:i w:val="false"/>
          <w:iCs w:val="false"/>
          <w:sz w:val="18"/>
          <w:szCs w:val="18"/>
        </w:rPr>
        <w:t xml:space="preserve">Reprenez votre contrat d'achat en vigueur. Si votre surplus est cédé gratuitement, saisissez 0 — le gain par kWh devient alors maximal.</w:t>
      </w:r>
    </w:p>
    <w:p>
      <w:pPr>
        <w:spacing w:after="60"/>
        <w:ind w:left="220"/>
        <w:jc w:val="both"/>
      </w:pPr>
      <w:r>
        <w:rPr>
          <w:rFonts w:ascii="Arial" w:cs="Arial" w:eastAsia="Arial" w:hAnsi="Arial"/>
          <w:b/>
          <w:bCs/>
          <w:color w:val="595959"/>
          <w:sz w:val="18"/>
          <w:szCs w:val="18"/>
        </w:rPr>
        <w:t xml:space="preserve">Effet sur le résultat. </w:t>
      </w:r>
      <w:r>
        <w:rPr>
          <w:rFonts w:ascii="Arial" w:cs="Arial" w:eastAsia="Arial" w:hAnsi="Arial"/>
          <w:b w:val="false"/>
          <w:bCs w:val="false"/>
          <w:i w:val="false"/>
          <w:iCs w:val="false"/>
          <w:sz w:val="18"/>
          <w:szCs w:val="18"/>
        </w:rPr>
        <w:t xml:space="preserve">Se soustrait du gain unitaire. Un tarif de rachat élevé rend la batterie </w:t>
      </w:r>
      <w:r>
        <w:rPr>
          <w:rFonts w:ascii="Arial" w:cs="Arial" w:eastAsia="Arial" w:hAnsi="Arial"/>
          <w:b/>
          <w:bCs/>
          <w:i w:val="false"/>
          <w:iCs w:val="false"/>
          <w:sz w:val="18"/>
          <w:szCs w:val="18"/>
        </w:rPr>
        <w:t xml:space="preserve">moins</w:t>
      </w:r>
      <w:r>
        <w:rPr>
          <w:rFonts w:ascii="Arial" w:cs="Arial" w:eastAsia="Arial" w:hAnsi="Arial"/>
          <w:b w:val="false"/>
          <w:bCs w:val="false"/>
          <w:i w:val="false"/>
          <w:iCs w:val="false"/>
          <w:sz w:val="18"/>
          <w:szCs w:val="18"/>
        </w:rPr>
        <w:t xml:space="preserve"> intéressante, ce qui est contre-intuitif mais logique : l'écart à capturer se réduit.</w:t>
      </w:r>
    </w:p>
    <w:p>
      <w:pPr>
        <w:spacing w:after="40" w:before="120"/>
      </w:pPr>
      <w:r>
        <w:rPr>
          <w:rFonts w:ascii="Arial" w:cs="Arial" w:eastAsia="Arial" w:hAnsi="Arial"/>
          <w:b/>
          <w:bCs/>
          <w:color w:val="0F4761"/>
          <w:sz w:val="19"/>
          <w:szCs w:val="19"/>
        </w:rPr>
        <w:t xml:space="preserve">Hausse annuelle du prix élec.</w:t>
      </w:r>
      <w:r>
        <w:rPr>
          <w:rFonts w:ascii="Arial" w:cs="Arial" w:eastAsia="Arial" w:hAnsi="Arial"/>
          <w:color w:val="595959"/>
          <w:sz w:val="17"/>
          <w:szCs w:val="17"/>
        </w:rPr>
        <w:t xml:space="preserve">  (%/an)</w:t>
      </w:r>
      <w:r>
        <w:rPr>
          <w:rFonts w:ascii="Arial" w:cs="Arial" w:eastAsia="Arial" w:hAnsi="Arial"/>
          <w:b/>
          <w:bCs/>
          <w:color w:val="9C5A00"/>
          <w:sz w:val="16"/>
          <w:szCs w:val="16"/>
        </w:rPr>
        <w:t xml:space="preserve">  ·  Hypothèse</w:t>
      </w:r>
    </w:p>
    <w:p>
      <w:pPr>
        <w:spacing w:after="60"/>
        <w:ind w:left="220"/>
        <w:jc w:val="both"/>
      </w:pPr>
      <w:r>
        <w:rPr>
          <w:rFonts w:ascii="Arial" w:cs="Arial" w:eastAsia="Arial" w:hAnsi="Arial"/>
          <w:b/>
          <w:bCs/>
          <w:color w:val="595959"/>
          <w:sz w:val="18"/>
          <w:szCs w:val="18"/>
        </w:rPr>
        <w:t xml:space="preserve">Ce que c'est. </w:t>
      </w:r>
      <w:r>
        <w:rPr>
          <w:rFonts w:ascii="Arial" w:cs="Arial" w:eastAsia="Arial" w:hAnsi="Arial"/>
          <w:b w:val="false"/>
          <w:bCs w:val="false"/>
          <w:i w:val="false"/>
          <w:iCs w:val="false"/>
          <w:sz w:val="18"/>
          <w:szCs w:val="18"/>
        </w:rPr>
        <w:t xml:space="preserve">L'indexation composée appliquée chaque année au prix d'achat.</w:t>
      </w:r>
    </w:p>
    <w:p>
      <w:pPr>
        <w:spacing w:after="60"/>
        <w:ind w:left="220"/>
        <w:jc w:val="both"/>
      </w:pPr>
      <w:r>
        <w:rPr>
          <w:rFonts w:ascii="Arial" w:cs="Arial" w:eastAsia="Arial" w:hAnsi="Arial"/>
          <w:b/>
          <w:bCs/>
          <w:color w:val="595959"/>
          <w:sz w:val="18"/>
          <w:szCs w:val="18"/>
        </w:rPr>
        <w:t xml:space="preserve">Comment le régler. </w:t>
      </w:r>
      <w:r>
        <w:rPr>
          <w:rFonts w:ascii="Arial" w:cs="Arial" w:eastAsia="Arial" w:hAnsi="Arial"/>
          <w:b w:val="false"/>
          <w:bCs w:val="false"/>
          <w:i w:val="false"/>
          <w:iCs w:val="false"/>
          <w:sz w:val="18"/>
          <w:szCs w:val="18"/>
        </w:rPr>
        <w:t xml:space="preserve">Hypothèse, pas prévision. Testez 0 %, 2 % et 5 % pour encadrer le résultat.</w:t>
      </w:r>
    </w:p>
    <w:p>
      <w:pPr>
        <w:spacing w:after="60"/>
        <w:ind w:left="220"/>
        <w:jc w:val="both"/>
      </w:pPr>
      <w:r>
        <w:rPr>
          <w:rFonts w:ascii="Arial" w:cs="Arial" w:eastAsia="Arial" w:hAnsi="Arial"/>
          <w:b/>
          <w:bCs/>
          <w:color w:val="595959"/>
          <w:sz w:val="18"/>
          <w:szCs w:val="18"/>
        </w:rPr>
        <w:t xml:space="preserve">Effet sur le résultat. </w:t>
      </w:r>
      <w:r>
        <w:rPr>
          <w:rFonts w:ascii="Arial" w:cs="Arial" w:eastAsia="Arial" w:hAnsi="Arial"/>
          <w:b w:val="false"/>
          <w:bCs w:val="false"/>
          <w:i w:val="false"/>
          <w:iCs w:val="false"/>
          <w:sz w:val="18"/>
          <w:szCs w:val="18"/>
        </w:rPr>
        <w:t xml:space="preserve">Le prix de revente restant fixe dans ce modèle, la hausse </w:t>
      </w:r>
      <w:r>
        <w:rPr>
          <w:rFonts w:ascii="Arial" w:cs="Arial" w:eastAsia="Arial" w:hAnsi="Arial"/>
          <w:b/>
          <w:bCs/>
          <w:i w:val="false"/>
          <w:iCs w:val="false"/>
          <w:sz w:val="18"/>
          <w:szCs w:val="18"/>
        </w:rPr>
        <w:t xml:space="preserve">élargit l'écart</w:t>
      </w:r>
      <w:r>
        <w:rPr>
          <w:rFonts w:ascii="Arial" w:cs="Arial" w:eastAsia="Arial" w:hAnsi="Arial"/>
          <w:b w:val="false"/>
          <w:bCs w:val="false"/>
          <w:i w:val="false"/>
          <w:iCs w:val="false"/>
          <w:sz w:val="18"/>
          <w:szCs w:val="18"/>
        </w:rPr>
        <w:t xml:space="preserve"> capturé année après année, donc améliore progressivement le gain annuel.</w:t>
      </w:r>
    </w:p>
    <w:p>
      <w:pPr>
        <w:spacing w:after="40" w:before="120"/>
      </w:pPr>
      <w:r>
        <w:rPr>
          <w:rFonts w:ascii="Arial" w:cs="Arial" w:eastAsia="Arial" w:hAnsi="Arial"/>
          <w:b/>
          <w:bCs/>
          <w:color w:val="0F4761"/>
          <w:sz w:val="19"/>
          <w:szCs w:val="19"/>
        </w:rPr>
        <w:t xml:space="preserve">Taux d'actualisation</w:t>
      </w:r>
      <w:r>
        <w:rPr>
          <w:rFonts w:ascii="Arial" w:cs="Arial" w:eastAsia="Arial" w:hAnsi="Arial"/>
          <w:color w:val="595959"/>
          <w:sz w:val="17"/>
          <w:szCs w:val="17"/>
        </w:rPr>
        <w:t xml:space="preserve">  (%)</w:t>
      </w:r>
      <w:r>
        <w:rPr>
          <w:rFonts w:ascii="Arial" w:cs="Arial" w:eastAsia="Arial" w:hAnsi="Arial"/>
          <w:b/>
          <w:bCs/>
          <w:color w:val="9C5A00"/>
          <w:sz w:val="16"/>
          <w:szCs w:val="16"/>
        </w:rPr>
        <w:t xml:space="preserve">  ·  Hypothèse</w:t>
      </w:r>
    </w:p>
    <w:p>
      <w:pPr>
        <w:spacing w:after="60"/>
        <w:ind w:left="220"/>
        <w:jc w:val="both"/>
      </w:pPr>
      <w:r>
        <w:rPr>
          <w:rFonts w:ascii="Arial" w:cs="Arial" w:eastAsia="Arial" w:hAnsi="Arial"/>
          <w:b/>
          <w:bCs/>
          <w:color w:val="595959"/>
          <w:sz w:val="18"/>
          <w:szCs w:val="18"/>
        </w:rPr>
        <w:t xml:space="preserve">Ce que c'est. </w:t>
      </w:r>
      <w:r>
        <w:rPr>
          <w:rFonts w:ascii="Arial" w:cs="Arial" w:eastAsia="Arial" w:hAnsi="Arial"/>
          <w:b w:val="false"/>
          <w:bCs w:val="false"/>
          <w:i w:val="false"/>
          <w:iCs w:val="false"/>
          <w:sz w:val="18"/>
          <w:szCs w:val="18"/>
        </w:rPr>
        <w:t xml:space="preserve">Le taux qui ramène les gains futurs à leur valeur d'aujourd'hui, pour le calcul de la VAN.</w:t>
      </w:r>
    </w:p>
    <w:p>
      <w:pPr>
        <w:spacing w:after="60"/>
        <w:ind w:left="220"/>
        <w:jc w:val="both"/>
      </w:pPr>
      <w:r>
        <w:rPr>
          <w:rFonts w:ascii="Arial" w:cs="Arial" w:eastAsia="Arial" w:hAnsi="Arial"/>
          <w:b/>
          <w:bCs/>
          <w:color w:val="595959"/>
          <w:sz w:val="18"/>
          <w:szCs w:val="18"/>
        </w:rPr>
        <w:t xml:space="preserve">Comment le régler. </w:t>
      </w:r>
      <w:r>
        <w:rPr>
          <w:rFonts w:ascii="Arial" w:cs="Arial" w:eastAsia="Arial" w:hAnsi="Arial"/>
          <w:b w:val="false"/>
          <w:bCs w:val="false"/>
          <w:i w:val="false"/>
          <w:iCs w:val="false"/>
          <w:sz w:val="18"/>
          <w:szCs w:val="18"/>
        </w:rPr>
        <w:t xml:space="preserve">Coût de votre financement, ou rendement d'un placement sans risque. 2 à 4 % pour un ménage.</w:t>
      </w:r>
    </w:p>
    <w:p>
      <w:pPr>
        <w:spacing w:after="60"/>
        <w:ind w:left="220"/>
        <w:jc w:val="both"/>
      </w:pPr>
      <w:r>
        <w:rPr>
          <w:rFonts w:ascii="Arial" w:cs="Arial" w:eastAsia="Arial" w:hAnsi="Arial"/>
          <w:b/>
          <w:bCs/>
          <w:color w:val="595959"/>
          <w:sz w:val="18"/>
          <w:szCs w:val="18"/>
        </w:rPr>
        <w:t xml:space="preserve">Effet sur le résultat. </w:t>
      </w:r>
      <w:r>
        <w:rPr>
          <w:rFonts w:ascii="Arial" w:cs="Arial" w:eastAsia="Arial" w:hAnsi="Arial"/>
          <w:b w:val="false"/>
          <w:bCs w:val="false"/>
          <w:i w:val="false"/>
          <w:iCs w:val="false"/>
          <w:sz w:val="18"/>
          <w:szCs w:val="18"/>
        </w:rPr>
        <w:t xml:space="preserve">Un taux élevé pénalise les gains lointains et réduit la VAN de toutes les capacités, sans changer le classement de façon spectaculaire.</w:t>
      </w:r>
    </w:p>
    <w:p>
      <w:pPr>
        <w:pStyle w:val="Heading3"/>
        <w:spacing w:after="70" w:before="160"/>
      </w:pPr>
      <w:r>
        <w:rPr>
          <w:rFonts w:ascii="Arial" w:cs="Arial" w:eastAsia="Arial" w:hAnsi="Arial"/>
          <w:b/>
          <w:bCs/>
          <w:color w:val="0F4761"/>
          <w:sz w:val="20"/>
          <w:szCs w:val="20"/>
        </w:rPr>
        <w:t xml:space="preserve">3.3 Batterie</w:t>
      </w:r>
    </w:p>
    <w:tbl>
      <w:tblPr>
        <w:tblW w:type="dxa" w:w="10426"/>
        <w:tblBorders>
          <w:top w:val="single" w:color="9DB8C9" w:sz="4"/>
          <w:left w:val="single" w:color="9DB8C9" w:sz="4"/>
          <w:bottom w:val="single" w:color="9DB8C9" w:sz="4"/>
          <w:right w:val="single" w:color="9DB8C9" w:sz="4"/>
          <w:insideH w:val="single" w:color="9DB8C9" w:sz="4"/>
          <w:insideV w:val="single" w:color="9DB8C9" w:sz="4"/>
        </w:tblBorders>
      </w:tblPr>
      <w:tblGrid>
        <w:gridCol w:w="4233"/>
        <w:gridCol w:w="2116"/>
        <w:gridCol w:w="2072"/>
        <w:gridCol w:w="2005"/>
      </w:tblGrid>
      <w:tr>
        <w:trPr>
          <w:tblHeader/>
        </w:trPr>
        <w:tc>
          <w:tcPr>
            <w:tcW w:type="dxa" w:w="4233"/>
            <w:shd w:fill="DEEBF7" w:val="clear"/>
            <w:tcMar>
              <w:top w:type="dxa" w:w="40"/>
              <w:left w:type="dxa" w:w="80"/>
              <w:bottom w:type="dxa" w:w="40"/>
              <w:right w:type="dxa" w:w="80"/>
            </w:tcMar>
          </w:tcPr>
          <w:p>
            <w:pPr>
              <w:spacing w:after="0"/>
              <w:jc w:val="left"/>
            </w:pPr>
            <w:r>
              <w:rPr>
                <w:rFonts w:ascii="Arial" w:cs="Arial" w:eastAsia="Arial" w:hAnsi="Arial"/>
                <w:b/>
                <w:bCs/>
                <w:color w:val="0F4761"/>
                <w:sz w:val="17"/>
                <w:szCs w:val="17"/>
              </w:rPr>
              <w:t xml:space="preserve">Paramètre</w:t>
            </w:r>
          </w:p>
        </w:tc>
        <w:tc>
          <w:tcPr>
            <w:tcW w:type="dxa" w:w="2116"/>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Valeur</w:t>
            </w:r>
          </w:p>
        </w:tc>
        <w:tc>
          <w:tcPr>
            <w:tcW w:type="dxa" w:w="2072"/>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Unité</w:t>
            </w:r>
          </w:p>
        </w:tc>
        <w:tc>
          <w:tcPr>
            <w:tcW w:type="dxa" w:w="2005"/>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Statut</w:t>
            </w:r>
          </w:p>
        </w:tc>
      </w:tr>
      <w:tr>
        <w:tc>
          <w:tcPr>
            <w:tcW w:type="dxa" w:w="4233"/>
            <w:tcMar>
              <w:top w:type="dxa" w:w="40"/>
              <w:left w:type="dxa" w:w="80"/>
              <w:bottom w:type="dxa" w:w="40"/>
              <w:right w:type="dxa" w:w="80"/>
            </w:tcMar>
          </w:tcPr>
          <w:p>
            <w:pPr>
              <w:spacing w:after="0"/>
              <w:jc w:val="left"/>
            </w:pPr>
            <w:r>
              <w:rPr>
                <w:rFonts w:ascii="Arial" w:cs="Arial" w:eastAsia="Arial" w:hAnsi="Arial"/>
                <w:sz w:val="17"/>
                <w:szCs w:val="17"/>
              </w:rPr>
              <w:t xml:space="preserve">Coût batterie (réf. 13,5 kWh)</w:t>
            </w:r>
          </w:p>
        </w:tc>
        <w:tc>
          <w:tcPr>
            <w:tcW w:type="dxa" w:w="2116"/>
            <w:tcMar>
              <w:top w:type="dxa" w:w="40"/>
              <w:left w:type="dxa" w:w="80"/>
              <w:bottom w:type="dxa" w:w="40"/>
              <w:right w:type="dxa" w:w="80"/>
            </w:tcMar>
          </w:tcPr>
          <w:p>
            <w:pPr>
              <w:spacing w:after="0"/>
              <w:jc w:val="center"/>
            </w:pPr>
            <w:r>
              <w:rPr>
                <w:rFonts w:ascii="Arial" w:cs="Arial" w:eastAsia="Arial" w:hAnsi="Arial"/>
                <w:b/>
                <w:bCs/>
                <w:sz w:val="17"/>
                <w:szCs w:val="17"/>
              </w:rPr>
              <w:t xml:space="preserve">5 000</w:t>
            </w:r>
          </w:p>
        </w:tc>
        <w:tc>
          <w:tcPr>
            <w:tcW w:type="dxa" w:w="2072"/>
            <w:tcMar>
              <w:top w:type="dxa" w:w="40"/>
              <w:left w:type="dxa" w:w="80"/>
              <w:bottom w:type="dxa" w:w="40"/>
              <w:right w:type="dxa" w:w="80"/>
            </w:tcMar>
          </w:tcPr>
          <w:p>
            <w:pPr>
              <w:spacing w:after="0"/>
              <w:jc w:val="center"/>
            </w:pPr>
            <w:r>
              <w:rPr>
                <w:rFonts w:ascii="Arial" w:cs="Arial" w:eastAsia="Arial" w:hAnsi="Arial"/>
                <w:sz w:val="17"/>
                <w:szCs w:val="17"/>
              </w:rPr>
              <w:t xml:space="preserve">€</w:t>
            </w:r>
          </w:p>
        </w:tc>
        <w:tc>
          <w:tcPr>
            <w:tcW w:type="dxa" w:w="2005"/>
            <w:tcMar>
              <w:top w:type="dxa" w:w="40"/>
              <w:left w:type="dxa" w:w="80"/>
              <w:bottom w:type="dxa" w:w="40"/>
              <w:right w:type="dxa" w:w="80"/>
            </w:tcMar>
          </w:tcPr>
          <w:p>
            <w:pPr>
              <w:spacing w:after="0"/>
              <w:jc w:val="center"/>
            </w:pPr>
            <w:r>
              <w:rPr>
                <w:rFonts w:ascii="Arial" w:cs="Arial" w:eastAsia="Arial" w:hAnsi="Arial"/>
                <w:b/>
                <w:bCs/>
                <w:color w:val="9C5A00"/>
                <w:sz w:val="17"/>
                <w:szCs w:val="17"/>
              </w:rPr>
              <w:t xml:space="preserve">Hypothèse</w:t>
            </w:r>
          </w:p>
        </w:tc>
      </w:tr>
      <w:tr>
        <w:tc>
          <w:tcPr>
            <w:tcW w:type="dxa" w:w="4233"/>
            <w:shd w:fill="F4F9FC" w:val="clear"/>
            <w:tcMar>
              <w:top w:type="dxa" w:w="40"/>
              <w:left w:type="dxa" w:w="80"/>
              <w:bottom w:type="dxa" w:w="40"/>
              <w:right w:type="dxa" w:w="80"/>
            </w:tcMar>
          </w:tcPr>
          <w:p>
            <w:pPr>
              <w:spacing w:after="0"/>
              <w:jc w:val="left"/>
            </w:pPr>
            <w:r>
              <w:rPr>
                <w:rFonts w:ascii="Arial" w:cs="Arial" w:eastAsia="Arial" w:hAnsi="Arial"/>
                <w:sz w:val="17"/>
                <w:szCs w:val="17"/>
              </w:rPr>
              <w:t xml:space="preserve">Durée de vie / d'analyse</w:t>
            </w:r>
          </w:p>
        </w:tc>
        <w:tc>
          <w:tcPr>
            <w:tcW w:type="dxa" w:w="2116"/>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20</w:t>
            </w:r>
          </w:p>
        </w:tc>
        <w:tc>
          <w:tcPr>
            <w:tcW w:type="dxa" w:w="2072"/>
            <w:shd w:fill="F4F9FC" w:val="clear"/>
            <w:tcMar>
              <w:top w:type="dxa" w:w="40"/>
              <w:left w:type="dxa" w:w="80"/>
              <w:bottom w:type="dxa" w:w="40"/>
              <w:right w:type="dxa" w:w="80"/>
            </w:tcMar>
          </w:tcPr>
          <w:p>
            <w:pPr>
              <w:spacing w:after="0"/>
              <w:jc w:val="center"/>
            </w:pPr>
            <w:r>
              <w:rPr>
                <w:rFonts w:ascii="Arial" w:cs="Arial" w:eastAsia="Arial" w:hAnsi="Arial"/>
                <w:sz w:val="17"/>
                <w:szCs w:val="17"/>
              </w:rPr>
              <w:t xml:space="preserve">ans</w:t>
            </w:r>
          </w:p>
        </w:tc>
        <w:tc>
          <w:tcPr>
            <w:tcW w:type="dxa" w:w="2005"/>
            <w:shd w:fill="F4F9FC" w:val="clear"/>
            <w:tcMar>
              <w:top w:type="dxa" w:w="40"/>
              <w:left w:type="dxa" w:w="80"/>
              <w:bottom w:type="dxa" w:w="40"/>
              <w:right w:type="dxa" w:w="80"/>
            </w:tcMar>
          </w:tcPr>
          <w:p>
            <w:pPr>
              <w:spacing w:after="0"/>
              <w:jc w:val="center"/>
            </w:pPr>
            <w:r>
              <w:rPr>
                <w:rFonts w:ascii="Arial" w:cs="Arial" w:eastAsia="Arial" w:hAnsi="Arial"/>
                <w:b/>
                <w:bCs/>
                <w:color w:val="9C5A00"/>
                <w:sz w:val="17"/>
                <w:szCs w:val="17"/>
              </w:rPr>
              <w:t xml:space="preserve">Hypothèse</w:t>
            </w:r>
          </w:p>
        </w:tc>
      </w:tr>
      <w:tr>
        <w:tc>
          <w:tcPr>
            <w:tcW w:type="dxa" w:w="4233"/>
            <w:tcMar>
              <w:top w:type="dxa" w:w="40"/>
              <w:left w:type="dxa" w:w="80"/>
              <w:bottom w:type="dxa" w:w="40"/>
              <w:right w:type="dxa" w:w="80"/>
            </w:tcMar>
          </w:tcPr>
          <w:p>
            <w:pPr>
              <w:spacing w:after="0"/>
              <w:jc w:val="left"/>
            </w:pPr>
            <w:r>
              <w:rPr>
                <w:rFonts w:ascii="Arial" w:cs="Arial" w:eastAsia="Arial" w:hAnsi="Arial"/>
                <w:sz w:val="17"/>
                <w:szCs w:val="17"/>
              </w:rPr>
              <w:t xml:space="preserve">Dégradation batterie</w:t>
            </w:r>
          </w:p>
        </w:tc>
        <w:tc>
          <w:tcPr>
            <w:tcW w:type="dxa" w:w="2116"/>
            <w:tcMar>
              <w:top w:type="dxa" w:w="40"/>
              <w:left w:type="dxa" w:w="80"/>
              <w:bottom w:type="dxa" w:w="40"/>
              <w:right w:type="dxa" w:w="80"/>
            </w:tcMar>
          </w:tcPr>
          <w:p>
            <w:pPr>
              <w:spacing w:after="0"/>
              <w:jc w:val="center"/>
            </w:pPr>
            <w:r>
              <w:rPr>
                <w:rFonts w:ascii="Arial" w:cs="Arial" w:eastAsia="Arial" w:hAnsi="Arial"/>
                <w:b/>
                <w:bCs/>
                <w:sz w:val="17"/>
                <w:szCs w:val="17"/>
              </w:rPr>
              <w:t xml:space="preserve">1,00</w:t>
            </w:r>
          </w:p>
        </w:tc>
        <w:tc>
          <w:tcPr>
            <w:tcW w:type="dxa" w:w="2072"/>
            <w:tcMar>
              <w:top w:type="dxa" w:w="40"/>
              <w:left w:type="dxa" w:w="80"/>
              <w:bottom w:type="dxa" w:w="40"/>
              <w:right w:type="dxa" w:w="80"/>
            </w:tcMar>
          </w:tcPr>
          <w:p>
            <w:pPr>
              <w:spacing w:after="0"/>
              <w:jc w:val="center"/>
            </w:pPr>
            <w:r>
              <w:rPr>
                <w:rFonts w:ascii="Arial" w:cs="Arial" w:eastAsia="Arial" w:hAnsi="Arial"/>
                <w:sz w:val="17"/>
                <w:szCs w:val="17"/>
              </w:rPr>
              <w:t xml:space="preserve">%/an</w:t>
            </w:r>
          </w:p>
        </w:tc>
        <w:tc>
          <w:tcPr>
            <w:tcW w:type="dxa" w:w="2005"/>
            <w:tcMar>
              <w:top w:type="dxa" w:w="40"/>
              <w:left w:type="dxa" w:w="80"/>
              <w:bottom w:type="dxa" w:w="40"/>
              <w:right w:type="dxa" w:w="80"/>
            </w:tcMar>
          </w:tcPr>
          <w:p>
            <w:pPr>
              <w:spacing w:after="0"/>
              <w:jc w:val="center"/>
            </w:pPr>
            <w:r>
              <w:rPr>
                <w:rFonts w:ascii="Arial" w:cs="Arial" w:eastAsia="Arial" w:hAnsi="Arial"/>
                <w:b/>
                <w:bCs/>
                <w:color w:val="9C5A00"/>
                <w:sz w:val="17"/>
                <w:szCs w:val="17"/>
              </w:rPr>
              <w:t xml:space="preserve">Hypothèse</w:t>
            </w:r>
          </w:p>
        </w:tc>
      </w:tr>
    </w:tbl>
    <w:p>
      <w:pPr>
        <w:spacing w:after="40" w:before="120"/>
      </w:pPr>
      <w:r>
        <w:rPr>
          <w:rFonts w:ascii="Arial" w:cs="Arial" w:eastAsia="Arial" w:hAnsi="Arial"/>
          <w:b/>
          <w:bCs/>
          <w:color w:val="0F4761"/>
          <w:sz w:val="19"/>
          <w:szCs w:val="19"/>
        </w:rPr>
        <w:t xml:space="preserve">Coût batterie (référence 13,5 kWh)</w:t>
      </w:r>
      <w:r>
        <w:rPr>
          <w:rFonts w:ascii="Arial" w:cs="Arial" w:eastAsia="Arial" w:hAnsi="Arial"/>
          <w:color w:val="595959"/>
          <w:sz w:val="17"/>
          <w:szCs w:val="17"/>
        </w:rPr>
        <w:t xml:space="preserve">  (€)</w:t>
      </w:r>
      <w:r>
        <w:rPr>
          <w:rFonts w:ascii="Arial" w:cs="Arial" w:eastAsia="Arial" w:hAnsi="Arial"/>
          <w:b/>
          <w:bCs/>
          <w:color w:val="9C5A00"/>
          <w:sz w:val="16"/>
          <w:szCs w:val="16"/>
        </w:rPr>
        <w:t xml:space="preserve">  ·  Hypothèse</w:t>
      </w:r>
    </w:p>
    <w:p>
      <w:pPr>
        <w:spacing w:after="60"/>
        <w:ind w:left="220"/>
        <w:jc w:val="both"/>
      </w:pPr>
      <w:r>
        <w:rPr>
          <w:rFonts w:ascii="Arial" w:cs="Arial" w:eastAsia="Arial" w:hAnsi="Arial"/>
          <w:b/>
          <w:bCs/>
          <w:color w:val="595959"/>
          <w:sz w:val="18"/>
          <w:szCs w:val="18"/>
        </w:rPr>
        <w:t xml:space="preserve">Ce que c'est. </w:t>
      </w:r>
      <w:r>
        <w:rPr>
          <w:rFonts w:ascii="Arial" w:cs="Arial" w:eastAsia="Arial" w:hAnsi="Arial"/>
          <w:b w:val="false"/>
          <w:bCs w:val="false"/>
          <w:i w:val="false"/>
          <w:iCs w:val="false"/>
          <w:sz w:val="18"/>
          <w:szCs w:val="18"/>
        </w:rPr>
        <w:t xml:space="preserve">Le coût installé d'une batterie de 13,5 kWh, qui sert de </w:t>
      </w:r>
      <w:r>
        <w:rPr>
          <w:rFonts w:ascii="Arial" w:cs="Arial" w:eastAsia="Arial" w:hAnsi="Arial"/>
          <w:b/>
          <w:bCs/>
          <w:i w:val="false"/>
          <w:iCs w:val="false"/>
          <w:sz w:val="18"/>
          <w:szCs w:val="18"/>
        </w:rPr>
        <w:t xml:space="preserve">référence</w:t>
      </w:r>
      <w:r>
        <w:rPr>
          <w:rFonts w:ascii="Arial" w:cs="Arial" w:eastAsia="Arial" w:hAnsi="Arial"/>
          <w:b w:val="false"/>
          <w:bCs w:val="false"/>
          <w:i w:val="false"/>
          <w:iCs w:val="false"/>
          <w:sz w:val="18"/>
          <w:szCs w:val="18"/>
        </w:rPr>
        <w:t xml:space="preserve">. Le coût des autres capacités est déduit au prorata : une batterie de 20 kWh coûte 20/13,5 fois ce montant.</w:t>
      </w:r>
    </w:p>
    <w:p>
      <w:pPr>
        <w:spacing w:after="60"/>
        <w:ind w:left="220"/>
        <w:jc w:val="both"/>
      </w:pPr>
      <w:r>
        <w:rPr>
          <w:rFonts w:ascii="Arial" w:cs="Arial" w:eastAsia="Arial" w:hAnsi="Arial"/>
          <w:b/>
          <w:bCs/>
          <w:color w:val="595959"/>
          <w:sz w:val="18"/>
          <w:szCs w:val="18"/>
        </w:rPr>
        <w:t xml:space="preserve">Comment le régler. </w:t>
      </w:r>
      <w:r>
        <w:rPr>
          <w:rFonts w:ascii="Arial" w:cs="Arial" w:eastAsia="Arial" w:hAnsi="Arial"/>
          <w:b w:val="false"/>
          <w:bCs w:val="false"/>
          <w:i w:val="false"/>
          <w:iCs w:val="false"/>
          <w:sz w:val="18"/>
          <w:szCs w:val="18"/>
        </w:rPr>
        <w:t xml:space="preserve">Reprenez un devis pour la capacité qui vous intéresse, puis ramenez-le à 13,5 kWh. Exemple : 4 000 € pour 10 kWh donnent 4 000 × 13,5/10 = 5 400 € à saisir.</w:t>
      </w:r>
    </w:p>
    <w:p>
      <w:pPr>
        <w:spacing w:after="60"/>
        <w:ind w:left="220"/>
        <w:jc w:val="both"/>
      </w:pPr>
      <w:r>
        <w:rPr>
          <w:rFonts w:ascii="Arial" w:cs="Arial" w:eastAsia="Arial" w:hAnsi="Arial"/>
          <w:b/>
          <w:bCs/>
          <w:color w:val="595959"/>
          <w:sz w:val="18"/>
          <w:szCs w:val="18"/>
        </w:rPr>
        <w:t xml:space="preserve">Effet sur le résultat. </w:t>
      </w:r>
      <w:r>
        <w:rPr>
          <w:rFonts w:ascii="Arial" w:cs="Arial" w:eastAsia="Arial" w:hAnsi="Arial"/>
          <w:b w:val="false"/>
          <w:bCs w:val="false"/>
          <w:i w:val="false"/>
          <w:iCs w:val="false"/>
          <w:sz w:val="18"/>
          <w:szCs w:val="18"/>
        </w:rPr>
        <w:t xml:space="preserve">Détermine l'investissement de chaque ligne du comparatif. Le prorata étant linéaire, il ne reproduit pas les économies d'échelle réelles — voir « Limites ».</w:t>
      </w:r>
    </w:p>
    <w:p>
      <w:pPr>
        <w:spacing w:after="40" w:before="120"/>
      </w:pPr>
      <w:r>
        <w:rPr>
          <w:rFonts w:ascii="Arial" w:cs="Arial" w:eastAsia="Arial" w:hAnsi="Arial"/>
          <w:b/>
          <w:bCs/>
          <w:color w:val="0F4761"/>
          <w:sz w:val="19"/>
          <w:szCs w:val="19"/>
        </w:rPr>
        <w:t xml:space="preserve">Durée de vie / d'analyse</w:t>
      </w:r>
      <w:r>
        <w:rPr>
          <w:rFonts w:ascii="Arial" w:cs="Arial" w:eastAsia="Arial" w:hAnsi="Arial"/>
          <w:color w:val="595959"/>
          <w:sz w:val="17"/>
          <w:szCs w:val="17"/>
        </w:rPr>
        <w:t xml:space="preserve">  (ans)</w:t>
      </w:r>
      <w:r>
        <w:rPr>
          <w:rFonts w:ascii="Arial" w:cs="Arial" w:eastAsia="Arial" w:hAnsi="Arial"/>
          <w:b/>
          <w:bCs/>
          <w:color w:val="9C5A00"/>
          <w:sz w:val="16"/>
          <w:szCs w:val="16"/>
        </w:rPr>
        <w:t xml:space="preserve">  ·  Hypothèse</w:t>
      </w:r>
    </w:p>
    <w:p>
      <w:pPr>
        <w:spacing w:after="60"/>
        <w:ind w:left="220"/>
        <w:jc w:val="both"/>
      </w:pPr>
      <w:r>
        <w:rPr>
          <w:rFonts w:ascii="Arial" w:cs="Arial" w:eastAsia="Arial" w:hAnsi="Arial"/>
          <w:b/>
          <w:bCs/>
          <w:color w:val="595959"/>
          <w:sz w:val="18"/>
          <w:szCs w:val="18"/>
        </w:rPr>
        <w:t xml:space="preserve">Ce que c'est. </w:t>
      </w:r>
      <w:r>
        <w:rPr>
          <w:rFonts w:ascii="Arial" w:cs="Arial" w:eastAsia="Arial" w:hAnsi="Arial"/>
          <w:b w:val="false"/>
          <w:bCs w:val="false"/>
          <w:i w:val="false"/>
          <w:iCs w:val="false"/>
          <w:sz w:val="18"/>
          <w:szCs w:val="18"/>
        </w:rPr>
        <w:t xml:space="preserve">L'horizon du calcul, ici assimilé à la durée de vie de la batterie.</w:t>
      </w:r>
    </w:p>
    <w:p>
      <w:pPr>
        <w:spacing w:after="60"/>
        <w:ind w:left="220"/>
        <w:jc w:val="both"/>
      </w:pPr>
      <w:r>
        <w:rPr>
          <w:rFonts w:ascii="Arial" w:cs="Arial" w:eastAsia="Arial" w:hAnsi="Arial"/>
          <w:b/>
          <w:bCs/>
          <w:color w:val="595959"/>
          <w:sz w:val="18"/>
          <w:szCs w:val="18"/>
        </w:rPr>
        <w:t xml:space="preserve">Comment le régler. </w:t>
      </w:r>
      <w:r>
        <w:rPr>
          <w:rFonts w:ascii="Arial" w:cs="Arial" w:eastAsia="Arial" w:hAnsi="Arial"/>
          <w:b w:val="false"/>
          <w:bCs w:val="false"/>
          <w:i w:val="false"/>
          <w:iCs w:val="false"/>
          <w:sz w:val="18"/>
          <w:szCs w:val="18"/>
        </w:rPr>
        <w:t xml:space="preserve">Les garanties constructeur usuelles portent sur 10 ans ou un nombre de cycles. Retenir 20 ans est </w:t>
      </w:r>
      <w:r>
        <w:rPr>
          <w:rFonts w:ascii="Arial" w:cs="Arial" w:eastAsia="Arial" w:hAnsi="Arial"/>
          <w:b/>
          <w:bCs/>
          <w:i w:val="false"/>
          <w:iCs w:val="false"/>
          <w:sz w:val="18"/>
          <w:szCs w:val="18"/>
        </w:rPr>
        <w:t xml:space="preserve">optimiste</w:t>
      </w:r>
      <w:r>
        <w:rPr>
          <w:rFonts w:ascii="Arial" w:cs="Arial" w:eastAsia="Arial" w:hAnsi="Arial"/>
          <w:b w:val="false"/>
          <w:bCs w:val="false"/>
          <w:i w:val="false"/>
          <w:iCs w:val="false"/>
          <w:sz w:val="18"/>
          <w:szCs w:val="18"/>
        </w:rPr>
        <w:t xml:space="preserve"> pour une batterie lithium résidentielle : 10 à 15 ans constituent une hypothèse plus prudente.</w:t>
      </w:r>
    </w:p>
    <w:p>
      <w:pPr>
        <w:spacing w:after="60"/>
        <w:ind w:left="220"/>
        <w:jc w:val="both"/>
      </w:pPr>
      <w:r>
        <w:rPr>
          <w:rFonts w:ascii="Arial" w:cs="Arial" w:eastAsia="Arial" w:hAnsi="Arial"/>
          <w:b/>
          <w:bCs/>
          <w:color w:val="595959"/>
          <w:sz w:val="18"/>
          <w:szCs w:val="18"/>
        </w:rPr>
        <w:t xml:space="preserve">Effet sur le résultat. </w:t>
      </w:r>
      <w:r>
        <w:rPr>
          <w:rFonts w:ascii="Arial" w:cs="Arial" w:eastAsia="Arial" w:hAnsi="Arial"/>
          <w:b w:val="false"/>
          <w:bCs w:val="false"/>
          <w:i w:val="false"/>
          <w:iCs w:val="false"/>
          <w:sz w:val="18"/>
          <w:szCs w:val="18"/>
        </w:rPr>
        <w:t xml:space="preserve">Très structurant. Passer de 20 à 12 ans ampute fortement le gain cumulé et repousse, voire annule, le retour sur investissement.</w:t>
      </w:r>
    </w:p>
    <w:p>
      <w:pPr>
        <w:spacing w:after="40" w:before="120"/>
      </w:pPr>
      <w:r>
        <w:rPr>
          <w:rFonts w:ascii="Arial" w:cs="Arial" w:eastAsia="Arial" w:hAnsi="Arial"/>
          <w:b/>
          <w:bCs/>
          <w:color w:val="0F4761"/>
          <w:sz w:val="19"/>
          <w:szCs w:val="19"/>
        </w:rPr>
        <w:t xml:space="preserve">Dégradation batterie</w:t>
      </w:r>
      <w:r>
        <w:rPr>
          <w:rFonts w:ascii="Arial" w:cs="Arial" w:eastAsia="Arial" w:hAnsi="Arial"/>
          <w:color w:val="595959"/>
          <w:sz w:val="17"/>
          <w:szCs w:val="17"/>
        </w:rPr>
        <w:t xml:space="preserve">  (%/an)</w:t>
      </w:r>
      <w:r>
        <w:rPr>
          <w:rFonts w:ascii="Arial" w:cs="Arial" w:eastAsia="Arial" w:hAnsi="Arial"/>
          <w:b/>
          <w:bCs/>
          <w:color w:val="9C5A00"/>
          <w:sz w:val="16"/>
          <w:szCs w:val="16"/>
        </w:rPr>
        <w:t xml:space="preserve">  ·  Hypothèse</w:t>
      </w:r>
    </w:p>
    <w:p>
      <w:pPr>
        <w:spacing w:after="60"/>
        <w:ind w:left="220"/>
        <w:jc w:val="both"/>
      </w:pPr>
      <w:r>
        <w:rPr>
          <w:rFonts w:ascii="Arial" w:cs="Arial" w:eastAsia="Arial" w:hAnsi="Arial"/>
          <w:b/>
          <w:bCs/>
          <w:color w:val="595959"/>
          <w:sz w:val="18"/>
          <w:szCs w:val="18"/>
        </w:rPr>
        <w:t xml:space="preserve">Ce que c'est. </w:t>
      </w:r>
      <w:r>
        <w:rPr>
          <w:rFonts w:ascii="Arial" w:cs="Arial" w:eastAsia="Arial" w:hAnsi="Arial"/>
          <w:b w:val="false"/>
          <w:bCs w:val="false"/>
          <w:i w:val="false"/>
          <w:iCs w:val="false"/>
          <w:sz w:val="18"/>
          <w:szCs w:val="18"/>
        </w:rPr>
        <w:t xml:space="preserve">La perte de capacité utile annuelle, appliquée de façon composée à l'énergie valorisée.</w:t>
      </w:r>
    </w:p>
    <w:p>
      <w:pPr>
        <w:spacing w:after="60"/>
        <w:ind w:left="220"/>
        <w:jc w:val="both"/>
      </w:pPr>
      <w:r>
        <w:rPr>
          <w:rFonts w:ascii="Arial" w:cs="Arial" w:eastAsia="Arial" w:hAnsi="Arial"/>
          <w:b/>
          <w:bCs/>
          <w:color w:val="595959"/>
          <w:sz w:val="18"/>
          <w:szCs w:val="18"/>
        </w:rPr>
        <w:t xml:space="preserve">Comment le régler. </w:t>
      </w:r>
      <w:r>
        <w:rPr>
          <w:rFonts w:ascii="Arial" w:cs="Arial" w:eastAsia="Arial" w:hAnsi="Arial"/>
          <w:b w:val="false"/>
          <w:bCs w:val="false"/>
          <w:i w:val="false"/>
          <w:iCs w:val="false"/>
          <w:sz w:val="18"/>
          <w:szCs w:val="18"/>
        </w:rPr>
        <w:t xml:space="preserve">Les fiches techniques annoncent souvent 60 à 80 % de capacité résiduelle après 10 ans, soit environ 2 à 4 %/an au début. La valeur par défaut de 1 %/an est plutôt favorable.</w:t>
      </w:r>
    </w:p>
    <w:p>
      <w:pPr>
        <w:spacing w:after="60"/>
        <w:ind w:left="220"/>
        <w:jc w:val="both"/>
      </w:pPr>
      <w:r>
        <w:rPr>
          <w:rFonts w:ascii="Arial" w:cs="Arial" w:eastAsia="Arial" w:hAnsi="Arial"/>
          <w:b/>
          <w:bCs/>
          <w:color w:val="595959"/>
          <w:sz w:val="18"/>
          <w:szCs w:val="18"/>
        </w:rPr>
        <w:t xml:space="preserve">Effet sur le résultat. </w:t>
      </w:r>
      <w:r>
        <w:rPr>
          <w:rFonts w:ascii="Arial" w:cs="Arial" w:eastAsia="Arial" w:hAnsi="Arial"/>
          <w:b w:val="false"/>
          <w:bCs w:val="false"/>
          <w:i w:val="false"/>
          <w:iCs w:val="false"/>
          <w:sz w:val="18"/>
          <w:szCs w:val="18"/>
        </w:rPr>
        <w:t xml:space="preserve">À 1 %/an, l'énergie valorisée en année 20 vaut 83 % de celle de l'année 1. À 3 %/an, elle tombe à 56 % : l'effet devient déterminant.</w:t>
      </w:r>
    </w:p>
    <w:p>
      <w:pPr>
        <w:pBdr>
          <w:top w:val="single" w:color="0F4761" w:sz="12"/>
          <w:bottom w:val="single" w:color="0F4761" w:sz="12"/>
          <w:left w:val="single" w:color="0F4761" w:sz="12"/>
          <w:right w:val="single" w:color="0F4761" w:sz="12"/>
        </w:pBdr>
        <w:shd w:fill="FFF8E1" w:val="clear"/>
        <w:spacing w:after="120" w:before="80"/>
        <w:jc w:val="both"/>
      </w:pPr>
      <w:r>
        <w:rPr>
          <w:rFonts w:ascii="Arial" w:cs="Arial" w:eastAsia="Arial" w:hAnsi="Arial"/>
          <w:b/>
          <w:bCs/>
          <w:color w:val="0F4761"/>
          <w:sz w:val="18"/>
          <w:szCs w:val="18"/>
        </w:rPr>
        <w:t xml:space="preserve">Statut des valeurs. </w:t>
      </w:r>
      <w:r>
        <w:rPr>
          <w:rFonts w:ascii="Arial" w:cs="Arial" w:eastAsia="Arial" w:hAnsi="Arial"/>
          <w:sz w:val="18"/>
          <w:szCs w:val="18"/>
        </w:rPr>
        <w:t xml:space="preserve">Aucune valeur de ce simulateur n'est sourcée : toutes sont des hypothèses à caler sur vos relevés, votre contrat de rachat et un devis réel. Les deux premiers champs, production et consommation, servent uniquement de repère de saisie et n'entrent pas dans le calcul.</w:t>
      </w:r>
    </w:p>
    <w:p>
      <w:r>
        <w:br w:type="page"/>
      </w:r>
    </w:p>
    <w:p>
      <w:pPr>
        <w:pStyle w:val="Heading2"/>
        <w:spacing w:after="100" w:before="260"/>
      </w:pPr>
      <w:r>
        <w:rPr>
          <w:rFonts w:ascii="Arial" w:cs="Arial" w:eastAsia="Arial" w:hAnsi="Arial"/>
          <w:b/>
          <w:bCs/>
          <w:color w:val="0F4761"/>
          <w:sz w:val="22"/>
          <w:szCs w:val="22"/>
        </w:rPr>
        <w:t xml:space="preserve">4. Comparatif des capacités</w:t>
      </w:r>
    </w:p>
    <w:p>
      <w:pPr>
        <w:spacing w:after="120" w:line="264"/>
        <w:jc w:val="both"/>
      </w:pPr>
      <w:r>
        <w:rPr>
          <w:rFonts w:ascii="Arial" w:cs="Arial" w:eastAsia="Arial" w:hAnsi="Arial"/>
          <w:sz w:val="20"/>
          <w:szCs w:val="20"/>
        </w:rPr>
        <w:t xml:space="preserve">Les cinq capacités ci-dessous partagent le même gisement stockable et les mêmes prix : seuls changent le coût d'acquisition et l'énergie que la batterie parvient à absorber au fil de l'année. La ligne mise en évidence est celle dont la valeur actuelle nette est la plus élevée — et non celle qui stocke le plus.</w:t>
      </w:r>
    </w:p>
    <w:tbl>
      <w:tblPr>
        <w:tblW w:type="dxa" w:w="10426"/>
        <w:tblBorders>
          <w:top w:val="single" w:color="9DB8C9" w:sz="4"/>
          <w:left w:val="single" w:color="9DB8C9" w:sz="4"/>
          <w:bottom w:val="single" w:color="9DB8C9" w:sz="4"/>
          <w:right w:val="single" w:color="9DB8C9" w:sz="4"/>
          <w:insideH w:val="single" w:color="9DB8C9" w:sz="4"/>
          <w:insideV w:val="single" w:color="9DB8C9" w:sz="4"/>
        </w:tblBorders>
      </w:tblPr>
      <w:tblGrid>
        <w:gridCol w:w="1489"/>
        <w:gridCol w:w="1390"/>
        <w:gridCol w:w="1887"/>
        <w:gridCol w:w="1489"/>
        <w:gridCol w:w="1489"/>
        <w:gridCol w:w="1390"/>
        <w:gridCol w:w="1292"/>
      </w:tblGrid>
      <w:tr>
        <w:trPr>
          <w:tblHeader/>
        </w:trPr>
        <w:tc>
          <w:tcPr>
            <w:tcW w:type="dxa" w:w="1489"/>
            <w:shd w:fill="DEEBF7" w:val="clear"/>
            <w:tcMar>
              <w:top w:type="dxa" w:w="40"/>
              <w:left w:type="dxa" w:w="80"/>
              <w:bottom w:type="dxa" w:w="40"/>
              <w:right w:type="dxa" w:w="80"/>
            </w:tcMar>
          </w:tcPr>
          <w:p>
            <w:pPr>
              <w:spacing w:after="0"/>
              <w:jc w:val="left"/>
            </w:pPr>
            <w:r>
              <w:rPr>
                <w:rFonts w:ascii="Arial" w:cs="Arial" w:eastAsia="Arial" w:hAnsi="Arial"/>
                <w:b/>
                <w:bCs/>
                <w:color w:val="0F4761"/>
                <w:sz w:val="17"/>
                <w:szCs w:val="17"/>
              </w:rPr>
              <w:t xml:space="preserve">Batterie</w:t>
            </w:r>
          </w:p>
        </w:tc>
        <w:tc>
          <w:tcPr>
            <w:tcW w:type="dxa" w:w="1390"/>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Coût</w:t>
            </w:r>
          </w:p>
        </w:tc>
        <w:tc>
          <w:tcPr>
            <w:tcW w:type="dxa" w:w="1887"/>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kWh valorisés/an</w:t>
            </w:r>
          </w:p>
        </w:tc>
        <w:tc>
          <w:tcPr>
            <w:tcW w:type="dxa" w:w="1489"/>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Gain année 1</w:t>
            </w:r>
          </w:p>
        </w:tc>
        <w:tc>
          <w:tcPr>
            <w:tcW w:type="dxa" w:w="1489"/>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Gain cumulé</w:t>
            </w:r>
          </w:p>
        </w:tc>
        <w:tc>
          <w:tcPr>
            <w:tcW w:type="dxa" w:w="1390"/>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ROI</w:t>
            </w:r>
          </w:p>
        </w:tc>
        <w:tc>
          <w:tcPr>
            <w:tcW w:type="dxa" w:w="1292"/>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VAN</w:t>
            </w:r>
          </w:p>
        </w:tc>
      </w:tr>
      <w:tr>
        <w:tc>
          <w:tcPr>
            <w:tcW w:type="dxa" w:w="1489"/>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5,0 kWh</w:t>
            </w:r>
          </w:p>
        </w:tc>
        <w:tc>
          <w:tcPr>
            <w:tcW w:type="dxa" w:w="1390"/>
            <w:tcMar>
              <w:top w:type="dxa" w:w="40"/>
              <w:left w:type="dxa" w:w="80"/>
              <w:bottom w:type="dxa" w:w="40"/>
              <w:right w:type="dxa" w:w="80"/>
            </w:tcMar>
          </w:tcPr>
          <w:p>
            <w:pPr>
              <w:spacing w:after="0"/>
              <w:jc w:val="center"/>
            </w:pPr>
            <w:r>
              <w:rPr>
                <w:rFonts w:ascii="Arial" w:cs="Arial" w:eastAsia="Arial" w:hAnsi="Arial"/>
                <w:b/>
                <w:bCs/>
                <w:sz w:val="17"/>
                <w:szCs w:val="17"/>
              </w:rPr>
              <w:t xml:space="preserve">1 852 €</w:t>
            </w:r>
          </w:p>
        </w:tc>
        <w:tc>
          <w:tcPr>
            <w:tcW w:type="dxa" w:w="1887"/>
            <w:tcMar>
              <w:top w:type="dxa" w:w="40"/>
              <w:left w:type="dxa" w:w="80"/>
              <w:bottom w:type="dxa" w:w="40"/>
              <w:right w:type="dxa" w:w="80"/>
            </w:tcMar>
          </w:tcPr>
          <w:p>
            <w:pPr>
              <w:spacing w:after="0"/>
              <w:jc w:val="center"/>
            </w:pPr>
            <w:r>
              <w:rPr>
                <w:rFonts w:ascii="Arial" w:cs="Arial" w:eastAsia="Arial" w:hAnsi="Arial"/>
                <w:b/>
                <w:bCs/>
                <w:sz w:val="17"/>
                <w:szCs w:val="17"/>
              </w:rPr>
              <w:t xml:space="preserve">1 500</w:t>
            </w:r>
          </w:p>
        </w:tc>
        <w:tc>
          <w:tcPr>
            <w:tcW w:type="dxa" w:w="1489"/>
            <w:tcMar>
              <w:top w:type="dxa" w:w="40"/>
              <w:left w:type="dxa" w:w="80"/>
              <w:bottom w:type="dxa" w:w="40"/>
              <w:right w:type="dxa" w:w="80"/>
            </w:tcMar>
          </w:tcPr>
          <w:p>
            <w:pPr>
              <w:spacing w:after="0"/>
              <w:jc w:val="center"/>
            </w:pPr>
            <w:r>
              <w:rPr>
                <w:rFonts w:ascii="Arial" w:cs="Arial" w:eastAsia="Arial" w:hAnsi="Arial"/>
                <w:b/>
                <w:bCs/>
                <w:sz w:val="17"/>
                <w:szCs w:val="17"/>
              </w:rPr>
              <w:t xml:space="preserve">150 €</w:t>
            </w:r>
          </w:p>
        </w:tc>
        <w:tc>
          <w:tcPr>
            <w:tcW w:type="dxa" w:w="1489"/>
            <w:tcMar>
              <w:top w:type="dxa" w:w="40"/>
              <w:left w:type="dxa" w:w="80"/>
              <w:bottom w:type="dxa" w:w="40"/>
              <w:right w:type="dxa" w:w="80"/>
            </w:tcMar>
          </w:tcPr>
          <w:p>
            <w:pPr>
              <w:spacing w:after="0"/>
              <w:jc w:val="center"/>
            </w:pPr>
            <w:r>
              <w:rPr>
                <w:rFonts w:ascii="Arial" w:cs="Arial" w:eastAsia="Arial" w:hAnsi="Arial"/>
                <w:b/>
                <w:bCs/>
                <w:sz w:val="17"/>
                <w:szCs w:val="17"/>
              </w:rPr>
              <w:t xml:space="preserve">4 536 €</w:t>
            </w:r>
          </w:p>
        </w:tc>
        <w:tc>
          <w:tcPr>
            <w:tcW w:type="dxa" w:w="1390"/>
            <w:tcMar>
              <w:top w:type="dxa" w:w="40"/>
              <w:left w:type="dxa" w:w="80"/>
              <w:bottom w:type="dxa" w:w="40"/>
              <w:right w:type="dxa" w:w="80"/>
            </w:tcMar>
          </w:tcPr>
          <w:p>
            <w:pPr>
              <w:spacing w:after="0"/>
              <w:jc w:val="center"/>
            </w:pPr>
            <w:r>
              <w:rPr>
                <w:rFonts w:ascii="Arial" w:cs="Arial" w:eastAsia="Arial" w:hAnsi="Arial"/>
                <w:b/>
                <w:bCs/>
                <w:sz w:val="17"/>
                <w:szCs w:val="17"/>
              </w:rPr>
              <w:t xml:space="preserve">11 ans</w:t>
            </w:r>
          </w:p>
        </w:tc>
        <w:tc>
          <w:tcPr>
            <w:tcW w:type="dxa" w:w="1292"/>
            <w:tcMar>
              <w:top w:type="dxa" w:w="40"/>
              <w:left w:type="dxa" w:w="80"/>
              <w:bottom w:type="dxa" w:w="40"/>
              <w:right w:type="dxa" w:w="80"/>
            </w:tcMar>
          </w:tcPr>
          <w:p>
            <w:pPr>
              <w:spacing w:after="0"/>
              <w:jc w:val="center"/>
            </w:pPr>
            <w:r>
              <w:rPr>
                <w:rFonts w:ascii="Arial" w:cs="Arial" w:eastAsia="Arial" w:hAnsi="Arial"/>
                <w:b/>
                <w:bCs/>
                <w:sz w:val="17"/>
                <w:szCs w:val="17"/>
              </w:rPr>
              <w:t xml:space="preserve">1 083 €</w:t>
            </w:r>
          </w:p>
        </w:tc>
      </w:tr>
      <w:tr>
        <w:tc>
          <w:tcPr>
            <w:tcW w:type="dxa" w:w="1489"/>
            <w:shd w:fill="F4F9FC" w:val="clear"/>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10,0 kWh</w:t>
            </w:r>
          </w:p>
        </w:tc>
        <w:tc>
          <w:tcPr>
            <w:tcW w:type="dxa" w:w="1390"/>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3 704 €</w:t>
            </w:r>
          </w:p>
        </w:tc>
        <w:tc>
          <w:tcPr>
            <w:tcW w:type="dxa" w:w="1887"/>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2 500</w:t>
            </w:r>
          </w:p>
        </w:tc>
        <w:tc>
          <w:tcPr>
            <w:tcW w:type="dxa" w:w="148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250 €</w:t>
            </w:r>
          </w:p>
        </w:tc>
        <w:tc>
          <w:tcPr>
            <w:tcW w:type="dxa" w:w="148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7 560 €</w:t>
            </w:r>
          </w:p>
        </w:tc>
        <w:tc>
          <w:tcPr>
            <w:tcW w:type="dxa" w:w="1390"/>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12 ans</w:t>
            </w:r>
          </w:p>
        </w:tc>
        <w:tc>
          <w:tcPr>
            <w:tcW w:type="dxa" w:w="1292"/>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1 188 €</w:t>
            </w:r>
          </w:p>
        </w:tc>
      </w:tr>
      <w:tr>
        <w:tc>
          <w:tcPr>
            <w:tcW w:type="dxa" w:w="1489"/>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13,5 kWh</w:t>
            </w:r>
          </w:p>
        </w:tc>
        <w:tc>
          <w:tcPr>
            <w:tcW w:type="dxa" w:w="1390"/>
            <w:tcMar>
              <w:top w:type="dxa" w:w="40"/>
              <w:left w:type="dxa" w:w="80"/>
              <w:bottom w:type="dxa" w:w="40"/>
              <w:right w:type="dxa" w:w="80"/>
            </w:tcMar>
          </w:tcPr>
          <w:p>
            <w:pPr>
              <w:spacing w:after="0"/>
              <w:jc w:val="center"/>
            </w:pPr>
            <w:r>
              <w:rPr>
                <w:rFonts w:ascii="Arial" w:cs="Arial" w:eastAsia="Arial" w:hAnsi="Arial"/>
                <w:b/>
                <w:bCs/>
                <w:sz w:val="17"/>
                <w:szCs w:val="17"/>
              </w:rPr>
              <w:t xml:space="preserve">5 000 €</w:t>
            </w:r>
          </w:p>
        </w:tc>
        <w:tc>
          <w:tcPr>
            <w:tcW w:type="dxa" w:w="1887"/>
            <w:tcMar>
              <w:top w:type="dxa" w:w="40"/>
              <w:left w:type="dxa" w:w="80"/>
              <w:bottom w:type="dxa" w:w="40"/>
              <w:right w:type="dxa" w:w="80"/>
            </w:tcMar>
          </w:tcPr>
          <w:p>
            <w:pPr>
              <w:spacing w:after="0"/>
              <w:jc w:val="center"/>
            </w:pPr>
            <w:r>
              <w:rPr>
                <w:rFonts w:ascii="Arial" w:cs="Arial" w:eastAsia="Arial" w:hAnsi="Arial"/>
                <w:b/>
                <w:bCs/>
                <w:sz w:val="17"/>
                <w:szCs w:val="17"/>
              </w:rPr>
              <w:t xml:space="preserve">3 200</w:t>
            </w:r>
          </w:p>
        </w:tc>
        <w:tc>
          <w:tcPr>
            <w:tcW w:type="dxa" w:w="1489"/>
            <w:tcMar>
              <w:top w:type="dxa" w:w="40"/>
              <w:left w:type="dxa" w:w="80"/>
              <w:bottom w:type="dxa" w:w="40"/>
              <w:right w:type="dxa" w:w="80"/>
            </w:tcMar>
          </w:tcPr>
          <w:p>
            <w:pPr>
              <w:spacing w:after="0"/>
              <w:jc w:val="center"/>
            </w:pPr>
            <w:r>
              <w:rPr>
                <w:rFonts w:ascii="Arial" w:cs="Arial" w:eastAsia="Arial" w:hAnsi="Arial"/>
                <w:b/>
                <w:bCs/>
                <w:sz w:val="17"/>
                <w:szCs w:val="17"/>
              </w:rPr>
              <w:t xml:space="preserve">320 €</w:t>
            </w:r>
          </w:p>
        </w:tc>
        <w:tc>
          <w:tcPr>
            <w:tcW w:type="dxa" w:w="1489"/>
            <w:tcMar>
              <w:top w:type="dxa" w:w="40"/>
              <w:left w:type="dxa" w:w="80"/>
              <w:bottom w:type="dxa" w:w="40"/>
              <w:right w:type="dxa" w:w="80"/>
            </w:tcMar>
          </w:tcPr>
          <w:p>
            <w:pPr>
              <w:spacing w:after="0"/>
              <w:jc w:val="center"/>
            </w:pPr>
            <w:r>
              <w:rPr>
                <w:rFonts w:ascii="Arial" w:cs="Arial" w:eastAsia="Arial" w:hAnsi="Arial"/>
                <w:b/>
                <w:bCs/>
                <w:sz w:val="17"/>
                <w:szCs w:val="17"/>
              </w:rPr>
              <w:t xml:space="preserve">9 677 €</w:t>
            </w:r>
          </w:p>
        </w:tc>
        <w:tc>
          <w:tcPr>
            <w:tcW w:type="dxa" w:w="1390"/>
            <w:tcMar>
              <w:top w:type="dxa" w:w="40"/>
              <w:left w:type="dxa" w:w="80"/>
              <w:bottom w:type="dxa" w:w="40"/>
              <w:right w:type="dxa" w:w="80"/>
            </w:tcMar>
          </w:tcPr>
          <w:p>
            <w:pPr>
              <w:spacing w:after="0"/>
              <w:jc w:val="center"/>
            </w:pPr>
            <w:r>
              <w:rPr>
                <w:rFonts w:ascii="Arial" w:cs="Arial" w:eastAsia="Arial" w:hAnsi="Arial"/>
                <w:b/>
                <w:bCs/>
                <w:sz w:val="17"/>
                <w:szCs w:val="17"/>
              </w:rPr>
              <w:t xml:space="preserve">13 ans</w:t>
            </w:r>
          </w:p>
        </w:tc>
        <w:tc>
          <w:tcPr>
            <w:tcW w:type="dxa" w:w="1292"/>
            <w:tcMar>
              <w:top w:type="dxa" w:w="40"/>
              <w:left w:type="dxa" w:w="80"/>
              <w:bottom w:type="dxa" w:w="40"/>
              <w:right w:type="dxa" w:w="80"/>
            </w:tcMar>
          </w:tcPr>
          <w:p>
            <w:pPr>
              <w:spacing w:after="0"/>
              <w:jc w:val="center"/>
            </w:pPr>
            <w:r>
              <w:rPr>
                <w:rFonts w:ascii="Arial" w:cs="Arial" w:eastAsia="Arial" w:hAnsi="Arial"/>
                <w:b/>
                <w:bCs/>
                <w:sz w:val="17"/>
                <w:szCs w:val="17"/>
              </w:rPr>
              <w:t xml:space="preserve">1 261 €</w:t>
            </w:r>
          </w:p>
        </w:tc>
      </w:tr>
      <w:tr>
        <w:tc>
          <w:tcPr>
            <w:tcW w:type="dxa" w:w="1489"/>
            <w:shd w:fill="F4F9FC" w:val="clear"/>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15,0 kWh</w:t>
            </w:r>
          </w:p>
        </w:tc>
        <w:tc>
          <w:tcPr>
            <w:tcW w:type="dxa" w:w="1390"/>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5 556 €</w:t>
            </w:r>
          </w:p>
        </w:tc>
        <w:tc>
          <w:tcPr>
            <w:tcW w:type="dxa" w:w="1887"/>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3 500</w:t>
            </w:r>
          </w:p>
        </w:tc>
        <w:tc>
          <w:tcPr>
            <w:tcW w:type="dxa" w:w="148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350 €</w:t>
            </w:r>
          </w:p>
        </w:tc>
        <w:tc>
          <w:tcPr>
            <w:tcW w:type="dxa" w:w="148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10 584 €</w:t>
            </w:r>
          </w:p>
        </w:tc>
        <w:tc>
          <w:tcPr>
            <w:tcW w:type="dxa" w:w="1390"/>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13 ans</w:t>
            </w:r>
          </w:p>
        </w:tc>
        <w:tc>
          <w:tcPr>
            <w:tcW w:type="dxa" w:w="1292"/>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1 292 €</w:t>
            </w:r>
          </w:p>
        </w:tc>
      </w:tr>
      <w:tr>
        <w:tc>
          <w:tcPr>
            <w:tcW w:type="dxa" w:w="1489"/>
            <w:shd w:fill="DEEBF7" w:val="clear"/>
            <w:tcMar>
              <w:top w:type="dxa" w:w="40"/>
              <w:left w:type="dxa" w:w="80"/>
              <w:bottom w:type="dxa" w:w="40"/>
              <w:right w:type="dxa" w:w="80"/>
            </w:tcMar>
          </w:tcPr>
          <w:p>
            <w:pPr>
              <w:spacing w:after="0"/>
              <w:jc w:val="left"/>
            </w:pPr>
            <w:r>
              <w:rPr>
                <w:rFonts w:ascii="Arial" w:cs="Arial" w:eastAsia="Arial" w:hAnsi="Arial"/>
                <w:b/>
                <w:bCs/>
                <w:sz w:val="17"/>
                <w:szCs w:val="17"/>
              </w:rPr>
              <w:t xml:space="preserve">20,0 kWh</w:t>
            </w:r>
          </w:p>
        </w:tc>
        <w:tc>
          <w:tcPr>
            <w:tcW w:type="dxa" w:w="1390"/>
            <w:shd w:fill="DEEBF7" w:val="clear"/>
            <w:tcMar>
              <w:top w:type="dxa" w:w="40"/>
              <w:left w:type="dxa" w:w="80"/>
              <w:bottom w:type="dxa" w:w="40"/>
              <w:right w:type="dxa" w:w="80"/>
            </w:tcMar>
          </w:tcPr>
          <w:p>
            <w:pPr>
              <w:spacing w:after="0"/>
              <w:jc w:val="center"/>
            </w:pPr>
            <w:r>
              <w:rPr>
                <w:rFonts w:ascii="Arial" w:cs="Arial" w:eastAsia="Arial" w:hAnsi="Arial"/>
                <w:b/>
                <w:bCs/>
                <w:sz w:val="17"/>
                <w:szCs w:val="17"/>
              </w:rPr>
              <w:t xml:space="preserve">7 407 €</w:t>
            </w:r>
          </w:p>
        </w:tc>
        <w:tc>
          <w:tcPr>
            <w:tcW w:type="dxa" w:w="1887"/>
            <w:shd w:fill="DEEBF7" w:val="clear"/>
            <w:tcMar>
              <w:top w:type="dxa" w:w="40"/>
              <w:left w:type="dxa" w:w="80"/>
              <w:bottom w:type="dxa" w:w="40"/>
              <w:right w:type="dxa" w:w="80"/>
            </w:tcMar>
          </w:tcPr>
          <w:p>
            <w:pPr>
              <w:spacing w:after="0"/>
              <w:jc w:val="center"/>
            </w:pPr>
            <w:r>
              <w:rPr>
                <w:rFonts w:ascii="Arial" w:cs="Arial" w:eastAsia="Arial" w:hAnsi="Arial"/>
                <w:b/>
                <w:bCs/>
                <w:sz w:val="17"/>
                <w:szCs w:val="17"/>
              </w:rPr>
              <w:t xml:space="preserve">4 500</w:t>
            </w:r>
          </w:p>
        </w:tc>
        <w:tc>
          <w:tcPr>
            <w:tcW w:type="dxa" w:w="1489"/>
            <w:shd w:fill="DEEBF7" w:val="clear"/>
            <w:tcMar>
              <w:top w:type="dxa" w:w="40"/>
              <w:left w:type="dxa" w:w="80"/>
              <w:bottom w:type="dxa" w:w="40"/>
              <w:right w:type="dxa" w:w="80"/>
            </w:tcMar>
          </w:tcPr>
          <w:p>
            <w:pPr>
              <w:spacing w:after="0"/>
              <w:jc w:val="center"/>
            </w:pPr>
            <w:r>
              <w:rPr>
                <w:rFonts w:ascii="Arial" w:cs="Arial" w:eastAsia="Arial" w:hAnsi="Arial"/>
                <w:b/>
                <w:bCs/>
                <w:sz w:val="17"/>
                <w:szCs w:val="17"/>
              </w:rPr>
              <w:t xml:space="preserve">450 €</w:t>
            </w:r>
          </w:p>
        </w:tc>
        <w:tc>
          <w:tcPr>
            <w:tcW w:type="dxa" w:w="1489"/>
            <w:shd w:fill="DEEBF7" w:val="clear"/>
            <w:tcMar>
              <w:top w:type="dxa" w:w="40"/>
              <w:left w:type="dxa" w:w="80"/>
              <w:bottom w:type="dxa" w:w="40"/>
              <w:right w:type="dxa" w:w="80"/>
            </w:tcMar>
          </w:tcPr>
          <w:p>
            <w:pPr>
              <w:spacing w:after="0"/>
              <w:jc w:val="center"/>
            </w:pPr>
            <w:r>
              <w:rPr>
                <w:rFonts w:ascii="Arial" w:cs="Arial" w:eastAsia="Arial" w:hAnsi="Arial"/>
                <w:b/>
                <w:bCs/>
                <w:sz w:val="17"/>
                <w:szCs w:val="17"/>
              </w:rPr>
              <w:t xml:space="preserve">13 608 €</w:t>
            </w:r>
          </w:p>
        </w:tc>
        <w:tc>
          <w:tcPr>
            <w:tcW w:type="dxa" w:w="1390"/>
            <w:shd w:fill="DEEBF7" w:val="clear"/>
            <w:tcMar>
              <w:top w:type="dxa" w:w="40"/>
              <w:left w:type="dxa" w:w="80"/>
              <w:bottom w:type="dxa" w:w="40"/>
              <w:right w:type="dxa" w:w="80"/>
            </w:tcMar>
          </w:tcPr>
          <w:p>
            <w:pPr>
              <w:spacing w:after="0"/>
              <w:jc w:val="center"/>
            </w:pPr>
            <w:r>
              <w:rPr>
                <w:rFonts w:ascii="Arial" w:cs="Arial" w:eastAsia="Arial" w:hAnsi="Arial"/>
                <w:b/>
                <w:bCs/>
                <w:sz w:val="17"/>
                <w:szCs w:val="17"/>
              </w:rPr>
              <w:t xml:space="preserve">13 ans</w:t>
            </w:r>
          </w:p>
        </w:tc>
        <w:tc>
          <w:tcPr>
            <w:tcW w:type="dxa" w:w="1292"/>
            <w:shd w:fill="DEEBF7" w:val="clear"/>
            <w:tcMar>
              <w:top w:type="dxa" w:w="40"/>
              <w:left w:type="dxa" w:w="80"/>
              <w:bottom w:type="dxa" w:w="40"/>
              <w:right w:type="dxa" w:w="80"/>
            </w:tcMar>
          </w:tcPr>
          <w:p>
            <w:pPr>
              <w:spacing w:after="0"/>
              <w:jc w:val="center"/>
            </w:pPr>
            <w:r>
              <w:rPr>
                <w:rFonts w:ascii="Arial" w:cs="Arial" w:eastAsia="Arial" w:hAnsi="Arial"/>
                <w:b/>
                <w:bCs/>
                <w:sz w:val="17"/>
                <w:szCs w:val="17"/>
              </w:rPr>
              <w:t xml:space="preserve">1 397 €</w:t>
            </w:r>
          </w:p>
        </w:tc>
      </w:tr>
    </w:tbl>
    <w:p>
      <w:pPr>
        <w:spacing w:after="40" w:before="120"/>
      </w:pPr>
      <w:r>
        <w:drawing>
          <wp:inline distT="0" distB="0" distL="0" distR="0">
            <wp:extent cx="6619875"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19875" cy="2571750"/>
                    </a:xfrm>
                    <a:prstGeom prst="rect">
                      <a:avLst/>
                    </a:prstGeom>
                  </pic:spPr>
                </pic:pic>
              </a:graphicData>
            </a:graphic>
          </wp:inline>
        </w:drawing>
      </w:r>
    </w:p>
    <w:p>
      <w:pPr>
        <w:spacing w:after="160"/>
      </w:pPr>
      <w:r>
        <w:rPr>
          <w:rFonts w:ascii="Arial" w:cs="Arial" w:eastAsia="Arial" w:hAnsi="Arial"/>
          <w:i/>
          <w:iCs/>
          <w:color w:val="595959"/>
          <w:sz w:val="16"/>
          <w:szCs w:val="16"/>
        </w:rPr>
        <w:t xml:space="preserve">Gain cumulé de chaque capacité, hors coût d'acquisition de la batterie. Les courbes ne se croisent pas : le classement se joue sur le coût, donc le retour sur investissement se lit dans le tableau, pas sur ce graphique.</w:t>
      </w:r>
    </w:p>
    <w:p>
      <w:pPr>
        <w:pStyle w:val="Heading2"/>
        <w:spacing w:after="100" w:before="260"/>
      </w:pPr>
      <w:r>
        <w:rPr>
          <w:rFonts w:ascii="Arial" w:cs="Arial" w:eastAsia="Arial" w:hAnsi="Arial"/>
          <w:b/>
          <w:bCs/>
          <w:color w:val="0F4761"/>
          <w:sz w:val="22"/>
          <w:szCs w:val="22"/>
        </w:rPr>
        <w:t xml:space="preserve">5. Résultats de la capacité conseillée</w:t>
      </w:r>
    </w:p>
    <w:tbl>
      <w:tblPr>
        <w:tblW w:type="dxa" w:w="10426"/>
        <w:tblBorders>
          <w:top w:val="single" w:color="9DB8C9" w:sz="4"/>
          <w:left w:val="single" w:color="9DB8C9" w:sz="4"/>
          <w:bottom w:val="single" w:color="9DB8C9" w:sz="4"/>
          <w:right w:val="single" w:color="9DB8C9" w:sz="4"/>
          <w:insideH w:val="single" w:color="9DB8C9" w:sz="4"/>
          <w:insideV w:val="single" w:color="9DB8C9" w:sz="4"/>
        </w:tblBorders>
      </w:tblPr>
      <w:tblGrid>
        <w:gridCol w:w="7307"/>
        <w:gridCol w:w="3119"/>
      </w:tblGrid>
      <w:tr>
        <w:trPr>
          <w:tblHeader/>
        </w:trPr>
        <w:tc>
          <w:tcPr>
            <w:tcW w:type="dxa" w:w="7307"/>
            <w:shd w:fill="DEEBF7" w:val="clear"/>
            <w:tcMar>
              <w:top w:type="dxa" w:w="40"/>
              <w:left w:type="dxa" w:w="80"/>
              <w:bottom w:type="dxa" w:w="40"/>
              <w:right w:type="dxa" w:w="80"/>
            </w:tcMar>
          </w:tcPr>
          <w:p>
            <w:pPr>
              <w:spacing w:after="0"/>
              <w:jc w:val="left"/>
            </w:pPr>
            <w:r>
              <w:rPr>
                <w:rFonts w:ascii="Arial" w:cs="Arial" w:eastAsia="Arial" w:hAnsi="Arial"/>
                <w:b/>
                <w:bCs/>
                <w:color w:val="0F4761"/>
                <w:sz w:val="17"/>
                <w:szCs w:val="17"/>
              </w:rPr>
              <w:t xml:space="preserve">Indicateur</w:t>
            </w:r>
          </w:p>
        </w:tc>
        <w:tc>
          <w:tcPr>
            <w:tcW w:type="dxa" w:w="3119"/>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Valeur</w:t>
            </w:r>
          </w:p>
        </w:tc>
      </w:tr>
      <w:tr>
        <w:tc>
          <w:tcPr>
            <w:tcW w:type="dxa" w:w="7307"/>
            <w:shd w:fill="DEEBF7" w:val="clear"/>
            <w:tcMar>
              <w:top w:type="dxa" w:w="40"/>
              <w:left w:type="dxa" w:w="80"/>
              <w:bottom w:type="dxa" w:w="40"/>
              <w:right w:type="dxa" w:w="80"/>
            </w:tcMar>
          </w:tcPr>
          <w:p>
            <w:pPr>
              <w:spacing w:after="0"/>
              <w:jc w:val="left"/>
            </w:pPr>
            <w:r>
              <w:rPr>
                <w:rFonts w:ascii="Arial" w:cs="Arial" w:eastAsia="Arial" w:hAnsi="Arial"/>
                <w:b/>
                <w:bCs/>
                <w:sz w:val="17"/>
                <w:szCs w:val="17"/>
              </w:rPr>
              <w:t xml:space="preserve">Capacité conseillée</w:t>
            </w:r>
          </w:p>
        </w:tc>
        <w:tc>
          <w:tcPr>
            <w:tcW w:type="dxa" w:w="3119"/>
            <w:shd w:fill="DEEBF7" w:val="clear"/>
            <w:tcMar>
              <w:top w:type="dxa" w:w="40"/>
              <w:left w:type="dxa" w:w="80"/>
              <w:bottom w:type="dxa" w:w="40"/>
              <w:right w:type="dxa" w:w="80"/>
            </w:tcMar>
          </w:tcPr>
          <w:p>
            <w:pPr>
              <w:spacing w:after="0"/>
              <w:jc w:val="center"/>
            </w:pPr>
            <w:r>
              <w:rPr>
                <w:rFonts w:ascii="Arial" w:cs="Arial" w:eastAsia="Arial" w:hAnsi="Arial"/>
                <w:b/>
                <w:bCs/>
                <w:sz w:val="17"/>
                <w:szCs w:val="17"/>
              </w:rPr>
              <w:t xml:space="preserve">20,0 kWh</w:t>
            </w:r>
          </w:p>
        </w:tc>
      </w:tr>
      <w:tr>
        <w:tc>
          <w:tcPr>
            <w:tcW w:type="dxa" w:w="7307"/>
            <w:shd w:fill="F4F9FC" w:val="clear"/>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Coût d'acquisition</w:t>
            </w:r>
          </w:p>
        </w:tc>
        <w:tc>
          <w:tcPr>
            <w:tcW w:type="dxa" w:w="311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7 407 €</w:t>
            </w:r>
          </w:p>
        </w:tc>
      </w:tr>
      <w:tr>
        <w:tc>
          <w:tcPr>
            <w:tcW w:type="dxa" w:w="7307"/>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Énergie valorisée (an 1)</w:t>
            </w:r>
          </w:p>
        </w:tc>
        <w:tc>
          <w:tcPr>
            <w:tcW w:type="dxa" w:w="3119"/>
            <w:tcMar>
              <w:top w:type="dxa" w:w="40"/>
              <w:left w:type="dxa" w:w="80"/>
              <w:bottom w:type="dxa" w:w="40"/>
              <w:right w:type="dxa" w:w="80"/>
            </w:tcMar>
          </w:tcPr>
          <w:p>
            <w:pPr>
              <w:spacing w:after="0"/>
              <w:jc w:val="center"/>
            </w:pPr>
            <w:r>
              <w:rPr>
                <w:rFonts w:ascii="Arial" w:cs="Arial" w:eastAsia="Arial" w:hAnsi="Arial"/>
                <w:b/>
                <w:bCs/>
                <w:sz w:val="17"/>
                <w:szCs w:val="17"/>
              </w:rPr>
              <w:t xml:space="preserve">4 500 kWh</w:t>
            </w:r>
          </w:p>
        </w:tc>
      </w:tr>
      <w:tr>
        <w:tc>
          <w:tcPr>
            <w:tcW w:type="dxa" w:w="7307"/>
            <w:shd w:fill="F4F9FC" w:val="clear"/>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Part du surplus valorisée</w:t>
            </w:r>
          </w:p>
        </w:tc>
        <w:tc>
          <w:tcPr>
            <w:tcW w:type="dxa" w:w="311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90,0 %</w:t>
            </w:r>
          </w:p>
        </w:tc>
      </w:tr>
      <w:tr>
        <w:tc>
          <w:tcPr>
            <w:tcW w:type="dxa" w:w="7307"/>
            <w:shd w:fill="DEEBF7" w:val="clear"/>
            <w:tcMar>
              <w:top w:type="dxa" w:w="40"/>
              <w:left w:type="dxa" w:w="80"/>
              <w:bottom w:type="dxa" w:w="40"/>
              <w:right w:type="dxa" w:w="80"/>
            </w:tcMar>
          </w:tcPr>
          <w:p>
            <w:pPr>
              <w:spacing w:after="0"/>
              <w:jc w:val="left"/>
            </w:pPr>
            <w:r>
              <w:rPr>
                <w:rFonts w:ascii="Arial" w:cs="Arial" w:eastAsia="Arial" w:hAnsi="Arial"/>
                <w:b/>
                <w:bCs/>
                <w:sz w:val="17"/>
                <w:szCs w:val="17"/>
              </w:rPr>
              <w:t xml:space="preserve">Gain année 1</w:t>
            </w:r>
          </w:p>
        </w:tc>
        <w:tc>
          <w:tcPr>
            <w:tcW w:type="dxa" w:w="3119"/>
            <w:shd w:fill="DEEBF7" w:val="clear"/>
            <w:tcMar>
              <w:top w:type="dxa" w:w="40"/>
              <w:left w:type="dxa" w:w="80"/>
              <w:bottom w:type="dxa" w:w="40"/>
              <w:right w:type="dxa" w:w="80"/>
            </w:tcMar>
          </w:tcPr>
          <w:p>
            <w:pPr>
              <w:spacing w:after="0"/>
              <w:jc w:val="center"/>
            </w:pPr>
            <w:r>
              <w:rPr>
                <w:rFonts w:ascii="Arial" w:cs="Arial" w:eastAsia="Arial" w:hAnsi="Arial"/>
                <w:b/>
                <w:bCs/>
                <w:sz w:val="17"/>
                <w:szCs w:val="17"/>
              </w:rPr>
              <w:t xml:space="preserve">450 €</w:t>
            </w:r>
          </w:p>
        </w:tc>
      </w:tr>
      <w:tr>
        <w:tc>
          <w:tcPr>
            <w:tcW w:type="dxa" w:w="7307"/>
            <w:shd w:fill="F4F9FC" w:val="clear"/>
            <w:tcMar>
              <w:top w:type="dxa" w:w="40"/>
              <w:left w:type="dxa" w:w="80"/>
              <w:bottom w:type="dxa" w:w="40"/>
              <w:right w:type="dxa" w:w="80"/>
            </w:tcMar>
          </w:tcPr>
          <w:p>
            <w:pPr>
              <w:spacing w:after="0"/>
              <w:jc w:val="left"/>
            </w:pPr>
            <w:r>
              <w:rPr>
                <w:rFonts w:ascii="Arial" w:cs="Arial" w:eastAsia="Arial" w:hAnsi="Arial"/>
                <w:b w:val="false"/>
                <w:bCs w:val="false"/>
                <w:sz w:val="17"/>
                <w:szCs w:val="17"/>
              </w:rPr>
              <w:t xml:space="preserve">Gain cumulé sur la durée</w:t>
            </w:r>
          </w:p>
        </w:tc>
        <w:tc>
          <w:tcPr>
            <w:tcW w:type="dxa" w:w="3119"/>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13 608 €</w:t>
            </w:r>
          </w:p>
        </w:tc>
      </w:tr>
      <w:tr>
        <w:tc>
          <w:tcPr>
            <w:tcW w:type="dxa" w:w="7307"/>
            <w:shd w:fill="DEEBF7" w:val="clear"/>
            <w:tcMar>
              <w:top w:type="dxa" w:w="40"/>
              <w:left w:type="dxa" w:w="80"/>
              <w:bottom w:type="dxa" w:w="40"/>
              <w:right w:type="dxa" w:w="80"/>
            </w:tcMar>
          </w:tcPr>
          <w:p>
            <w:pPr>
              <w:spacing w:after="0"/>
              <w:jc w:val="left"/>
            </w:pPr>
            <w:r>
              <w:rPr>
                <w:rFonts w:ascii="Arial" w:cs="Arial" w:eastAsia="Arial" w:hAnsi="Arial"/>
                <w:b/>
                <w:bCs/>
                <w:sz w:val="17"/>
                <w:szCs w:val="17"/>
              </w:rPr>
              <w:t xml:space="preserve">Retour sur investissement</w:t>
            </w:r>
          </w:p>
        </w:tc>
        <w:tc>
          <w:tcPr>
            <w:tcW w:type="dxa" w:w="3119"/>
            <w:shd w:fill="DEEBF7" w:val="clear"/>
            <w:tcMar>
              <w:top w:type="dxa" w:w="40"/>
              <w:left w:type="dxa" w:w="80"/>
              <w:bottom w:type="dxa" w:w="40"/>
              <w:right w:type="dxa" w:w="80"/>
            </w:tcMar>
          </w:tcPr>
          <w:p>
            <w:pPr>
              <w:spacing w:after="0"/>
              <w:jc w:val="center"/>
            </w:pPr>
            <w:r>
              <w:rPr>
                <w:rFonts w:ascii="Arial" w:cs="Arial" w:eastAsia="Arial" w:hAnsi="Arial"/>
                <w:b/>
                <w:bCs/>
                <w:sz w:val="17"/>
                <w:szCs w:val="17"/>
              </w:rPr>
              <w:t xml:space="preserve">13 ans</w:t>
            </w:r>
          </w:p>
        </w:tc>
      </w:tr>
      <w:tr>
        <w:tc>
          <w:tcPr>
            <w:tcW w:type="dxa" w:w="7307"/>
            <w:shd w:fill="DEEBF7" w:val="clear"/>
            <w:tcMar>
              <w:top w:type="dxa" w:w="40"/>
              <w:left w:type="dxa" w:w="80"/>
              <w:bottom w:type="dxa" w:w="40"/>
              <w:right w:type="dxa" w:w="80"/>
            </w:tcMar>
          </w:tcPr>
          <w:p>
            <w:pPr>
              <w:spacing w:after="0"/>
              <w:jc w:val="left"/>
            </w:pPr>
            <w:r>
              <w:rPr>
                <w:rFonts w:ascii="Arial" w:cs="Arial" w:eastAsia="Arial" w:hAnsi="Arial"/>
                <w:b/>
                <w:bCs/>
                <w:sz w:val="17"/>
                <w:szCs w:val="17"/>
              </w:rPr>
              <w:t xml:space="preserve">Valeur actuelle nette</w:t>
            </w:r>
          </w:p>
        </w:tc>
        <w:tc>
          <w:tcPr>
            <w:tcW w:type="dxa" w:w="3119"/>
            <w:shd w:fill="DEEBF7" w:val="clear"/>
            <w:tcMar>
              <w:top w:type="dxa" w:w="40"/>
              <w:left w:type="dxa" w:w="80"/>
              <w:bottom w:type="dxa" w:w="40"/>
              <w:right w:type="dxa" w:w="80"/>
            </w:tcMar>
          </w:tcPr>
          <w:p>
            <w:pPr>
              <w:spacing w:after="0"/>
              <w:jc w:val="center"/>
            </w:pPr>
            <w:r>
              <w:rPr>
                <w:rFonts w:ascii="Arial" w:cs="Arial" w:eastAsia="Arial" w:hAnsi="Arial"/>
                <w:b/>
                <w:bCs/>
                <w:sz w:val="17"/>
                <w:szCs w:val="17"/>
              </w:rPr>
              <w:t xml:space="preserve">1 397 €</w:t>
            </w:r>
          </w:p>
        </w:tc>
      </w:tr>
    </w:tbl>
    <w:p>
      <w:pPr>
        <w:pStyle w:val="Heading3"/>
        <w:spacing w:after="70" w:before="160"/>
      </w:pPr>
      <w:r>
        <w:rPr>
          <w:rFonts w:ascii="Arial" w:cs="Arial" w:eastAsia="Arial" w:hAnsi="Arial"/>
          <w:b/>
          <w:bCs/>
          <w:color w:val="0F4761"/>
          <w:sz w:val="20"/>
          <w:szCs w:val="20"/>
        </w:rPr>
        <w:t xml:space="preserve">5.1 Comment lire chaque indicateur</w:t>
      </w:r>
    </w:p>
    <w:p>
      <w:pPr>
        <w:pStyle w:val="ListParagraph"/>
        <w:numPr>
          <w:ilvl w:val="0"/>
          <w:numId w:val="1"/>
        </w:numPr>
        <w:spacing w:after="70"/>
        <w:jc w:val="both"/>
      </w:pPr>
      <w:r>
        <w:rPr>
          <w:rFonts w:ascii="Arial" w:cs="Arial" w:eastAsia="Arial" w:hAnsi="Arial"/>
          <w:b/>
          <w:bCs/>
          <w:sz w:val="18"/>
          <w:szCs w:val="18"/>
        </w:rPr>
        <w:t xml:space="preserve">Capacité conseillée</w:t>
      </w:r>
      <w:r>
        <w:rPr>
          <w:rFonts w:ascii="Arial" w:cs="Arial" w:eastAsia="Arial" w:hAnsi="Arial"/>
          <w:sz w:val="18"/>
          <w:szCs w:val="18"/>
        </w:rPr>
        <w:t xml:space="preserve"> — le meilleur compromis entre énergie captée et investissement, au sens de la valeur actuelle nette. Ce n'est pas la capacité qui stocke le plus.</w:t>
      </w:r>
    </w:p>
    <w:p>
      <w:pPr>
        <w:pStyle w:val="ListParagraph"/>
        <w:numPr>
          <w:ilvl w:val="0"/>
          <w:numId w:val="1"/>
        </w:numPr>
        <w:spacing w:after="70"/>
        <w:jc w:val="both"/>
      </w:pPr>
      <w:r>
        <w:rPr>
          <w:rFonts w:ascii="Arial" w:cs="Arial" w:eastAsia="Arial" w:hAnsi="Arial"/>
          <w:b/>
          <w:bCs/>
          <w:sz w:val="18"/>
          <w:szCs w:val="18"/>
        </w:rPr>
        <w:t xml:space="preserve">Énergie valorisée</w:t>
      </w:r>
      <w:r>
        <w:rPr>
          <w:rFonts w:ascii="Arial" w:cs="Arial" w:eastAsia="Arial" w:hAnsi="Arial"/>
          <w:sz w:val="18"/>
          <w:szCs w:val="18"/>
        </w:rPr>
        <w:t xml:space="preserve"> — les kilowattheures réellement détournés du réseau la première année. Ils sont bornés à la fois par l'injection disponible et par ce que la batterie peut absorber.</w:t>
      </w:r>
    </w:p>
    <w:p>
      <w:pPr>
        <w:pStyle w:val="ListParagraph"/>
        <w:numPr>
          <w:ilvl w:val="0"/>
          <w:numId w:val="1"/>
        </w:numPr>
        <w:spacing w:after="70"/>
        <w:jc w:val="both"/>
      </w:pPr>
      <w:r>
        <w:rPr>
          <w:rFonts w:ascii="Arial" w:cs="Arial" w:eastAsia="Arial" w:hAnsi="Arial"/>
          <w:b/>
          <w:bCs/>
          <w:sz w:val="18"/>
          <w:szCs w:val="18"/>
        </w:rPr>
        <w:t xml:space="preserve">Gain année 1</w:t>
      </w:r>
      <w:r>
        <w:rPr>
          <w:rFonts w:ascii="Arial" w:cs="Arial" w:eastAsia="Arial" w:hAnsi="Arial"/>
          <w:sz w:val="18"/>
          <w:szCs w:val="18"/>
        </w:rPr>
        <w:t xml:space="preserve"> — l'énergie valorisée multipliée par l'écart entre prix d'achat et prix de revente.</w:t>
      </w:r>
    </w:p>
    <w:p>
      <w:pPr>
        <w:pStyle w:val="ListParagraph"/>
        <w:numPr>
          <w:ilvl w:val="0"/>
          <w:numId w:val="1"/>
        </w:numPr>
        <w:spacing w:after="70"/>
        <w:jc w:val="both"/>
      </w:pPr>
      <w:r>
        <w:rPr>
          <w:rFonts w:ascii="Arial" w:cs="Arial" w:eastAsia="Arial" w:hAnsi="Arial"/>
          <w:b/>
          <w:bCs/>
          <w:sz w:val="18"/>
          <w:szCs w:val="18"/>
        </w:rPr>
        <w:t xml:space="preserve">Retour sur investissement</w:t>
      </w:r>
      <w:r>
        <w:rPr>
          <w:rFonts w:ascii="Arial" w:cs="Arial" w:eastAsia="Arial" w:hAnsi="Arial"/>
          <w:sz w:val="18"/>
          <w:szCs w:val="18"/>
        </w:rPr>
        <w:t xml:space="preserve"> — première année où le gain cumulé dépasse le coût de la batterie. « Non atteint » signifie que cela ne survient jamais dans la durée retenue, ce qui est en soi une réponse.</w:t>
      </w:r>
    </w:p>
    <w:p>
      <w:pPr>
        <w:pStyle w:val="ListParagraph"/>
        <w:numPr>
          <w:ilvl w:val="0"/>
          <w:numId w:val="1"/>
        </w:numPr>
        <w:spacing w:after="70"/>
        <w:jc w:val="both"/>
      </w:pPr>
      <w:r>
        <w:rPr>
          <w:rFonts w:ascii="Arial" w:cs="Arial" w:eastAsia="Arial" w:hAnsi="Arial"/>
          <w:b/>
          <w:bCs/>
          <w:sz w:val="18"/>
          <w:szCs w:val="18"/>
        </w:rPr>
        <w:t xml:space="preserve">Valeur actuelle nette</w:t>
      </w:r>
      <w:r>
        <w:rPr>
          <w:rFonts w:ascii="Arial" w:cs="Arial" w:eastAsia="Arial" w:hAnsi="Arial"/>
          <w:sz w:val="18"/>
          <w:szCs w:val="18"/>
        </w:rPr>
        <w:t xml:space="preserve"> — valeur créée, actualisée, nette du coût de la batterie. Négative, la batterie coûte plus qu'elle ne rapporte.</w:t>
      </w:r>
    </w:p>
    <w:p>
      <w:pPr>
        <w:pStyle w:val="Heading2"/>
        <w:spacing w:after="100" w:before="260"/>
      </w:pPr>
      <w:r>
        <w:rPr>
          <w:rFonts w:ascii="Arial" w:cs="Arial" w:eastAsia="Arial" w:hAnsi="Arial"/>
          <w:b/>
          <w:bCs/>
          <w:color w:val="0F4761"/>
          <w:sz w:val="22"/>
          <w:szCs w:val="22"/>
        </w:rPr>
        <w:t xml:space="preserve">6. Formules et paliers de valorisation</w:t>
      </w:r>
    </w:p>
    <w:p>
      <w:pPr>
        <w:pBdr>
          <w:left w:val="single" w:color="0F4761" w:sz="12" w:space="4"/>
        </w:pBdr>
        <w:shd w:fill="F4F9FC" w:val="clear"/>
        <w:spacing w:after="40"/>
      </w:pPr>
      <w:r>
        <w:rPr>
          <w:rFonts w:ascii="Consolas" w:cs="Consolas" w:eastAsia="Consolas" w:hAnsi="Consolas"/>
          <w:sz w:val="17"/>
          <w:szCs w:val="17"/>
        </w:rPr>
        <w:t xml:space="preserve">kWh valorisés = min( injection réseau , plafond du palier de capacité )</w:t>
      </w:r>
    </w:p>
    <w:p>
      <w:pPr>
        <w:pBdr>
          <w:left w:val="single" w:color="0F4761" w:sz="12" w:space="4"/>
        </w:pBdr>
        <w:shd w:fill="F4F9FC" w:val="clear"/>
        <w:spacing w:after="40"/>
      </w:pPr>
      <w:r>
        <w:rPr>
          <w:rFonts w:ascii="Consolas" w:cs="Consolas" w:eastAsia="Consolas" w:hAnsi="Consolas"/>
          <w:sz w:val="17"/>
          <w:szCs w:val="17"/>
        </w:rPr>
        <w:t xml:space="preserve">Énergie(t) = kWh valorisés × (1 − dégradation)^(t−1)</w:t>
      </w:r>
    </w:p>
    <w:p>
      <w:pPr>
        <w:pBdr>
          <w:left w:val="single" w:color="0F4761" w:sz="12" w:space="4"/>
        </w:pBdr>
        <w:shd w:fill="F4F9FC" w:val="clear"/>
        <w:spacing w:after="40"/>
      </w:pPr>
      <w:r>
        <w:rPr>
          <w:rFonts w:ascii="Consolas" w:cs="Consolas" w:eastAsia="Consolas" w:hAnsi="Consolas"/>
          <w:sz w:val="17"/>
          <w:szCs w:val="17"/>
        </w:rPr>
        <w:t xml:space="preserve">Prix achat(t) = prix achat × (1 + hausse)^(t−1)</w:t>
      </w:r>
    </w:p>
    <w:p>
      <w:pPr>
        <w:pBdr>
          <w:left w:val="single" w:color="0F4761" w:sz="12" w:space="4"/>
        </w:pBdr>
        <w:shd w:fill="F4F9FC" w:val="clear"/>
        <w:spacing w:after="40"/>
      </w:pPr>
      <w:r>
        <w:rPr>
          <w:rFonts w:ascii="Consolas" w:cs="Consolas" w:eastAsia="Consolas" w:hAnsi="Consolas"/>
          <w:sz w:val="17"/>
          <w:szCs w:val="17"/>
        </w:rPr>
        <w:t xml:space="preserve">Gain(t) = Énergie(t) × ( Prix achat(t) − prix de revente )</w:t>
      </w:r>
    </w:p>
    <w:p>
      <w:pPr>
        <w:pBdr>
          <w:left w:val="single" w:color="0F4761" w:sz="12" w:space="4"/>
        </w:pBdr>
        <w:shd w:fill="F4F9FC" w:val="clear"/>
        <w:spacing w:after="40"/>
      </w:pPr>
      <w:r>
        <w:rPr>
          <w:rFonts w:ascii="Consolas" w:cs="Consolas" w:eastAsia="Consolas" w:hAnsi="Consolas"/>
          <w:sz w:val="17"/>
          <w:szCs w:val="17"/>
        </w:rPr>
        <w:t xml:space="preserve">VAN = −Coût batterie + Σ Gain(t) / (1 + taux d'actualisation)^t</w:t>
      </w:r>
    </w:p>
    <w:p>
      <w:pPr>
        <w:pBdr>
          <w:left w:val="single" w:color="0F4761" w:sz="12" w:space="4"/>
        </w:pBdr>
        <w:shd w:fill="F4F9FC" w:val="clear"/>
        <w:spacing w:after="40"/>
      </w:pPr>
      <w:r>
        <w:rPr>
          <w:rFonts w:ascii="Consolas" w:cs="Consolas" w:eastAsia="Consolas" w:hAnsi="Consolas"/>
          <w:sz w:val="17"/>
          <w:szCs w:val="17"/>
        </w:rPr>
        <w:t xml:space="preserve">ROI = première année où Σ Gain ≥ coût de la batterie</w:t>
      </w:r>
    </w:p>
    <w:p>
      <w:pPr>
        <w:spacing w:after="120" w:line="264"/>
        <w:jc w:val="both"/>
      </w:pPr>
      <w:r>
        <w:rPr>
          <w:rFonts w:ascii="Arial" w:cs="Arial" w:eastAsia="Arial" w:hAnsi="Arial"/>
          <w:sz w:val="20"/>
          <w:szCs w:val="20"/>
        </w:rPr>
        <w:t xml:space="preserve">Les paliers de valorisation plafonnent l'énergie qu'une capacité donnée peut absorber dans l'année, indépendamment de l'injection disponible :</w:t>
      </w:r>
    </w:p>
    <w:tbl>
      <w:tblPr>
        <w:tblW w:type="dxa" w:w="10426"/>
        <w:tblBorders>
          <w:top w:val="single" w:color="9DB8C9" w:sz="4"/>
          <w:left w:val="single" w:color="9DB8C9" w:sz="4"/>
          <w:bottom w:val="single" w:color="9DB8C9" w:sz="4"/>
          <w:right w:val="single" w:color="9DB8C9" w:sz="4"/>
          <w:insideH w:val="single" w:color="9DB8C9" w:sz="4"/>
          <w:insideV w:val="single" w:color="9DB8C9" w:sz="4"/>
        </w:tblBorders>
      </w:tblPr>
      <w:tblGrid>
        <w:gridCol w:w="5213"/>
        <w:gridCol w:w="5213"/>
      </w:tblGrid>
      <w:tr>
        <w:trPr>
          <w:tblHeader/>
        </w:trPr>
        <w:tc>
          <w:tcPr>
            <w:tcW w:type="dxa" w:w="5213"/>
            <w:shd w:fill="DEEBF7" w:val="clear"/>
            <w:tcMar>
              <w:top w:type="dxa" w:w="40"/>
              <w:left w:type="dxa" w:w="80"/>
              <w:bottom w:type="dxa" w:w="40"/>
              <w:right w:type="dxa" w:w="80"/>
            </w:tcMar>
          </w:tcPr>
          <w:p>
            <w:pPr>
              <w:spacing w:after="0"/>
              <w:jc w:val="left"/>
            </w:pPr>
            <w:r>
              <w:rPr>
                <w:rFonts w:ascii="Arial" w:cs="Arial" w:eastAsia="Arial" w:hAnsi="Arial"/>
                <w:b/>
                <w:bCs/>
                <w:color w:val="0F4761"/>
                <w:sz w:val="17"/>
                <w:szCs w:val="17"/>
              </w:rPr>
              <w:t xml:space="preserve">Capacité</w:t>
            </w:r>
          </w:p>
        </w:tc>
        <w:tc>
          <w:tcPr>
            <w:tcW w:type="dxa" w:w="5213"/>
            <w:shd w:fill="DEEBF7" w:val="clear"/>
            <w:tcMar>
              <w:top w:type="dxa" w:w="40"/>
              <w:left w:type="dxa" w:w="80"/>
              <w:bottom w:type="dxa" w:w="40"/>
              <w:right w:type="dxa" w:w="80"/>
            </w:tcMar>
          </w:tcPr>
          <w:p>
            <w:pPr>
              <w:spacing w:after="0"/>
              <w:jc w:val="center"/>
            </w:pPr>
            <w:r>
              <w:rPr>
                <w:rFonts w:ascii="Arial" w:cs="Arial" w:eastAsia="Arial" w:hAnsi="Arial"/>
                <w:b/>
                <w:bCs/>
                <w:color w:val="0F4761"/>
                <w:sz w:val="17"/>
                <w:szCs w:val="17"/>
              </w:rPr>
              <w:t xml:space="preserve">Plafond d'énergie valorisable</w:t>
            </w:r>
          </w:p>
        </w:tc>
      </w:tr>
      <w:tr>
        <w:tc>
          <w:tcPr>
            <w:tcW w:type="dxa" w:w="5213"/>
            <w:tcMar>
              <w:top w:type="dxa" w:w="40"/>
              <w:left w:type="dxa" w:w="80"/>
              <w:bottom w:type="dxa" w:w="40"/>
              <w:right w:type="dxa" w:w="80"/>
            </w:tcMar>
          </w:tcPr>
          <w:p>
            <w:pPr>
              <w:spacing w:after="0"/>
              <w:jc w:val="left"/>
            </w:pPr>
            <w:r>
              <w:rPr>
                <w:rFonts w:ascii="Arial" w:cs="Arial" w:eastAsia="Arial" w:hAnsi="Arial"/>
                <w:sz w:val="17"/>
                <w:szCs w:val="17"/>
              </w:rPr>
              <w:t xml:space="preserve">jusqu'à 5 kWh</w:t>
            </w:r>
          </w:p>
        </w:tc>
        <w:tc>
          <w:tcPr>
            <w:tcW w:type="dxa" w:w="5213"/>
            <w:tcMar>
              <w:top w:type="dxa" w:w="40"/>
              <w:left w:type="dxa" w:w="80"/>
              <w:bottom w:type="dxa" w:w="40"/>
              <w:right w:type="dxa" w:w="80"/>
            </w:tcMar>
          </w:tcPr>
          <w:p>
            <w:pPr>
              <w:spacing w:after="0"/>
              <w:jc w:val="center"/>
            </w:pPr>
            <w:r>
              <w:rPr>
                <w:rFonts w:ascii="Arial" w:cs="Arial" w:eastAsia="Arial" w:hAnsi="Arial"/>
                <w:b/>
                <w:bCs/>
                <w:sz w:val="17"/>
                <w:szCs w:val="17"/>
              </w:rPr>
              <w:t xml:space="preserve">1 500 kWh/an</w:t>
            </w:r>
          </w:p>
        </w:tc>
      </w:tr>
      <w:tr>
        <w:tc>
          <w:tcPr>
            <w:tcW w:type="dxa" w:w="5213"/>
            <w:shd w:fill="F4F9FC" w:val="clear"/>
            <w:tcMar>
              <w:top w:type="dxa" w:w="40"/>
              <w:left w:type="dxa" w:w="80"/>
              <w:bottom w:type="dxa" w:w="40"/>
              <w:right w:type="dxa" w:w="80"/>
            </w:tcMar>
          </w:tcPr>
          <w:p>
            <w:pPr>
              <w:spacing w:after="0"/>
              <w:jc w:val="left"/>
            </w:pPr>
            <w:r>
              <w:rPr>
                <w:rFonts w:ascii="Arial" w:cs="Arial" w:eastAsia="Arial" w:hAnsi="Arial"/>
                <w:sz w:val="17"/>
                <w:szCs w:val="17"/>
              </w:rPr>
              <w:t xml:space="preserve">jusqu'à 10 kWh</w:t>
            </w:r>
          </w:p>
        </w:tc>
        <w:tc>
          <w:tcPr>
            <w:tcW w:type="dxa" w:w="5213"/>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2 500 kWh/an</w:t>
            </w:r>
          </w:p>
        </w:tc>
      </w:tr>
      <w:tr>
        <w:tc>
          <w:tcPr>
            <w:tcW w:type="dxa" w:w="5213"/>
            <w:tcMar>
              <w:top w:type="dxa" w:w="40"/>
              <w:left w:type="dxa" w:w="80"/>
              <w:bottom w:type="dxa" w:w="40"/>
              <w:right w:type="dxa" w:w="80"/>
            </w:tcMar>
          </w:tcPr>
          <w:p>
            <w:pPr>
              <w:spacing w:after="0"/>
              <w:jc w:val="left"/>
            </w:pPr>
            <w:r>
              <w:rPr>
                <w:rFonts w:ascii="Arial" w:cs="Arial" w:eastAsia="Arial" w:hAnsi="Arial"/>
                <w:sz w:val="17"/>
                <w:szCs w:val="17"/>
              </w:rPr>
              <w:t xml:space="preserve">jusqu'à 13,5 kWh</w:t>
            </w:r>
          </w:p>
        </w:tc>
        <w:tc>
          <w:tcPr>
            <w:tcW w:type="dxa" w:w="5213"/>
            <w:tcMar>
              <w:top w:type="dxa" w:w="40"/>
              <w:left w:type="dxa" w:w="80"/>
              <w:bottom w:type="dxa" w:w="40"/>
              <w:right w:type="dxa" w:w="80"/>
            </w:tcMar>
          </w:tcPr>
          <w:p>
            <w:pPr>
              <w:spacing w:after="0"/>
              <w:jc w:val="center"/>
            </w:pPr>
            <w:r>
              <w:rPr>
                <w:rFonts w:ascii="Arial" w:cs="Arial" w:eastAsia="Arial" w:hAnsi="Arial"/>
                <w:b/>
                <w:bCs/>
                <w:sz w:val="17"/>
                <w:szCs w:val="17"/>
              </w:rPr>
              <w:t xml:space="preserve">3 200 kWh/an</w:t>
            </w:r>
          </w:p>
        </w:tc>
      </w:tr>
      <w:tr>
        <w:tc>
          <w:tcPr>
            <w:tcW w:type="dxa" w:w="5213"/>
            <w:shd w:fill="F4F9FC" w:val="clear"/>
            <w:tcMar>
              <w:top w:type="dxa" w:w="40"/>
              <w:left w:type="dxa" w:w="80"/>
              <w:bottom w:type="dxa" w:w="40"/>
              <w:right w:type="dxa" w:w="80"/>
            </w:tcMar>
          </w:tcPr>
          <w:p>
            <w:pPr>
              <w:spacing w:after="0"/>
              <w:jc w:val="left"/>
            </w:pPr>
            <w:r>
              <w:rPr>
                <w:rFonts w:ascii="Arial" w:cs="Arial" w:eastAsia="Arial" w:hAnsi="Arial"/>
                <w:sz w:val="17"/>
                <w:szCs w:val="17"/>
              </w:rPr>
              <w:t xml:space="preserve">jusqu'à 15 kWh</w:t>
            </w:r>
          </w:p>
        </w:tc>
        <w:tc>
          <w:tcPr>
            <w:tcW w:type="dxa" w:w="5213"/>
            <w:shd w:fill="F4F9FC" w:val="clear"/>
            <w:tcMar>
              <w:top w:type="dxa" w:w="40"/>
              <w:left w:type="dxa" w:w="80"/>
              <w:bottom w:type="dxa" w:w="40"/>
              <w:right w:type="dxa" w:w="80"/>
            </w:tcMar>
          </w:tcPr>
          <w:p>
            <w:pPr>
              <w:spacing w:after="0"/>
              <w:jc w:val="center"/>
            </w:pPr>
            <w:r>
              <w:rPr>
                <w:rFonts w:ascii="Arial" w:cs="Arial" w:eastAsia="Arial" w:hAnsi="Arial"/>
                <w:b/>
                <w:bCs/>
                <w:sz w:val="17"/>
                <w:szCs w:val="17"/>
              </w:rPr>
              <w:t xml:space="preserve">3 500 kWh/an</w:t>
            </w:r>
          </w:p>
        </w:tc>
      </w:tr>
      <w:tr>
        <w:tc>
          <w:tcPr>
            <w:tcW w:type="dxa" w:w="5213"/>
            <w:tcMar>
              <w:top w:type="dxa" w:w="40"/>
              <w:left w:type="dxa" w:w="80"/>
              <w:bottom w:type="dxa" w:w="40"/>
              <w:right w:type="dxa" w:w="80"/>
            </w:tcMar>
          </w:tcPr>
          <w:p>
            <w:pPr>
              <w:spacing w:after="0"/>
              <w:jc w:val="left"/>
            </w:pPr>
            <w:r>
              <w:rPr>
                <w:rFonts w:ascii="Arial" w:cs="Arial" w:eastAsia="Arial" w:hAnsi="Arial"/>
                <w:sz w:val="17"/>
                <w:szCs w:val="17"/>
              </w:rPr>
              <w:t xml:space="preserve">au-delà de 15 kWh</w:t>
            </w:r>
          </w:p>
        </w:tc>
        <w:tc>
          <w:tcPr>
            <w:tcW w:type="dxa" w:w="5213"/>
            <w:tcMar>
              <w:top w:type="dxa" w:w="40"/>
              <w:left w:type="dxa" w:w="80"/>
              <w:bottom w:type="dxa" w:w="40"/>
              <w:right w:type="dxa" w:w="80"/>
            </w:tcMar>
          </w:tcPr>
          <w:p>
            <w:pPr>
              <w:spacing w:after="0"/>
              <w:jc w:val="center"/>
            </w:pPr>
            <w:r>
              <w:rPr>
                <w:rFonts w:ascii="Arial" w:cs="Arial" w:eastAsia="Arial" w:hAnsi="Arial"/>
                <w:b/>
                <w:bCs/>
                <w:sz w:val="17"/>
                <w:szCs w:val="17"/>
              </w:rPr>
              <w:t xml:space="preserve">4 500 kWh/an</w:t>
            </w:r>
          </w:p>
        </w:tc>
      </w:tr>
    </w:tbl>
    <w:p>
      <w:pPr>
        <w:spacing w:after="120" w:line="264"/>
        <w:jc w:val="both"/>
      </w:pPr>
      <w:r>
        <w:rPr>
          <w:rFonts w:ascii="Arial" w:cs="Arial" w:eastAsia="Arial" w:hAnsi="Arial"/>
          <w:sz w:val="20"/>
          <w:szCs w:val="20"/>
        </w:rPr>
        <w:t xml:space="preserve">Ces paliers traduisent le fait qu'une batterie ne réalise qu'un cycle utile par jour environ, et qu'elle ne peut pas absorber tout le surplus d'une journée d'été. Ils constituent des hypothèses à valider : si vous disposez d'une simulation horaire ou de données de terrain, ils doivent être remplacés par vos propres valeurs.</w:t>
      </w:r>
    </w:p>
    <w:p>
      <w:r>
        <w:br w:type="page"/>
      </w:r>
    </w:p>
    <w:p>
      <w:pPr>
        <w:pStyle w:val="Heading2"/>
        <w:spacing w:after="100" w:before="260"/>
      </w:pPr>
      <w:r>
        <w:rPr>
          <w:rFonts w:ascii="Arial" w:cs="Arial" w:eastAsia="Arial" w:hAnsi="Arial"/>
          <w:b/>
          <w:bCs/>
          <w:color w:val="0F4761"/>
          <w:sz w:val="22"/>
          <w:szCs w:val="22"/>
        </w:rPr>
        <w:t xml:space="preserve">7. Limites du modèle</w:t>
      </w:r>
    </w:p>
    <w:p>
      <w:pPr>
        <w:pStyle w:val="ListParagraph"/>
        <w:numPr>
          <w:ilvl w:val="0"/>
          <w:numId w:val="1"/>
        </w:numPr>
        <w:spacing w:after="70"/>
        <w:jc w:val="both"/>
      </w:pPr>
      <w:r>
        <w:rPr>
          <w:rFonts w:ascii="Arial" w:cs="Arial" w:eastAsia="Arial" w:hAnsi="Arial"/>
          <w:b/>
          <w:bCs/>
          <w:sz w:val="18"/>
          <w:szCs w:val="18"/>
        </w:rPr>
        <w:t xml:space="preserve">Les champs « Production PV » et « Consommation » ne sont pas utilisés dans le calcul.</w:t>
      </w:r>
      <w:r>
        <w:rPr>
          <w:rFonts w:ascii="Arial" w:cs="Arial" w:eastAsia="Arial" w:hAnsi="Arial"/>
          <w:sz w:val="18"/>
          <w:szCs w:val="18"/>
        </w:rPr>
        <w:t xml:space="preserve"> Ils servent uniquement de repère de saisie ; seule l'injection réseau pilote le résultat.</w:t>
      </w:r>
    </w:p>
    <w:p>
      <w:pPr>
        <w:pStyle w:val="ListParagraph"/>
        <w:numPr>
          <w:ilvl w:val="0"/>
          <w:numId w:val="1"/>
        </w:numPr>
        <w:spacing w:after="70"/>
        <w:jc w:val="both"/>
      </w:pPr>
      <w:r>
        <w:rPr>
          <w:rFonts w:ascii="Arial" w:cs="Arial" w:eastAsia="Arial" w:hAnsi="Arial"/>
          <w:b/>
          <w:bCs/>
          <w:sz w:val="18"/>
          <w:szCs w:val="18"/>
        </w:rPr>
        <w:t xml:space="preserve">Le coût au prorata est linéaire.</w:t>
      </w:r>
      <w:r>
        <w:rPr>
          <w:rFonts w:ascii="Arial" w:cs="Arial" w:eastAsia="Arial" w:hAnsi="Arial"/>
          <w:sz w:val="18"/>
          <w:szCs w:val="18"/>
        </w:rPr>
        <w:t xml:space="preserve"> Dans la réalité, le coût au kWh décroît avec la capacité et une part du prix est fixe — onduleur hybride, pose, pilotage. Le comparatif défavorise donc légèrement les grandes capacités.</w:t>
      </w:r>
    </w:p>
    <w:p>
      <w:pPr>
        <w:pStyle w:val="ListParagraph"/>
        <w:numPr>
          <w:ilvl w:val="0"/>
          <w:numId w:val="1"/>
        </w:numPr>
        <w:spacing w:after="70"/>
        <w:jc w:val="both"/>
      </w:pPr>
      <w:r>
        <w:rPr>
          <w:rFonts w:ascii="Arial" w:cs="Arial" w:eastAsia="Arial" w:hAnsi="Arial"/>
          <w:b/>
          <w:bCs/>
          <w:sz w:val="18"/>
          <w:szCs w:val="18"/>
        </w:rPr>
        <w:t xml:space="preserve">Aucun rendement de charge et décharge.</w:t>
      </w:r>
      <w:r>
        <w:rPr>
          <w:rFonts w:ascii="Arial" w:cs="Arial" w:eastAsia="Arial" w:hAnsi="Arial"/>
          <w:sz w:val="18"/>
          <w:szCs w:val="18"/>
        </w:rPr>
        <w:t xml:space="preserve"> Une batterie lithium restitue environ 85 à 92 % de l'énergie stockée. Le modèle suppose 100 %, ce qui surestime le gain d'environ 10 %.</w:t>
      </w:r>
    </w:p>
    <w:p>
      <w:pPr>
        <w:pStyle w:val="ListParagraph"/>
        <w:numPr>
          <w:ilvl w:val="0"/>
          <w:numId w:val="1"/>
        </w:numPr>
        <w:spacing w:after="70"/>
        <w:jc w:val="both"/>
      </w:pPr>
      <w:r>
        <w:rPr>
          <w:rFonts w:ascii="Arial" w:cs="Arial" w:eastAsia="Arial" w:hAnsi="Arial"/>
          <w:b/>
          <w:bCs/>
          <w:sz w:val="18"/>
          <w:szCs w:val="18"/>
        </w:rPr>
        <w:t xml:space="preserve">Aucun remplacement de batterie</w:t>
      </w:r>
      <w:r>
        <w:rPr>
          <w:rFonts w:ascii="Arial" w:cs="Arial" w:eastAsia="Arial" w:hAnsi="Arial"/>
          <w:sz w:val="18"/>
          <w:szCs w:val="18"/>
        </w:rPr>
        <w:t xml:space="preserve"> ni coût de fin de vie sur la durée retenue.</w:t>
      </w:r>
    </w:p>
    <w:p>
      <w:pPr>
        <w:pStyle w:val="ListParagraph"/>
        <w:numPr>
          <w:ilvl w:val="0"/>
          <w:numId w:val="1"/>
        </w:numPr>
        <w:spacing w:after="70"/>
        <w:jc w:val="both"/>
      </w:pPr>
      <w:r>
        <w:rPr>
          <w:rFonts w:ascii="Arial" w:cs="Arial" w:eastAsia="Arial" w:hAnsi="Arial"/>
          <w:b/>
          <w:bCs/>
          <w:sz w:val="18"/>
          <w:szCs w:val="18"/>
        </w:rPr>
        <w:t xml:space="preserve">Le prix de revente n'est pas indexé</w:t>
      </w:r>
      <w:r>
        <w:rPr>
          <w:rFonts w:ascii="Arial" w:cs="Arial" w:eastAsia="Arial" w:hAnsi="Arial"/>
          <w:sz w:val="18"/>
          <w:szCs w:val="18"/>
        </w:rPr>
        <w:t xml:space="preserve">, alors que le prix d'achat l'est. C'est une hypothèse implicitement favorable à la batterie.</w:t>
      </w:r>
    </w:p>
    <w:p>
      <w:pPr>
        <w:pStyle w:val="ListParagraph"/>
        <w:numPr>
          <w:ilvl w:val="0"/>
          <w:numId w:val="1"/>
        </w:numPr>
        <w:spacing w:after="70"/>
        <w:jc w:val="both"/>
      </w:pPr>
      <w:r>
        <w:rPr>
          <w:rFonts w:ascii="Arial" w:cs="Arial" w:eastAsia="Arial" w:hAnsi="Arial"/>
          <w:b/>
          <w:bCs/>
          <w:sz w:val="18"/>
          <w:szCs w:val="18"/>
        </w:rPr>
        <w:t xml:space="preserve">Raisonnement annuel</w:t>
      </w:r>
      <w:r>
        <w:rPr>
          <w:rFonts w:ascii="Arial" w:cs="Arial" w:eastAsia="Arial" w:hAnsi="Arial"/>
          <w:sz w:val="18"/>
          <w:szCs w:val="18"/>
        </w:rPr>
        <w:t xml:space="preserve">, sans courbe de charge : les paliers remplacent une simulation au pas horaire.</w:t>
      </w:r>
    </w:p>
    <w:p>
      <w:pPr>
        <w:pStyle w:val="ListParagraph"/>
        <w:numPr>
          <w:ilvl w:val="0"/>
          <w:numId w:val="1"/>
        </w:numPr>
        <w:spacing w:after="70"/>
        <w:jc w:val="both"/>
      </w:pPr>
      <w:r>
        <w:rPr>
          <w:rFonts w:ascii="Arial" w:cs="Arial" w:eastAsia="Arial" w:hAnsi="Arial"/>
          <w:b/>
          <w:bCs/>
          <w:sz w:val="18"/>
          <w:szCs w:val="18"/>
        </w:rPr>
        <w:t xml:space="preserve">Aucun autre revenu</w:t>
      </w:r>
      <w:r>
        <w:rPr>
          <w:rFonts w:ascii="Arial" w:cs="Arial" w:eastAsia="Arial" w:hAnsi="Arial"/>
          <w:sz w:val="18"/>
          <w:szCs w:val="18"/>
        </w:rPr>
        <w:t xml:space="preserve"> : ni effacement, ni participation à un mécanisme de flexibilité, ni secours en cas de coupure — un service qui a de la valeur mais ne se chiffre pas ici.</w:t>
      </w:r>
    </w:p>
    <w:p>
      <w:pPr>
        <w:pStyle w:val="Heading2"/>
        <w:spacing w:after="100" w:before="260"/>
      </w:pPr>
      <w:r>
        <w:rPr>
          <w:rFonts w:ascii="Arial" w:cs="Arial" w:eastAsia="Arial" w:hAnsi="Arial"/>
          <w:b/>
          <w:bCs/>
          <w:color w:val="0F4761"/>
          <w:sz w:val="22"/>
          <w:szCs w:val="22"/>
        </w:rPr>
        <w:t xml:space="preserve">8. Refaire ou ajuster cette simulation</w:t>
      </w:r>
    </w:p>
    <w:p>
      <w:pPr>
        <w:spacing w:after="120" w:line="264"/>
        <w:jc w:val="both"/>
      </w:pPr>
      <w:r>
        <w:rPr>
          <w:rFonts w:ascii="Arial" w:cs="Arial" w:eastAsia="Arial" w:hAnsi="Arial"/>
          <w:sz w:val="20"/>
          <w:szCs w:val="20"/>
        </w:rPr>
        <w:t xml:space="preserve">Ce rapport est produit par le simulateur de stockage de Soleil Beaujolais, un fichier HTML autonome qui s'ouvre dans n'importe quel navigateur. La marche à suivre pour produire une nouvelle version :</w:t>
      </w:r>
    </w:p>
    <w:p>
      <w:pPr>
        <w:pStyle w:val="ListParagraph"/>
        <w:numPr>
          <w:ilvl w:val="0"/>
          <w:numId w:val="1"/>
        </w:numPr>
        <w:spacing w:after="70"/>
        <w:jc w:val="both"/>
      </w:pPr>
      <w:r>
        <w:rPr>
          <w:rFonts w:ascii="Arial" w:cs="Arial" w:eastAsia="Arial" w:hAnsi="Arial"/>
          <w:b/>
          <w:bCs/>
          <w:sz w:val="18"/>
          <w:szCs w:val="18"/>
        </w:rPr>
        <w:t xml:space="preserve">1. </w:t>
      </w:r>
      <w:r>
        <w:rPr>
          <w:rFonts w:ascii="Arial" w:cs="Arial" w:eastAsia="Arial" w:hAnsi="Arial"/>
          <w:sz w:val="18"/>
          <w:szCs w:val="18"/>
        </w:rPr>
        <w:t xml:space="preserve">Saisir l'injection réseau réelle : c'est le seul paramètre énergétique qui pilote le calcul. Relever l'index d'injection du compteur ou la facture de revente.</w:t>
      </w:r>
    </w:p>
    <w:p>
      <w:pPr>
        <w:pStyle w:val="ListParagraph"/>
        <w:numPr>
          <w:ilvl w:val="0"/>
          <w:numId w:val="1"/>
        </w:numPr>
        <w:spacing w:after="70"/>
        <w:jc w:val="both"/>
      </w:pPr>
      <w:r>
        <w:rPr>
          <w:rFonts w:ascii="Arial" w:cs="Arial" w:eastAsia="Arial" w:hAnsi="Arial"/>
          <w:b/>
          <w:bCs/>
          <w:sz w:val="18"/>
          <w:szCs w:val="18"/>
        </w:rPr>
        <w:t xml:space="preserve">2. </w:t>
      </w:r>
      <w:r>
        <w:rPr>
          <w:rFonts w:ascii="Arial" w:cs="Arial" w:eastAsia="Arial" w:hAnsi="Arial"/>
          <w:sz w:val="18"/>
          <w:szCs w:val="18"/>
        </w:rPr>
        <w:t xml:space="preserve">Renseigner les deux prix — achat et revente — d'après la facture et le contrat d'achat en vigueur.</w:t>
      </w:r>
    </w:p>
    <w:p>
      <w:pPr>
        <w:pStyle w:val="ListParagraph"/>
        <w:numPr>
          <w:ilvl w:val="0"/>
          <w:numId w:val="1"/>
        </w:numPr>
        <w:spacing w:after="70"/>
        <w:jc w:val="both"/>
      </w:pPr>
      <w:r>
        <w:rPr>
          <w:rFonts w:ascii="Arial" w:cs="Arial" w:eastAsia="Arial" w:hAnsi="Arial"/>
          <w:b/>
          <w:bCs/>
          <w:sz w:val="18"/>
          <w:szCs w:val="18"/>
        </w:rPr>
        <w:t xml:space="preserve">3. </w:t>
      </w:r>
      <w:r>
        <w:rPr>
          <w:rFonts w:ascii="Arial" w:cs="Arial" w:eastAsia="Arial" w:hAnsi="Arial"/>
          <w:sz w:val="18"/>
          <w:szCs w:val="18"/>
        </w:rPr>
        <w:t xml:space="preserve">Caler le coût sur un devis réel, ramené à la référence de 13,5 kWh. Exemple : 4 000 € pour 10 kWh donnent 4 000 × 13,5 / 10 = 5 400 € à saisir.</w:t>
      </w:r>
    </w:p>
    <w:p>
      <w:pPr>
        <w:pStyle w:val="ListParagraph"/>
        <w:numPr>
          <w:ilvl w:val="0"/>
          <w:numId w:val="1"/>
        </w:numPr>
        <w:spacing w:after="70"/>
        <w:jc w:val="both"/>
      </w:pPr>
      <w:r>
        <w:rPr>
          <w:rFonts w:ascii="Arial" w:cs="Arial" w:eastAsia="Arial" w:hAnsi="Arial"/>
          <w:b/>
          <w:bCs/>
          <w:sz w:val="18"/>
          <w:szCs w:val="18"/>
        </w:rPr>
        <w:t xml:space="preserve">4. </w:t>
      </w:r>
      <w:r>
        <w:rPr>
          <w:rFonts w:ascii="Arial" w:cs="Arial" w:eastAsia="Arial" w:hAnsi="Arial"/>
          <w:sz w:val="18"/>
          <w:szCs w:val="18"/>
        </w:rPr>
        <w:t xml:space="preserve">Corriger la durée de vie et la dégradation. Les valeurs par défaut, 20 ans et 1 %/an, sont favorables : refaire le calcul avec 12 ans et 3 %/an pour une lecture prudente. L'écart entre les deux scénarios est souvent plus instructif que le résultat lui-même.</w:t>
      </w:r>
    </w:p>
    <w:p>
      <w:pPr>
        <w:spacing w:after="120" w:line="264"/>
        <w:jc w:val="both"/>
      </w:pPr>
      <w:r>
        <w:rPr>
          <w:rFonts w:ascii="Arial" w:cs="Arial" w:eastAsia="Arial" w:hAnsi="Arial"/>
          <w:b/>
          <w:bCs/>
          <w:sz w:val="18"/>
          <w:szCs w:val="18"/>
        </w:rPr>
        <w:t xml:space="preserve">Manuel complet. </w:t>
      </w:r>
      <w:r>
        <w:rPr>
          <w:rFonts w:ascii="Arial" w:cs="Arial" w:eastAsia="Arial" w:hAnsi="Arial"/>
          <w:sz w:val="18"/>
          <w:szCs w:val="18"/>
        </w:rPr>
        <w:t xml:space="preserve">Chaque paramètre dispose dans le simulateur d'un lien d'aide qui ouvre le manuel d'utilisation à la fiche correspondante. Les explications reprises dans ce rapport en sont extraites : les deux documents disent la même chose.</w:t>
      </w:r>
    </w:p>
    <w:sectPr>
      <w:headerReference w:type="default" r:id="rId7"/>
      <w:footerReference w:type="default" r:id="rId8"/>
      <w:pgSz w:w="11906" w:h="16838" w:orient="portrait"/>
      <w:pgMar w:top="2120" w:right="740" w:bottom="1240" w:left="740"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4761" w:sz="6" w:space="6"/>
      </w:pBdr>
      <w:jc w:val="center"/>
    </w:pPr>
    <w:r>
      <w:rPr>
        <w:rFonts w:ascii="Arial" w:cs="Arial" w:eastAsia="Arial" w:hAnsi="Arial"/>
        <w:b/>
        <w:bCs/>
        <w:color w:val="595959"/>
        <w:sz w:val="22"/>
        <w:szCs w:val="22"/>
      </w:rPr>
      <w:t xml:space="preserve">Soleil Beaujolais — Énergie citoyenne en Beaujolais · soleilbeaujolais.fr</w:t>
    </w:r>
  </w:p>
  <w:p>
    <w:pPr>
      <w:tabs>
        <w:tab w:val="right" w:pos="10426"/>
      </w:tabs>
      <w:spacing w:before="40"/>
    </w:pPr>
    <w:r>
      <w:rPr>
        <w:rFonts w:ascii="Arial" w:cs="Arial" w:eastAsia="Arial" w:hAnsi="Arial"/>
        <w:color w:val="595959"/>
        <w:sz w:val="22"/>
        <w:szCs w:val="22"/>
      </w:rPr>
      <w:t xml:space="preserve">7 septembre 2026</w:t>
    </w:r>
    <w:r>
      <w:tab/>
    </w:r>
    <w:r>
      <w:rPr>
        <w:rFonts w:ascii="Arial" w:cs="Arial" w:eastAsia="Arial" w:hAnsi="Arial"/>
        <w:color w:val="595959"/>
        <w:sz w:val="22"/>
        <w:szCs w:val="22"/>
      </w:rPr>
      <w:fldChar w:fldCharType="begin"/>
      <w:instrText xml:space="preserve">PAGE</w:instrText>
      <w:fldChar w:fldCharType="separate"/>
      <w:fldChar w:fldCharType="end"/>
    </w:r>
    <w:r>
      <w:rPr>
        <w:rFonts w:ascii="Arial" w:cs="Arial" w:eastAsia="Arial" w:hAnsi="Arial"/>
        <w:color w:val="595959"/>
        <w:sz w:val="22"/>
        <w:szCs w:val="22"/>
      </w:rPr>
      <w:t xml:space="preserve"> / </w:t>
    </w:r>
    <w:r>
      <w:rPr>
        <w:rFonts w:ascii="Arial" w:cs="Arial" w:eastAsia="Arial" w:hAnsi="Arial"/>
        <w:color w:val="595959"/>
        <w:sz w:val="22"/>
        <w:szCs w:val="2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26"/>
      <w:tblBorders>
        <w:top w:val="none"/>
        <w:left w:val="none"/>
        <w:bottom w:val="single" w:color="0F4761" w:sz="14"/>
        <w:right w:val="none"/>
        <w:insideH w:val="none"/>
        <w:insideV w:val="none"/>
      </w:tblBorders>
    </w:tblPr>
    <w:tblGrid>
      <w:gridCol w:w="1080"/>
      <w:gridCol w:w="4546"/>
      <w:gridCol w:w="4800"/>
    </w:tblGrid>
    <w:tr>
      <w:tc>
        <w:tcPr>
          <w:tcW w:type="dxa" w:w="1080"/>
          <w:tcMar>
            <w:top w:type="dxa" w:w="40"/>
            <w:left w:type="dxa" w:w="0"/>
            <w:bottom w:type="dxa" w:w="80"/>
            <w:right w:type="dxa" w:w="60"/>
          </w:tcMar>
          <w:vAlign w:val="center"/>
        </w:tcPr>
        <w:p>
          <w:r>
            <w:drawing>
              <wp:inline distT="0" distB="0" distL="0" distR="0">
                <wp:extent cx="51435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14350" cy="514350"/>
                        </a:xfrm>
                        <a:prstGeom prst="rect">
                          <a:avLst/>
                        </a:prstGeom>
                      </pic:spPr>
                    </pic:pic>
                  </a:graphicData>
                </a:graphic>
              </wp:inline>
            </w:drawing>
          </w:r>
        </w:p>
      </w:tc>
      <w:tc>
        <w:tcPr>
          <w:tcW w:type="dxa" w:w="4546"/>
          <w:tcMar>
            <w:top w:type="dxa" w:w="40"/>
            <w:bottom w:type="dxa" w:w="80"/>
          </w:tcMar>
          <w:vAlign w:val="center"/>
        </w:tcPr>
        <w:p>
          <w:pPr>
            <w:spacing w:after="0"/>
            <w:jc w:val="center"/>
          </w:pPr>
          <w:r>
            <w:rPr>
              <w:rFonts w:ascii="Arial" w:cs="Arial" w:eastAsia="Arial" w:hAnsi="Arial"/>
              <w:b/>
              <w:bCs/>
              <w:i/>
              <w:iCs/>
              <w:color w:val="0F4761"/>
              <w:sz w:val="28"/>
              <w:szCs w:val="28"/>
            </w:rPr>
            <w:t xml:space="preserve">SOLEIL BEAUJOLAIS</w:t>
          </w:r>
        </w:p>
        <w:p>
          <w:pPr>
            <w:spacing w:after="0"/>
            <w:jc w:val="center"/>
          </w:pPr>
          <w:r>
            <w:rPr>
              <w:rFonts w:ascii="Arial" w:cs="Arial" w:eastAsia="Arial" w:hAnsi="Arial"/>
              <w:b/>
              <w:bCs/>
              <w:i/>
              <w:iCs/>
              <w:color w:val="0F4761"/>
              <w:sz w:val="28"/>
              <w:szCs w:val="28"/>
            </w:rPr>
            <w:t xml:space="preserve">Stockage par batteries</w:t>
          </w:r>
        </w:p>
      </w:tc>
      <w:tc>
        <w:tcPr>
          <w:tcW w:type="dxa" w:w="4800"/>
          <w:tcMar>
            <w:top w:type="dxa" w:w="40"/>
            <w:bottom w:type="dxa" w:w="80"/>
          </w:tcMar>
          <w:vAlign w:val="center"/>
        </w:tcPr>
        <w:p>
          <w:pPr>
            <w:jc w:val="right"/>
          </w:pPr>
          <w:r>
            <w:drawing>
              <wp:inline distT="0" distB="0" distL="0" distR="0">
                <wp:extent cx="22479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2247900" cy="57150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b7417319b5a9cf98942caacc7a82f0e045d795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ba83cbb61058d0eb16a8b87330a018e3daaa3b8.png"/><Relationship Id="rId1" Type="http://schemas.openxmlformats.org/officeDocument/2006/relationships/image" Target="media/f864b93711bfad3f881d9ecb18ed84e49ec17d77.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simulation — Stockage par batteries</dc:title>
  <dc:creator>Soleil Beaujolais</dc:creator>
  <dc:description>Rapport produit par le simulateur stockage par batteries de Soleil Beaujolais</dc:description>
  <cp:lastModifiedBy>Un-named</cp:lastModifiedBy>
  <cp:revision>1</cp:revision>
  <dcterms:created xsi:type="dcterms:W3CDTF">2026-09-07T08:32:25.364Z</dcterms:created>
  <dcterms:modified xsi:type="dcterms:W3CDTF">2026-09-07T08:32:25.364Z</dcterms:modified>
</cp:coreProperties>
</file>

<file path=docProps/custom.xml><?xml version="1.0" encoding="utf-8"?>
<Properties xmlns="http://schemas.openxmlformats.org/officeDocument/2006/custom-properties" xmlns:vt="http://schemas.openxmlformats.org/officeDocument/2006/docPropsVTypes"/>
</file>