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26"/>
        <w:tblBorders>
          <w:top w:val="single" w:color="0F4761" w:sz="12"/>
          <w:left w:val="single" w:color="0F4761" w:sz="12"/>
          <w:bottom w:val="single" w:color="0F4761" w:sz="12"/>
          <w:right w:val="single" w:color="0F4761" w:sz="12"/>
          <w:insideH w:val="single" w:color="auto" w:sz="4"/>
          <w:insideV w:val="single" w:color="auto" w:sz="4"/>
        </w:tblBorders>
      </w:tblPr>
      <w:tblGrid>
        <w:gridCol w:w="10426"/>
      </w:tblGrid>
      <w:tr>
        <w:tc>
          <w:tcPr>
            <w:tcW w:type="dxa" w:w="10426"/>
            <w:shd w:fill="DEEB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Rapport de simulation — Rentabilité photovoltaïque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kWc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70 % d'autoconsommation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8 000 €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Établi le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7 septembre 2026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· horizon 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25 ans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Document d'estimation à caractère indicatif : il ne constitue ni un conseil financier, ni un conseil juridique, ni une garantie de résultat.</w:t>
            </w:r>
          </w:p>
        </w:tc>
      </w:tr>
    </w:tbl>
    <w:p>
      <w:pPr>
        <w:spacing w:after="160"/>
      </w:pPr>
    </w:p>
    <w:tbl>
      <w:tblPr>
        <w:tblW w:type="dxa" w:w="10426"/>
        <w:tblBorders>
          <w:top w:val="single" w:color="0F4761" w:sz="12"/>
          <w:left w:val="single" w:color="0F4761" w:sz="12"/>
          <w:bottom w:val="single" w:color="0F4761" w:sz="12"/>
          <w:right w:val="single" w:color="0F4761" w:sz="12"/>
          <w:insideH w:val="single" w:color="auto" w:sz="4"/>
          <w:insideV w:val="single" w:color="auto" w:sz="4"/>
        </w:tblBorders>
      </w:tblPr>
      <w:tblGrid>
        <w:gridCol w:w="10426"/>
      </w:tblGrid>
      <w:tr>
        <w:tc>
          <w:tcPr>
            <w:tcW w:type="dxa" w:w="10426"/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20"/>
                <w:szCs w:val="20"/>
              </w:rPr>
              <w:t xml:space="preserve">Comment lire ce rapport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est produit automatiquement par le simulateur : les chiffres reprennent l'état de la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simulation au moment de l'export. Dans les tableaux de paramètres, la colonne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distingue les données </w:t>
            </w: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sourcées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les </w:t>
            </w:r>
            <w:r>
              <w:rPr>
                <w:rFonts w:ascii="Arial" w:cs="Arial" w:eastAsia="Arial" w:hAnsi="Arial"/>
                <w:b/>
                <w:bCs/>
                <w:color w:val="9C5A00"/>
                <w:sz w:val="18"/>
                <w:szCs w:val="18"/>
              </w:rPr>
              <w:t xml:space="preserve">hypothèses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à confirmer, et les valeurs </w:t>
            </w: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calculées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Les paragraphes explicatifs sont repris du manuel d'utilisation et restent valables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quelles que soient les valeurs saisies.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4761"/>
          <w:sz w:val="22"/>
          <w:szCs w:val="22"/>
        </w:rPr>
        <w:t xml:space="preserve">1. Objet et principe de l'installation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 rapport évalue la rentabilité d'une installation photovoltaïque résidentielle en France métropolitaine, dans un modèle d'autoconsommation totale. Le principe économique est simple : chaque kilowattheure produit et consommé sur place est un kilowattheure qui n'est pas acheté au réseau. Le gain n'est donc pas une recette, mais une dépense évitée.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Deux conséquences en découlent. D'abord, la valeur d'un kilowattheure produit dépend entièrement du prix auquel il aurait été acheté : plus l'électricité renchérit, plus l'installation rapporte. Ensuite, la production qui n'est pas consommée au moment où elle est disponible ne rapporte rien dans ce modèle — le dimensionnement compte donc autant que la puissance installée.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4761"/>
          <w:sz w:val="22"/>
          <w:szCs w:val="22"/>
        </w:rPr>
        <w:t xml:space="preserve">2. Synthèse</w:t>
      </w:r>
    </w:p>
    <w:p>
      <w:pPr>
        <w:spacing w:after="120" w:line="264"/>
        <w:jc w:val="both"/>
      </w:pPr>
      <w:r>
        <w:rPr>
          <w:rFonts w:ascii="Arial" w:cs="Arial" w:eastAsia="Arial" w:hAnsi="Arial"/>
          <w:color w:val="0F4761"/>
          <w:sz w:val="20"/>
          <w:szCs w:val="20"/>
        </w:rPr>
        <w:t xml:space="preserve">Dans cette configuration, l'installation est rentable : elle dégage une valeur actuelle nette de 1 084 € sur 25 ans, pour un investissement de 8 000 €. Le retour sur investissement intervient au bout de 15,0 ans.</w:t>
      </w:r>
    </w:p>
    <w:p>
      <w:pPr>
        <w:spacing w:after="120" w:line="264"/>
        <w:jc w:val="both"/>
      </w:pPr>
      <w:r>
        <w:rPr>
          <w:rFonts w:ascii="Arial" w:cs="Arial" w:eastAsia="Arial" w:hAnsi="Arial"/>
          <w:color w:val="0F4761"/>
          <w:sz w:val="20"/>
          <w:szCs w:val="20"/>
        </w:rPr>
        <w:t xml:space="preserve">Le taux d'autoconsommation retenu, 70 %, est ambitieux : il suppose un pilotage réel des usages — ballon d'eau chaude asservi à la production, recharge de véhicule en journée, ou batterie. Sans ce pilotage, un ménage se situe plutôt entre 30 et 40 %, et le résultat ci-dessus serait divisé par deux environ.</w:t>
      </w:r>
    </w:p>
    <w:p>
      <w:pPr>
        <w:spacing w:after="120" w:line="264"/>
        <w:jc w:val="both"/>
      </w:pPr>
      <w:r>
        <w:rPr>
          <w:rFonts w:ascii="Arial" w:cs="Arial" w:eastAsia="Arial" w:hAnsi="Arial"/>
          <w:color w:val="0F4761"/>
          <w:sz w:val="20"/>
          <w:szCs w:val="20"/>
        </w:rPr>
        <w:t xml:space="preserve">Sur les 3 300 kWh produits la première année, 2 310 kWh sont valorisés et 990 kWh sont perdus, ce modèle ne prévoyant ni prime à l'investissement ni revente du surplus. Si votre projet vend son surplus sous obligation d'achat, cette recette doit être ajoutée séparément.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4761"/>
          <w:sz w:val="22"/>
          <w:szCs w:val="22"/>
        </w:rPr>
        <w:t xml:space="preserve">3. Paramètres retenus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F4761"/>
          <w:sz w:val="20"/>
          <w:szCs w:val="20"/>
        </w:rPr>
        <w:t xml:space="preserve">3.1 Installation et production</w:t>
      </w:r>
    </w:p>
    <w:tbl>
      <w:tblPr>
        <w:tblW w:type="dxa" w:w="10426"/>
        <w:tblBorders>
          <w:top w:val="single" w:color="9DB8C9" w:sz="4"/>
          <w:left w:val="single" w:color="9DB8C9" w:sz="4"/>
          <w:bottom w:val="single" w:color="9DB8C9" w:sz="4"/>
          <w:right w:val="single" w:color="9DB8C9" w:sz="4"/>
          <w:insideH w:val="single" w:color="9DB8C9" w:sz="4"/>
          <w:insideV w:val="single" w:color="9DB8C9" w:sz="4"/>
        </w:tblBorders>
      </w:tblPr>
      <w:tblGrid>
        <w:gridCol w:w="4233"/>
        <w:gridCol w:w="2116"/>
        <w:gridCol w:w="2072"/>
        <w:gridCol w:w="2005"/>
      </w:tblGrid>
      <w:tr>
        <w:trPr>
          <w:tblHeader/>
        </w:trPr>
        <w:tc>
          <w:tcPr>
            <w:tcW w:type="dxa" w:w="4233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Paramètre</w:t>
            </w:r>
          </w:p>
        </w:tc>
        <w:tc>
          <w:tcPr>
            <w:tcW w:type="dxa" w:w="2116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Valeur</w:t>
            </w:r>
          </w:p>
        </w:tc>
        <w:tc>
          <w:tcPr>
            <w:tcW w:type="dxa" w:w="2072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Unité</w:t>
            </w:r>
          </w:p>
        </w:tc>
        <w:tc>
          <w:tcPr>
            <w:tcW w:type="dxa" w:w="2005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4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Puissance installée</w:t>
            </w:r>
          </w:p>
        </w:tc>
        <w:tc>
          <w:tcPr>
            <w:tcW w:type="dxa" w:w="21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kWc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A00"/>
                <w:sz w:val="17"/>
                <w:szCs w:val="17"/>
              </w:rPr>
              <w:t xml:space="preserve">Hypothèse projet</w:t>
            </w:r>
          </w:p>
        </w:tc>
      </w:tr>
      <w:tr>
        <w:tc>
          <w:tcPr>
            <w:tcW w:type="dxa" w:w="4233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Productible</w:t>
            </w:r>
          </w:p>
        </w:tc>
        <w:tc>
          <w:tcPr>
            <w:tcW w:type="dxa" w:w="211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1 100</w:t>
            </w:r>
          </w:p>
        </w:tc>
        <w:tc>
          <w:tcPr>
            <w:tcW w:type="dxa" w:w="2072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kWh/kWc/an</w:t>
            </w:r>
          </w:p>
        </w:tc>
        <w:tc>
          <w:tcPr>
            <w:tcW w:type="dxa" w:w="200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7"/>
                <w:szCs w:val="17"/>
              </w:rPr>
              <w:t xml:space="preserve">Sourcé — PVGIS</w:t>
            </w:r>
          </w:p>
        </w:tc>
      </w:tr>
      <w:tr>
        <w:tc>
          <w:tcPr>
            <w:tcW w:type="dxa" w:w="4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Coût d'investissement</w:t>
            </w:r>
          </w:p>
        </w:tc>
        <w:tc>
          <w:tcPr>
            <w:tcW w:type="dxa" w:w="21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8 000</w:t>
            </w:r>
          </w:p>
        </w:tc>
        <w:tc>
          <w:tcPr>
            <w:tcW w:type="dxa" w:w="20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€ TTC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A00"/>
                <w:sz w:val="17"/>
                <w:szCs w:val="17"/>
              </w:rPr>
              <w:t xml:space="preserve">Hypothèse projet</w:t>
            </w:r>
          </w:p>
        </w:tc>
      </w:tr>
      <w:tr>
        <w:tc>
          <w:tcPr>
            <w:tcW w:type="dxa" w:w="4233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Coût rapporté au kWc</w:t>
            </w:r>
          </w:p>
        </w:tc>
        <w:tc>
          <w:tcPr>
            <w:tcW w:type="dxa" w:w="211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2 667</w:t>
            </w:r>
          </w:p>
        </w:tc>
        <w:tc>
          <w:tcPr>
            <w:tcW w:type="dxa" w:w="2072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€/kWc</w:t>
            </w:r>
          </w:p>
        </w:tc>
        <w:tc>
          <w:tcPr>
            <w:tcW w:type="dxa" w:w="200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Calculé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Puissance installée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(kWc)</w:t>
      </w:r>
      <w:r>
        <w:rPr>
          <w:rFonts w:ascii="Arial" w:cs="Arial" w:eastAsia="Arial" w:hAnsi="Arial"/>
          <w:b/>
          <w:bCs/>
          <w:color w:val="9C5A00"/>
          <w:sz w:val="16"/>
          <w:szCs w:val="16"/>
        </w:rPr>
        <w:t xml:space="preserve">  ·  Hypothèse projet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La puissance crête cumulée des modules, mesurée dans les conditions normalisées d'essai (STC). Ce n'est ni la puissance de raccordement, ni la puissance réellement délivrée à un instant donné, qui est presque toujours inférieure.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Reprenez la valeur du devis. En résidentiel, l'ordre de grandeur va de 3 à 9 kWc. Un module courant fait aujourd'hui 425 à 500 Wc pour environ 2 m² : 3 kWc représentent donc 6 à 7 modules et une quinzaine de mètres carrés.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La production est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strictement proportionnelle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à ce paramètre. Attention au piège : dans ce modèle sans revente, augmenter la puissance sans augmenter le taux d'autoconsommation dégrade la rentabilité, car la production supplémentaire est purement et simplement perdue.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Productible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(kWh/kWc/an)</w:t>
      </w:r>
      <w:r>
        <w:rPr>
          <w:rFonts w:ascii="Arial" w:cs="Arial" w:eastAsia="Arial" w:hAnsi="Arial"/>
          <w:b/>
          <w:bCs/>
          <w:color w:val="1F7A3D"/>
          <w:sz w:val="16"/>
          <w:szCs w:val="16"/>
        </w:rPr>
        <w:t xml:space="preserve">  ·  Sourcé — PVGIS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L'énergie produite en un an par kWc installé. Il synthétise l'ensoleillement du lieu, l'orientation, l'inclinaison, les ombrages et les pertes du système (câblage, onduleur, température).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Utilisez PVGIS (outil de la Commission européenne) ou la carte de productible de photovoltaique.info, en saisissant l'adresse exacte, l'orientation et l'inclinaison. Ordres de grandeur : environ 950 à 1 050 dans le Nord, 1 150 à 1 250 dans la vallée du Rhône, 1 300 à 1 400 sur le pourtour méditerranéen. Retirez 10 à 20 % pour une toiture est-ouest, davantage en cas d'ombrage porté.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Proportionnel à la production, donc aux économies. Avec le prix du kWh, c'est l'un des deux paramètres qui pilotent le résultat.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Coût d'investissement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(€ TTC)</w:t>
      </w:r>
      <w:r>
        <w:rPr>
          <w:rFonts w:ascii="Arial" w:cs="Arial" w:eastAsia="Arial" w:hAnsi="Arial"/>
          <w:b/>
          <w:bCs/>
          <w:color w:val="9C5A00"/>
          <w:sz w:val="16"/>
          <w:szCs w:val="16"/>
        </w:rPr>
        <w:t xml:space="preserve">  ·  Hypothèse projet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Le montant total réellement déboursé : matériel, pose, raccordement, démarches administratives et taxes comprises.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Reprenez le devis, toutes taxes comprises. Pour comparer plusieurs offres, ramenez le montant au kWc : 8 000 € pour 3 kWc font environ 2 700 €/kWc. Le taux de TVA applicable dépend de la puissance et du type de logement — vérifiez-le sur votre devis.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Détermine le point de départ de la courbe de trésorerie, donc directement le temps de retour. C'est le premier levier de négociation d'un projet.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F4761"/>
          <w:sz w:val="20"/>
          <w:szCs w:val="20"/>
        </w:rPr>
        <w:t xml:space="preserve">3.2 Tarifs et hypothèses économiques</w:t>
      </w:r>
    </w:p>
    <w:tbl>
      <w:tblPr>
        <w:tblW w:type="dxa" w:w="10426"/>
        <w:tblBorders>
          <w:top w:val="single" w:color="9DB8C9" w:sz="4"/>
          <w:left w:val="single" w:color="9DB8C9" w:sz="4"/>
          <w:bottom w:val="single" w:color="9DB8C9" w:sz="4"/>
          <w:right w:val="single" w:color="9DB8C9" w:sz="4"/>
          <w:insideH w:val="single" w:color="9DB8C9" w:sz="4"/>
          <w:insideV w:val="single" w:color="9DB8C9" w:sz="4"/>
        </w:tblBorders>
      </w:tblPr>
      <w:tblGrid>
        <w:gridCol w:w="4233"/>
        <w:gridCol w:w="2116"/>
        <w:gridCol w:w="2072"/>
        <w:gridCol w:w="2005"/>
      </w:tblGrid>
      <w:tr>
        <w:trPr>
          <w:tblHeader/>
        </w:trPr>
        <w:tc>
          <w:tcPr>
            <w:tcW w:type="dxa" w:w="4233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Paramètre</w:t>
            </w:r>
          </w:p>
        </w:tc>
        <w:tc>
          <w:tcPr>
            <w:tcW w:type="dxa" w:w="2116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Valeur</w:t>
            </w:r>
          </w:p>
        </w:tc>
        <w:tc>
          <w:tcPr>
            <w:tcW w:type="dxa" w:w="2072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Unité</w:t>
            </w:r>
          </w:p>
        </w:tc>
        <w:tc>
          <w:tcPr>
            <w:tcW w:type="dxa" w:w="2005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4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Prix de l'électricité (an 0)</w:t>
            </w:r>
          </w:p>
        </w:tc>
        <w:tc>
          <w:tcPr>
            <w:tcW w:type="dxa" w:w="21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0,1940</w:t>
            </w:r>
          </w:p>
        </w:tc>
        <w:tc>
          <w:tcPr>
            <w:tcW w:type="dxa" w:w="20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€/kWh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7"/>
                <w:szCs w:val="17"/>
              </w:rPr>
              <w:t xml:space="preserve">Sourcé — TRV</w:t>
            </w:r>
          </w:p>
        </w:tc>
      </w:tr>
      <w:tr>
        <w:tc>
          <w:tcPr>
            <w:tcW w:type="dxa" w:w="4233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Hausse annuelle du prix élec.</w:t>
            </w:r>
          </w:p>
        </w:tc>
        <w:tc>
          <w:tcPr>
            <w:tcW w:type="dxa" w:w="211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3,0</w:t>
            </w:r>
          </w:p>
        </w:tc>
        <w:tc>
          <w:tcPr>
            <w:tcW w:type="dxa" w:w="2072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%/an</w:t>
            </w:r>
          </w:p>
        </w:tc>
        <w:tc>
          <w:tcPr>
            <w:tcW w:type="dxa" w:w="200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A00"/>
                <w:sz w:val="17"/>
                <w:szCs w:val="17"/>
              </w:rPr>
              <w:t xml:space="preserve">Hypothèse</w:t>
            </w:r>
          </w:p>
        </w:tc>
      </w:tr>
      <w:tr>
        <w:tc>
          <w:tcPr>
            <w:tcW w:type="dxa" w:w="4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Taux d'autoconsommation</w:t>
            </w:r>
          </w:p>
        </w:tc>
        <w:tc>
          <w:tcPr>
            <w:tcW w:type="dxa" w:w="21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70</w:t>
            </w:r>
          </w:p>
        </w:tc>
        <w:tc>
          <w:tcPr>
            <w:tcW w:type="dxa" w:w="20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A00"/>
                <w:sz w:val="17"/>
                <w:szCs w:val="17"/>
              </w:rPr>
              <w:t xml:space="preserve">Hypothèse</w:t>
            </w:r>
          </w:p>
        </w:tc>
      </w:tr>
      <w:tr>
        <w:tc>
          <w:tcPr>
            <w:tcW w:type="dxa" w:w="4233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Taux d'actualisation</w:t>
            </w:r>
          </w:p>
        </w:tc>
        <w:tc>
          <w:tcPr>
            <w:tcW w:type="dxa" w:w="211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4,0</w:t>
            </w:r>
          </w:p>
        </w:tc>
        <w:tc>
          <w:tcPr>
            <w:tcW w:type="dxa" w:w="2072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</w:t>
            </w:r>
          </w:p>
        </w:tc>
        <w:tc>
          <w:tcPr>
            <w:tcW w:type="dxa" w:w="200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A00"/>
                <w:sz w:val="17"/>
                <w:szCs w:val="17"/>
              </w:rPr>
              <w:t xml:space="preserve">Hypothèse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Prix de l'électricité (an 0)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(€/kWh)</w:t>
      </w:r>
      <w:r>
        <w:rPr>
          <w:rFonts w:ascii="Arial" w:cs="Arial" w:eastAsia="Arial" w:hAnsi="Arial"/>
          <w:b/>
          <w:bCs/>
          <w:color w:val="1F7A3D"/>
          <w:sz w:val="16"/>
          <w:szCs w:val="16"/>
        </w:rPr>
        <w:t xml:space="preserve">  ·  Sourcé — TRV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Le prix du kWh que vous n'achetez plus au réseau. C'est la valeur de chaque kilowattheure autoconsommé.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Prenez la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part variable TTC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de votre facture, hors abonnement. La valeur par défaut correspond au tarif réglementé « Bleu » EDF, option Base, 3–6 kVA, en vigueur depuis le 1er février 2026. Si vous êtes en offre de marché ou en heures pleines / heures creuses, utilisez votre prix moyen réel, qui peut différer sensiblement.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Proportionnel aux économies. Avec le taux d'autoconsommation, c'est le paramètre le plus sensible du modèle.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Hausse annuelle du prix élec.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(%/an)</w:t>
      </w:r>
      <w:r>
        <w:rPr>
          <w:rFonts w:ascii="Arial" w:cs="Arial" w:eastAsia="Arial" w:hAnsi="Arial"/>
          <w:b/>
          <w:bCs/>
          <w:color w:val="9C5A00"/>
          <w:sz w:val="16"/>
          <w:szCs w:val="16"/>
        </w:rPr>
        <w:t xml:space="preserve">  ·  Hypothèse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L'indexation appliquée chaque année au prix du kWh, de façon composée.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Personne ne connaît cette valeur : c'est une hypothèse, pas une prévision. La bonne pratique est de tester un encadrement — 0 %, 2 %, puis 5 % — et de regarder si la conclusion tient dans les trois cas.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Effet composé, donc considérable sur 25 ans. À 3 %/an, le prix du kWh double en 24 ans. C'est souvent ce paramètre, plus que la technique, qui fait basculer un projet du rouge au vert.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Taux d'autoconsommation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(%)</w:t>
      </w:r>
      <w:r>
        <w:rPr>
          <w:rFonts w:ascii="Arial" w:cs="Arial" w:eastAsia="Arial" w:hAnsi="Arial"/>
          <w:b/>
          <w:bCs/>
          <w:color w:val="9C5A00"/>
          <w:sz w:val="16"/>
          <w:szCs w:val="16"/>
        </w:rPr>
        <w:t xml:space="preserve">  ·  Hypothèse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La part de la production effectivement consommée sur place. Dans ce modèle,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le reste est perdu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: il n'y a ni prime, ni revente du surplus.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Sans pilotage particulier, un ménage se situe plutôt entre 30 et 40 %. On atteint 60 à 80 % avec un ballon d'eau chaude piloté sur la production, une recharge de véhicule électrique en journée, ou une batterie. La valeur par défaut de 70 % suppose donc un pilotage réel — abaissez-la si ce n'est pas votre cas.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Proportionnel aux économies. Doubler le taux d'autoconsommation double le gain, sans dépenser un euro de plus en panneaux.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Taux d'actualisation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(%)</w:t>
      </w:r>
      <w:r>
        <w:rPr>
          <w:rFonts w:ascii="Arial" w:cs="Arial" w:eastAsia="Arial" w:hAnsi="Arial"/>
          <w:b/>
          <w:bCs/>
          <w:color w:val="9C5A00"/>
          <w:sz w:val="16"/>
          <w:szCs w:val="16"/>
        </w:rPr>
        <w:t xml:space="preserve">  ·  Hypothèse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Le taux qui traduit la préférence pour le présent : 100 € dans dix ans valent moins que 100 € aujourd'hui. Il sert à calculer la VAN et sert de seuil de comparaison pour le TRI.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Utilisez le coût de votre financement si vous empruntez, ou le rendement d'un placement sans risque si vous mobilisez votre épargne. Pour un ménage, 2 à 4 % sont des valeurs courantes.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Un taux plus élevé écrase la valeur des économies lointaines et réduit la VAN. Il ne change ni la production, ni le temps de retour brut.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F4761"/>
          <w:sz w:val="20"/>
          <w:szCs w:val="20"/>
        </w:rPr>
        <w:t xml:space="preserve">3.3 Durée, dégradation et entretien</w:t>
      </w:r>
    </w:p>
    <w:tbl>
      <w:tblPr>
        <w:tblW w:type="dxa" w:w="10426"/>
        <w:tblBorders>
          <w:top w:val="single" w:color="9DB8C9" w:sz="4"/>
          <w:left w:val="single" w:color="9DB8C9" w:sz="4"/>
          <w:bottom w:val="single" w:color="9DB8C9" w:sz="4"/>
          <w:right w:val="single" w:color="9DB8C9" w:sz="4"/>
          <w:insideH w:val="single" w:color="9DB8C9" w:sz="4"/>
          <w:insideV w:val="single" w:color="9DB8C9" w:sz="4"/>
        </w:tblBorders>
      </w:tblPr>
      <w:tblGrid>
        <w:gridCol w:w="4233"/>
        <w:gridCol w:w="2116"/>
        <w:gridCol w:w="2072"/>
        <w:gridCol w:w="2005"/>
      </w:tblGrid>
      <w:tr>
        <w:trPr>
          <w:tblHeader/>
        </w:trPr>
        <w:tc>
          <w:tcPr>
            <w:tcW w:type="dxa" w:w="4233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Paramètre</w:t>
            </w:r>
          </w:p>
        </w:tc>
        <w:tc>
          <w:tcPr>
            <w:tcW w:type="dxa" w:w="2116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Valeur</w:t>
            </w:r>
          </w:p>
        </w:tc>
        <w:tc>
          <w:tcPr>
            <w:tcW w:type="dxa" w:w="2072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Unité</w:t>
            </w:r>
          </w:p>
        </w:tc>
        <w:tc>
          <w:tcPr>
            <w:tcW w:type="dxa" w:w="2005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4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Durée d'analyse</w:t>
            </w:r>
          </w:p>
        </w:tc>
        <w:tc>
          <w:tcPr>
            <w:tcW w:type="dxa" w:w="21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type="dxa" w:w="20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ans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A00"/>
                <w:sz w:val="17"/>
                <w:szCs w:val="17"/>
              </w:rPr>
              <w:t xml:space="preserve">Hypothèse</w:t>
            </w:r>
          </w:p>
        </w:tc>
      </w:tr>
      <w:tr>
        <w:tc>
          <w:tcPr>
            <w:tcW w:type="dxa" w:w="4233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Dégradation des panneaux</w:t>
            </w:r>
          </w:p>
        </w:tc>
        <w:tc>
          <w:tcPr>
            <w:tcW w:type="dxa" w:w="211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0,50</w:t>
            </w:r>
          </w:p>
        </w:tc>
        <w:tc>
          <w:tcPr>
            <w:tcW w:type="dxa" w:w="2072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%/an</w:t>
            </w:r>
          </w:p>
        </w:tc>
        <w:tc>
          <w:tcPr>
            <w:tcW w:type="dxa" w:w="200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A00"/>
                <w:sz w:val="17"/>
                <w:szCs w:val="17"/>
              </w:rPr>
              <w:t xml:space="preserve">Hypothèse</w:t>
            </w:r>
          </w:p>
        </w:tc>
      </w:tr>
      <w:tr>
        <w:tc>
          <w:tcPr>
            <w:tcW w:type="dxa" w:w="4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Entretien annuel</w:t>
            </w:r>
          </w:p>
        </w:tc>
        <w:tc>
          <w:tcPr>
            <w:tcW w:type="dxa" w:w="21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20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€/an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A00"/>
                <w:sz w:val="17"/>
                <w:szCs w:val="17"/>
              </w:rPr>
              <w:t xml:space="preserve">Hypothèse</w:t>
            </w:r>
          </w:p>
        </w:tc>
      </w:tr>
      <w:tr>
        <w:tc>
          <w:tcPr>
            <w:tcW w:type="dxa" w:w="4233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Remplacement onduleur</w:t>
            </w:r>
          </w:p>
        </w:tc>
        <w:tc>
          <w:tcPr>
            <w:tcW w:type="dxa" w:w="211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2072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€</w:t>
            </w:r>
          </w:p>
        </w:tc>
        <w:tc>
          <w:tcPr>
            <w:tcW w:type="dxa" w:w="200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A00"/>
                <w:sz w:val="17"/>
                <w:szCs w:val="17"/>
              </w:rPr>
              <w:t xml:space="preserve">Hypothèse</w:t>
            </w:r>
          </w:p>
        </w:tc>
      </w:tr>
      <w:tr>
        <w:tc>
          <w:tcPr>
            <w:tcW w:type="dxa" w:w="4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Année de remplacement</w:t>
            </w:r>
          </w:p>
        </w:tc>
        <w:tc>
          <w:tcPr>
            <w:tcW w:type="dxa" w:w="21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20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année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A00"/>
                <w:sz w:val="17"/>
                <w:szCs w:val="17"/>
              </w:rPr>
              <w:t xml:space="preserve">Hypothèse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Durée d'analyse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(ans)</w:t>
      </w:r>
      <w:r>
        <w:rPr>
          <w:rFonts w:ascii="Arial" w:cs="Arial" w:eastAsia="Arial" w:hAnsi="Arial"/>
          <w:b/>
          <w:bCs/>
          <w:color w:val="9C5A00"/>
          <w:sz w:val="16"/>
          <w:szCs w:val="16"/>
        </w:rPr>
        <w:t xml:space="preserve">  ·  Hypothèse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L'horizon sur lequel le calcul est mené.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On s'aligne généralement sur la garantie de production des modules, soit 25 à 30 ans. Retenir une durée plus courte donne une lecture plus prudente.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Allonger la durée améliore mécaniquement la VAN et le gain total, mais sur une période de plus en plus incertaine. Méfiez-vous d'un projet qui n'est rentable qu'à partir de la 24e année.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Dégradation des panneaux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(%/an)</w:t>
      </w:r>
      <w:r>
        <w:rPr>
          <w:rFonts w:ascii="Arial" w:cs="Arial" w:eastAsia="Arial" w:hAnsi="Arial"/>
          <w:b/>
          <w:bCs/>
          <w:color w:val="9C5A00"/>
          <w:sz w:val="16"/>
          <w:szCs w:val="16"/>
        </w:rPr>
        <w:t xml:space="preserve">  ·  Hypothèse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La perte de rendement annuelle des modules, appliquée de façon composée à la production.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La fiche technique du module donne la garantie linéaire de puissance, typiquement 0,4 à 0,55 %/an pour du silicium cristallin récent.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Modéré mais réel : à 0,5 %/an, la production de la 25e année est inférieure d'environ 12 % à celle de la première.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Entretien annuel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(€/an)</w:t>
      </w:r>
      <w:r>
        <w:rPr>
          <w:rFonts w:ascii="Arial" w:cs="Arial" w:eastAsia="Arial" w:hAnsi="Arial"/>
          <w:b/>
          <w:bCs/>
          <w:color w:val="9C5A00"/>
          <w:sz w:val="16"/>
          <w:szCs w:val="16"/>
        </w:rPr>
        <w:t xml:space="preserve">  ·  Hypothèse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Les charges récurrentes : nettoyage, contrôle périodique, surcoût d'assurance, abonnement de supervision.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Laissez 0 si vous n'engagez aucune dépense récurrente. Comptez 100 à 200 €/an si vous souscrivez un contrat de maintenance ou déclarez l'installation à votre assureur.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Se déduit de chaque flux annuel. Une charge de 150 €/an ampute d'environ un tiers une économie de 450 €/an — l'effet est loin d'être négligeable.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Remplacement onduleur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(€)</w:t>
      </w:r>
      <w:r>
        <w:rPr>
          <w:rFonts w:ascii="Arial" w:cs="Arial" w:eastAsia="Arial" w:hAnsi="Arial"/>
          <w:b/>
          <w:bCs/>
          <w:color w:val="9C5A00"/>
          <w:sz w:val="16"/>
          <w:szCs w:val="16"/>
        </w:rPr>
        <w:t xml:space="preserve">  ·  Hypothèse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La dépense ponctuelle de remplacement de l'onduleur, appliquée une seule fois, à l'année indiquée ci-dessous.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Comptez 800 à 1 500 € pour un onduleur string résidentiel. Les micro-onduleurs, souvent garantis 20 à 25 ans, peuvent justifier de laisser 0.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Creuse un décrochement ponctuel dans la courbe de trésorerie. Si le remplacement tombe juste avant le point de rentabilité, il peut repousser le retour de plusieurs années.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4761"/>
          <w:sz w:val="19"/>
          <w:szCs w:val="19"/>
        </w:rPr>
        <w:t xml:space="preserve">Année de remplacement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(année)</w:t>
      </w:r>
      <w:r>
        <w:rPr>
          <w:rFonts w:ascii="Arial" w:cs="Arial" w:eastAsia="Arial" w:hAnsi="Arial"/>
          <w:b/>
          <w:bCs/>
          <w:color w:val="9C5A00"/>
          <w:sz w:val="16"/>
          <w:szCs w:val="16"/>
        </w:rPr>
        <w:t xml:space="preserve">  ·  Hypothèse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Ce que c'est.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L'année à laquelle la dépense d'onduleur est comptabilisée.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Comment le régler.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La durée de vie usuelle d'un onduleur string se situe entre 10 et 15 ans. Sans effet si le coût de remplacement est laissé à 0.</w:t>
      </w:r>
    </w:p>
    <w:p>
      <w:pPr>
        <w:spacing w:after="60"/>
        <w:ind w:left="220"/>
        <w:jc w:val="both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Effet sur le résultat.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Plus le remplacement est tardif, plus son poids actualisé est faible.</w:t>
      </w:r>
    </w:p>
    <w:p>
      <w:pPr>
        <w:pBdr>
          <w:top w:val="single" w:color="0F4761" w:sz="12"/>
          <w:bottom w:val="single" w:color="0F4761" w:sz="12"/>
          <w:left w:val="single" w:color="0F4761" w:sz="12"/>
          <w:right w:val="single" w:color="0F4761" w:sz="12"/>
        </w:pBdr>
        <w:shd w:fill="FFF8E1" w:val="clear"/>
        <w:spacing w:after="120" w:before="80"/>
        <w:jc w:val="both"/>
      </w:pPr>
      <w:r>
        <w:rPr>
          <w:rFonts w:ascii="Arial" w:cs="Arial" w:eastAsia="Arial" w:hAnsi="Arial"/>
          <w:b/>
          <w:bCs/>
          <w:color w:val="0F4761"/>
          <w:sz w:val="18"/>
          <w:szCs w:val="18"/>
        </w:rPr>
        <w:t xml:space="preserve">Statut des valeurs. </w:t>
      </w:r>
      <w:r>
        <w:rPr>
          <w:rFonts w:ascii="Arial" w:cs="Arial" w:eastAsia="Arial" w:hAnsi="Arial"/>
          <w:sz w:val="18"/>
          <w:szCs w:val="18"/>
        </w:rPr>
        <w:t xml:space="preserve">Seuls le prix de l'électricité et le productible sont des données sourcées. Toutes les autres valeurs sont des hypothèses de travail, à ajuster au projet réel avant toute décision d'investissement.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4761"/>
          <w:sz w:val="22"/>
          <w:szCs w:val="22"/>
        </w:rPr>
        <w:t xml:space="preserve">4. Résultats de la simulation</w:t>
      </w:r>
    </w:p>
    <w:tbl>
      <w:tblPr>
        <w:tblW w:type="dxa" w:w="10426"/>
        <w:tblBorders>
          <w:top w:val="single" w:color="9DB8C9" w:sz="4"/>
          <w:left w:val="single" w:color="9DB8C9" w:sz="4"/>
          <w:bottom w:val="single" w:color="9DB8C9" w:sz="4"/>
          <w:right w:val="single" w:color="9DB8C9" w:sz="4"/>
          <w:insideH w:val="single" w:color="9DB8C9" w:sz="4"/>
          <w:insideV w:val="single" w:color="9DB8C9" w:sz="4"/>
        </w:tblBorders>
      </w:tblPr>
      <w:tblGrid>
        <w:gridCol w:w="7307"/>
        <w:gridCol w:w="3119"/>
      </w:tblGrid>
      <w:tr>
        <w:trPr>
          <w:tblHeader/>
        </w:trPr>
        <w:tc>
          <w:tcPr>
            <w:tcW w:type="dxa" w:w="7307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Indicateur</w:t>
            </w:r>
          </w:p>
        </w:tc>
        <w:tc>
          <w:tcPr>
            <w:tcW w:type="dxa" w:w="3119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Valeur</w:t>
            </w:r>
          </w:p>
        </w:tc>
      </w:tr>
      <w:tr>
        <w:tc>
          <w:tcPr>
            <w:tcW w:type="dxa" w:w="7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Production année 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3 300 kWh</w:t>
            </w:r>
          </w:p>
        </w:tc>
      </w:tr>
      <w:tr>
        <w:tc>
          <w:tcPr>
            <w:tcW w:type="dxa" w:w="730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Énergie autoconsommée (an 1)</w:t>
            </w:r>
          </w:p>
        </w:tc>
        <w:tc>
          <w:tcPr>
            <w:tcW w:type="dxa" w:w="3119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2 310 kWh</w:t>
            </w:r>
          </w:p>
        </w:tc>
      </w:tr>
      <w:tr>
        <w:tc>
          <w:tcPr>
            <w:tcW w:type="dxa" w:w="7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Énergie non valorisée (an 1)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990 kWh</w:t>
            </w:r>
          </w:p>
        </w:tc>
      </w:tr>
      <w:tr>
        <w:tc>
          <w:tcPr>
            <w:tcW w:type="dxa" w:w="7307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Économie année 1</w:t>
            </w:r>
          </w:p>
        </w:tc>
        <w:tc>
          <w:tcPr>
            <w:tcW w:type="dxa" w:w="3119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448 €</w:t>
            </w:r>
          </w:p>
        </w:tc>
      </w:tr>
      <w:tr>
        <w:tc>
          <w:tcPr>
            <w:tcW w:type="dxa" w:w="7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Investissement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8 000 €</w:t>
            </w:r>
          </w:p>
        </w:tc>
      </w:tr>
      <w:tr>
        <w:tc>
          <w:tcPr>
            <w:tcW w:type="dxa" w:w="7307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Valeur actuelle nette</w:t>
            </w:r>
          </w:p>
        </w:tc>
        <w:tc>
          <w:tcPr>
            <w:tcW w:type="dxa" w:w="3119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1 084 €</w:t>
            </w:r>
          </w:p>
        </w:tc>
      </w:tr>
      <w:tr>
        <w:tc>
          <w:tcPr>
            <w:tcW w:type="dxa" w:w="7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Taux de rendement interne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5,1 %</w:t>
            </w:r>
          </w:p>
        </w:tc>
      </w:tr>
      <w:tr>
        <w:tc>
          <w:tcPr>
            <w:tcW w:type="dxa" w:w="7307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Temps de retour brut</w:t>
            </w:r>
          </w:p>
        </w:tc>
        <w:tc>
          <w:tcPr>
            <w:tcW w:type="dxa" w:w="3119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15,0 ans</w:t>
            </w:r>
          </w:p>
        </w:tc>
      </w:tr>
      <w:tr>
        <w:tc>
          <w:tcPr>
            <w:tcW w:type="dxa" w:w="7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Temps de retour actualisé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21,5 ans</w:t>
            </w:r>
          </w:p>
        </w:tc>
      </w:tr>
      <w:tr>
        <w:tc>
          <w:tcPr>
            <w:tcW w:type="dxa" w:w="7307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Gain net total</w:t>
            </w:r>
          </w:p>
        </w:tc>
        <w:tc>
          <w:tcPr>
            <w:tcW w:type="dxa" w:w="3119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7 278 €</w:t>
            </w:r>
          </w:p>
        </w:tc>
      </w:tr>
    </w:tbl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F4761"/>
          <w:sz w:val="20"/>
          <w:szCs w:val="20"/>
        </w:rPr>
        <w:t xml:space="preserve">4.1 Comment lire chaque indicateur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Production année 1</w:t>
      </w:r>
      <w:r>
        <w:rPr>
          <w:rFonts w:ascii="Arial" w:cs="Arial" w:eastAsia="Arial" w:hAnsi="Arial"/>
          <w:sz w:val="18"/>
          <w:szCs w:val="18"/>
        </w:rPr>
        <w:t xml:space="preserve"> — puissance multipliée par productible. À comparer à votre consommation annuelle pour vérifier la cohérence du dimensionnement.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Économie année 1</w:t>
      </w:r>
      <w:r>
        <w:rPr>
          <w:rFonts w:ascii="Arial" w:cs="Arial" w:eastAsia="Arial" w:hAnsi="Arial"/>
          <w:sz w:val="18"/>
          <w:szCs w:val="18"/>
        </w:rPr>
        <w:t xml:space="preserve"> — les kilowattheures autoconsommés multipliés par le prix du kWh. C'est le gain réel de la première année, avant toute indexation.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Valeur actuelle nette</w:t>
      </w:r>
      <w:r>
        <w:rPr>
          <w:rFonts w:ascii="Arial" w:cs="Arial" w:eastAsia="Arial" w:hAnsi="Arial"/>
          <w:sz w:val="18"/>
          <w:szCs w:val="18"/>
        </w:rPr>
        <w:t xml:space="preserve"> — la somme des économies futures ramenées à leur valeur d'aujourd'hui, moins l'investissement. Positive, le projet crée de la valeur par rapport à un placement au taux d'actualisation retenu ; négative, il en détruit.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Taux de rendement interne</w:t>
      </w:r>
      <w:r>
        <w:rPr>
          <w:rFonts w:ascii="Arial" w:cs="Arial" w:eastAsia="Arial" w:hAnsi="Arial"/>
          <w:sz w:val="18"/>
          <w:szCs w:val="18"/>
        </w:rPr>
        <w:t xml:space="preserve"> — le taux d'actualisation qui annulerait la VAN. Il se compare au taux retenu : au-dessus, le projet est créateur de valeur. Il affiche « — » lorsque les flux ne remboursent jamais l'investissement.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Temps de retour</w:t>
      </w:r>
      <w:r>
        <w:rPr>
          <w:rFonts w:ascii="Arial" w:cs="Arial" w:eastAsia="Arial" w:hAnsi="Arial"/>
          <w:sz w:val="18"/>
          <w:szCs w:val="18"/>
        </w:rPr>
        <w:t xml:space="preserve"> — l'année où la trésorerie cumulée franchit zéro, par interpolation linéaire, d'où la décimale. La version actualisée, plus sévère, tient compte du coût du temps.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Gain net total</w:t>
      </w:r>
      <w:r>
        <w:rPr>
          <w:rFonts w:ascii="Arial" w:cs="Arial" w:eastAsia="Arial" w:hAnsi="Arial"/>
          <w:sz w:val="18"/>
          <w:szCs w:val="18"/>
        </w:rPr>
        <w:t xml:space="preserve"> — le cumul non actualisé sur toute la durée. C'est le chiffre le plus flatteur des six, car il ignore le temps : à manier avec prudence.</w:t>
      </w:r>
    </w:p>
    <w:p>
      <w:pPr>
        <w:spacing w:after="40" w:before="120"/>
      </w:pPr>
      <w:r>
        <w:drawing>
          <wp:inline distT="0" distB="0" distL="0" distR="0">
            <wp:extent cx="661987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Trésorerie cumulée, non actualisée (aire pleine) et actualisée (pointillé). L'écart entre les deux courbes matérialise le coût du temps.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4761"/>
          <w:sz w:val="22"/>
          <w:szCs w:val="22"/>
        </w:rPr>
        <w:t xml:space="preserve">5. Détail année par année</w:t>
      </w:r>
    </w:p>
    <w:tbl>
      <w:tblPr>
        <w:tblW w:type="dxa" w:w="10426"/>
        <w:tblBorders>
          <w:top w:val="single" w:color="9DB8C9" w:sz="4"/>
          <w:left w:val="single" w:color="9DB8C9" w:sz="4"/>
          <w:bottom w:val="single" w:color="9DB8C9" w:sz="4"/>
          <w:right w:val="single" w:color="9DB8C9" w:sz="4"/>
          <w:insideH w:val="single" w:color="9DB8C9" w:sz="4"/>
          <w:insideV w:val="single" w:color="9DB8C9" w:sz="4"/>
        </w:tblBorders>
      </w:tblPr>
      <w:tblGrid>
        <w:gridCol w:w="977"/>
        <w:gridCol w:w="1846"/>
        <w:gridCol w:w="1846"/>
        <w:gridCol w:w="1846"/>
        <w:gridCol w:w="1846"/>
        <w:gridCol w:w="2065"/>
      </w:tblGrid>
      <w:tr>
        <w:trPr>
          <w:tblHeader/>
        </w:trPr>
        <w:tc>
          <w:tcPr>
            <w:tcW w:type="dxa" w:w="977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Année</w:t>
            </w:r>
          </w:p>
        </w:tc>
        <w:tc>
          <w:tcPr>
            <w:tcW w:type="dxa" w:w="1846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Production</w:t>
            </w:r>
          </w:p>
        </w:tc>
        <w:tc>
          <w:tcPr>
            <w:tcW w:type="dxa" w:w="1846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Prix du kWh</w:t>
            </w:r>
          </w:p>
        </w:tc>
        <w:tc>
          <w:tcPr>
            <w:tcW w:type="dxa" w:w="1846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Économie</w:t>
            </w:r>
          </w:p>
        </w:tc>
        <w:tc>
          <w:tcPr>
            <w:tcW w:type="dxa" w:w="1846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Flux net</w:t>
            </w:r>
          </w:p>
        </w:tc>
        <w:tc>
          <w:tcPr>
            <w:tcW w:type="dxa" w:w="2065"/>
            <w:shd w:fill="DEEB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4761"/>
                <w:sz w:val="17"/>
                <w:szCs w:val="17"/>
              </w:rPr>
              <w:t xml:space="preserve">Trésorerie cumulée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3 300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0,1940 €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448 €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448 €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-7 552 €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3 284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0,1998 €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459 €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459 €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-7 093 €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3 267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0,2058 €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471 €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471 €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-6 622 €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3 251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0,2120 €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482 €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482 €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-6 140 €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3 234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0,2183 €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494 €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494 €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-5 645 €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3 218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0,2249 €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507 €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507 €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-5 138 €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3 202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0,2316 €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519 €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519 €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-4 619 €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3 186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0,2386 €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532 €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532 €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-4 087 €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3 170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0,2458 €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545 €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545 €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-3 542 €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3 154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0,2531 €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559 €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559 €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-2 983 €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3 139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0,2607 €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573 €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573 €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-2 410 €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3 123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0,2685 €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587 €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587 €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-1 823 €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3 107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0,2766 €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602 €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602 €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-1 221 €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3 092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0,2849 €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617 €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617 €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-605 €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3 076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0,2934 €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632 €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632 €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3 061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0,3022 €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648 €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648 €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675 €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3 046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0,3113 €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664 €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664 €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1 339 €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3 030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0,3207 €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680 €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680 €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2 019 €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3 015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0,3303 €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697 €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697 €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2 716 €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3 000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0,3402 €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714 €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714 €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3 430 €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2 985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0,3504 €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732 €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732 €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4 162 €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2 970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0,3609 €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750 €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750 €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4 913 €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2 955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0,3717 €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769 €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769 €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5 682 €</w:t>
            </w:r>
          </w:p>
        </w:tc>
      </w:tr>
      <w:tr>
        <w:tc>
          <w:tcPr>
            <w:tcW w:type="dxa" w:w="977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2 941 kWh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0,3829 €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788 €</w:t>
            </w:r>
          </w:p>
        </w:tc>
        <w:tc>
          <w:tcPr>
            <w:tcW w:type="dxa" w:w="1846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788 €</w:t>
            </w:r>
          </w:p>
        </w:tc>
        <w:tc>
          <w:tcPr>
            <w:tcW w:type="dxa" w:w="2065"/>
            <w:shd w:fill="F4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6 470 €</w:t>
            </w:r>
          </w:p>
        </w:tc>
      </w:tr>
      <w:tr>
        <w:tc>
          <w:tcPr>
            <w:tcW w:type="dxa" w:w="9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2 926 kWh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0,3944 €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808 €</w:t>
            </w:r>
          </w:p>
        </w:tc>
        <w:tc>
          <w:tcPr>
            <w:tcW w:type="dxa" w:w="1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808 €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7 278 €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4761"/>
          <w:sz w:val="22"/>
          <w:szCs w:val="22"/>
        </w:rPr>
        <w:t xml:space="preserve">6. Formules employées</w:t>
      </w:r>
    </w:p>
    <w:p>
      <w:pPr>
        <w:pBdr>
          <w:left w:val="single" w:color="0F4761" w:sz="12" w:space="4"/>
        </w:pBdr>
        <w:shd w:fill="F4F9FC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Production(t) = puissance × productible × (1 − dégradation)^(t−1)</w:t>
      </w:r>
    </w:p>
    <w:p>
      <w:pPr>
        <w:pBdr>
          <w:left w:val="single" w:color="0F4761" w:sz="12" w:space="4"/>
        </w:pBdr>
        <w:shd w:fill="F4F9FC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Prix kWh(t) = prix initial × (1 + hausse)^(t−1)</w:t>
      </w:r>
    </w:p>
    <w:p>
      <w:pPr>
        <w:pBdr>
          <w:left w:val="single" w:color="0F4761" w:sz="12" w:space="4"/>
        </w:pBdr>
        <w:shd w:fill="F4F9FC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Économie(t) = Production(t) × taux d'autoconsommation × Prix kWh(t)</w:t>
      </w:r>
    </w:p>
    <w:p>
      <w:pPr>
        <w:pBdr>
          <w:left w:val="single" w:color="0F4761" w:sz="12" w:space="4"/>
        </w:pBdr>
        <w:shd w:fill="F4F9FC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Flux net(t) = Économie(t) − entretien − (onduleur si t = année de remplacement)</w:t>
      </w:r>
    </w:p>
    <w:p>
      <w:pPr>
        <w:pBdr>
          <w:left w:val="single" w:color="0F4761" w:sz="12" w:space="4"/>
        </w:pBdr>
        <w:shd w:fill="F4F9FC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VAN = −Investissement + Σ Flux net(t) / (1 + taux d'actualisation)^t</w:t>
      </w:r>
    </w:p>
    <w:p>
      <w:pPr>
        <w:pBdr>
          <w:left w:val="single" w:color="0F4761" w:sz="12" w:space="4"/>
        </w:pBdr>
        <w:shd w:fill="F4F9FC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TRI = taux annulant la VAN, résolu par bissection sur [−90 % ; +100 %]</w:t>
      </w:r>
    </w:p>
    <w:p>
      <w:pPr>
        <w:pBdr>
          <w:left w:val="single" w:color="0F4761" w:sz="12" w:space="4"/>
        </w:pBdr>
        <w:shd w:fill="F4F9FC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Temps de retour = année où la trésorerie cumulée franchit 0 (interpolation linéaire)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4761"/>
          <w:sz w:val="22"/>
          <w:szCs w:val="22"/>
        </w:rPr>
        <w:t xml:space="preserve">7. Limites du modèle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 taux d'autoconsommation est figé.</w:t>
      </w:r>
      <w:r>
        <w:rPr>
          <w:rFonts w:ascii="Arial" w:cs="Arial" w:eastAsia="Arial" w:hAnsi="Arial"/>
          <w:sz w:val="18"/>
          <w:szCs w:val="18"/>
        </w:rPr>
        <w:t xml:space="preserve"> Dans la réalité il varie selon la saison et l'heure ; le modèle raisonne en énergie annuelle, pas au pas horaire. C'est acceptable pour une pré-étude, insuffisant pour un dimensionnement fin.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Ni revente, ni prime.</w:t>
      </w:r>
      <w:r>
        <w:rPr>
          <w:rFonts w:ascii="Arial" w:cs="Arial" w:eastAsia="Arial" w:hAnsi="Arial"/>
          <w:sz w:val="18"/>
          <w:szCs w:val="18"/>
        </w:rPr>
        <w:t xml:space="preserve"> La production non consommée sur place est considérée comme perdue. Un projet vendant son surplus sous obligation d'achat verrait son résultat amélioré d'autant.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Aucune fiscalité</w:t>
      </w:r>
      <w:r>
        <w:rPr>
          <w:rFonts w:ascii="Arial" w:cs="Arial" w:eastAsia="Arial" w:hAnsi="Arial"/>
          <w:sz w:val="18"/>
          <w:szCs w:val="18"/>
        </w:rPr>
        <w:t xml:space="preserve"> n'est prise en compte : ni imposition des revenus, ni évolution de la TVA, ni taxe foncière.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Aucun financement.</w:t>
      </w:r>
      <w:r>
        <w:rPr>
          <w:rFonts w:ascii="Arial" w:cs="Arial" w:eastAsia="Arial" w:hAnsi="Arial"/>
          <w:sz w:val="18"/>
          <w:szCs w:val="18"/>
        </w:rPr>
        <w:t xml:space="preserve"> L'investissement est supposé payé comptant en année 0. Un emprunt modifierait le profil de trésorerie et l'effort réel, sans bouleverser la VAN.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Aucune valeur résiduelle</w:t>
      </w:r>
      <w:r>
        <w:rPr>
          <w:rFonts w:ascii="Arial" w:cs="Arial" w:eastAsia="Arial" w:hAnsi="Arial"/>
          <w:sz w:val="18"/>
          <w:szCs w:val="18"/>
        </w:rPr>
        <w:t xml:space="preserve"> de l'installation en fin de période, ni coût de démantèlement.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 prix de l'électricité est traité comme une donnée unique</w:t>
      </w:r>
      <w:r>
        <w:rPr>
          <w:rFonts w:ascii="Arial" w:cs="Arial" w:eastAsia="Arial" w:hAnsi="Arial"/>
          <w:sz w:val="18"/>
          <w:szCs w:val="18"/>
        </w:rPr>
        <w:t xml:space="preserve">, alors qu'il se décompose entre fourniture, acheminement et taxes, qui n'évoluent pas au même rythme.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4761"/>
          <w:sz w:val="22"/>
          <w:szCs w:val="22"/>
        </w:rPr>
        <w:t xml:space="preserve">8. Refaire ou ajuster cette simulation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 rapport est produit par le simulateur photovoltaïque de Soleil Beaujolais, un fichier HTML autonome qui s'ouvre dans n'importe quel navigateur. La marche à suivre pour produire une nouvelle version :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1. </w:t>
      </w:r>
      <w:r>
        <w:rPr>
          <w:rFonts w:ascii="Arial" w:cs="Arial" w:eastAsia="Arial" w:hAnsi="Arial"/>
          <w:sz w:val="18"/>
          <w:szCs w:val="18"/>
        </w:rPr>
        <w:t xml:space="preserve">Saisir les trois données du devis : puissance en kWc, coût total TTC, et productible relevé sur PVGIS pour l'adresse exacte, avec son orientation et son inclinaison.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2. </w:t>
      </w:r>
      <w:r>
        <w:rPr>
          <w:rFonts w:ascii="Arial" w:cs="Arial" w:eastAsia="Arial" w:hAnsi="Arial"/>
          <w:sz w:val="18"/>
          <w:szCs w:val="18"/>
        </w:rPr>
        <w:t xml:space="preserve">Corriger le prix de l'électricité avec la part variable TTC de votre propre facture, hors abonnement.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3. </w:t>
      </w:r>
      <w:r>
        <w:rPr>
          <w:rFonts w:ascii="Arial" w:cs="Arial" w:eastAsia="Arial" w:hAnsi="Arial"/>
          <w:sz w:val="18"/>
          <w:szCs w:val="18"/>
        </w:rPr>
        <w:t xml:space="preserve">Régler honnêtement le taux d'autoconsommation : c'est l'erreur la plus fréquente. 70 % ne s'atteint qu'avec un pilotage réel des usages ; sans pilotage, descendre à 35 %.</w:t>
      </w:r>
    </w:p>
    <w:p>
      <w:pPr>
        <w:pStyle w:val="ListParagraph"/>
        <w:numPr>
          <w:ilvl w:val="0"/>
          <w:numId w:val="1"/>
        </w:numPr>
        <w:spacing w:after="7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4. </w:t>
      </w:r>
      <w:r>
        <w:rPr>
          <w:rFonts w:ascii="Arial" w:cs="Arial" w:eastAsia="Arial" w:hAnsi="Arial"/>
          <w:sz w:val="18"/>
          <w:szCs w:val="18"/>
        </w:rPr>
        <w:t xml:space="preserve">Lire le résultat comme une fourchette, pas comme un chiffre : refaire le calcul avec une hausse du prix de l'électricité à 0 % puis à 5 %. Si la conclusion tient dans les deux cas, elle est solide.</w:t>
      </w:r>
    </w:p>
    <w:p>
      <w:pPr>
        <w:spacing w:after="120" w:line="264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Manuel complet. </w:t>
      </w:r>
      <w:r>
        <w:rPr>
          <w:rFonts w:ascii="Arial" w:cs="Arial" w:eastAsia="Arial" w:hAnsi="Arial"/>
          <w:sz w:val="18"/>
          <w:szCs w:val="18"/>
        </w:rPr>
        <w:t xml:space="preserve">Chaque paramètre dispose dans le simulateur d'un lien d'aide qui ouvre le manuel d'utilisation à la fiche correspondante. Les explications reprises dans ce rapport en sont extraites : les deux documents disent la même chose.</w:t>
      </w:r>
    </w:p>
    <w:sectPr>
      <w:headerReference w:type="default" r:id="rId7"/>
      <w:footerReference w:type="default" r:id="rId8"/>
      <w:pgSz w:w="11906" w:h="16838" w:orient="portrait"/>
      <w:pgMar w:top="2120" w:right="740" w:bottom="1240" w:left="740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761" w:sz="6" w:space="6"/>
      </w:pBdr>
      <w:jc w:val="center"/>
    </w:pPr>
    <w:r>
      <w:rPr>
        <w:rFonts w:ascii="Arial" w:cs="Arial" w:eastAsia="Arial" w:hAnsi="Arial"/>
        <w:b/>
        <w:bCs/>
        <w:color w:val="595959"/>
        <w:sz w:val="22"/>
        <w:szCs w:val="22"/>
      </w:rPr>
      <w:t xml:space="preserve">Soleil Beaujolais — Énergie citoyenne en Beaujolais · soleilbeaujolais.fr</w:t>
    </w:r>
  </w:p>
  <w:p>
    <w:pPr>
      <w:tabs>
        <w:tab w:val="right" w:pos="10426"/>
      </w:tabs>
      <w:spacing w:before="40"/>
    </w:pPr>
    <w:r>
      <w:rPr>
        <w:rFonts w:ascii="Arial" w:cs="Arial" w:eastAsia="Arial" w:hAnsi="Arial"/>
        <w:color w:val="595959"/>
        <w:sz w:val="22"/>
        <w:szCs w:val="22"/>
      </w:rPr>
      <w:t xml:space="preserve">7 septembre 2026</w:t>
    </w:r>
    <w:r>
      <w:tab/>
    </w:r>
    <w:r>
      <w:rPr>
        <w:rFonts w:ascii="Arial" w:cs="Arial" w:eastAsia="Arial" w:hAnsi="Arial"/>
        <w:color w:val="595959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22"/>
        <w:szCs w:val="22"/>
      </w:rPr>
      <w:t xml:space="preserve"> / </w:t>
    </w:r>
    <w:r>
      <w:rPr>
        <w:rFonts w:ascii="Arial" w:cs="Arial" w:eastAsia="Arial" w:hAnsi="Arial"/>
        <w:color w:val="595959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26"/>
      <w:tblBorders>
        <w:top w:val="none"/>
        <w:left w:val="none"/>
        <w:bottom w:val="single" w:color="0F4761" w:sz="14"/>
        <w:right w:val="none"/>
        <w:insideH w:val="none"/>
        <w:insideV w:val="none"/>
      </w:tblBorders>
    </w:tblPr>
    <w:tblGrid>
      <w:gridCol w:w="1080"/>
      <w:gridCol w:w="4546"/>
      <w:gridCol w:w="4800"/>
    </w:tblGrid>
    <w:tr>
      <w:tc>
        <w:tcPr>
          <w:tcW w:type="dxa" w:w="1080"/>
          <w:tcMar>
            <w:top w:type="dxa" w:w="40"/>
            <w:left w:type="dxa" w:w="0"/>
            <w:bottom w:type="dxa" w:w="80"/>
            <w:right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46"/>
          <w:tcMar>
            <w:top w:type="dxa" w:w="40"/>
            <w:bottom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i/>
              <w:iCs/>
              <w:color w:val="0F4761"/>
              <w:sz w:val="28"/>
              <w:szCs w:val="28"/>
            </w:rPr>
            <w:t xml:space="preserve">SOLEIL BEAUJOLAIS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i/>
              <w:iCs/>
              <w:color w:val="0F4761"/>
              <w:sz w:val="28"/>
              <w:szCs w:val="28"/>
            </w:rPr>
            <w:t xml:space="preserve">Rentabilité photovoltaïque</w:t>
          </w:r>
        </w:p>
      </w:tc>
      <w:tc>
        <w:tcPr>
          <w:tcW w:type="dxa" w:w="4800"/>
          <w:tcMar>
            <w:top w:type="dxa" w:w="40"/>
            <w:bottom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24790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79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882e4feff2af7601b976dc9a5a3afbdd3aae7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a83cbb61058d0eb16a8b87330a018e3daaa3b8.png"/><Relationship Id="rId1" Type="http://schemas.openxmlformats.org/officeDocument/2006/relationships/image" Target="media/f864b93711bfad3f881d9ecb18ed84e49ec17d77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simulation — Rentabilité photovoltaïque</dc:title>
  <dc:creator>Soleil Beaujolais</dc:creator>
  <dc:description>Rapport produit par le simulateur rentabilité photovoltaïque de Soleil Beaujolais</dc:description>
  <cp:lastModifiedBy>Un-named</cp:lastModifiedBy>
  <cp:revision>1</cp:revision>
  <dcterms:created xsi:type="dcterms:W3CDTF">2026-09-07T08:30:22.299Z</dcterms:created>
  <dcterms:modified xsi:type="dcterms:W3CDTF">2026-09-07T08:30:22.299Z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