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26"/>
        <w:tblBorders>
          <w:top w:val="single" w:color="0F4761" w:sz="12"/>
          <w:left w:val="single" w:color="0F4761" w:sz="12"/>
          <w:bottom w:val="single" w:color="0F4761" w:sz="12"/>
          <w:right w:val="single" w:color="0F4761" w:sz="12"/>
          <w:insideH w:val="single" w:color="auto" w:sz="4"/>
          <w:insideV w:val="single" w:color="auto" w:sz="4"/>
        </w:tblBorders>
      </w:tblPr>
      <w:tblGrid>
        <w:gridCol w:w="10426"/>
      </w:tblGrid>
      <w:tr>
        <w:tc>
          <w:tcPr>
            <w:tcW w:type="dxa" w:w="10426"/>
            <w:shd w:fill="DEEBF7" w:val="clear"/>
            <w:tcMar>
              <w:top w:type="dxa" w:w="120"/>
              <w:left w:type="dxa" w:w="120"/>
              <w:bottom w:type="dxa" w:w="120"/>
              <w:right w:type="dxa" w:w="120"/>
            </w:tcMar>
          </w:tcPr>
          <w:p>
            <w:pPr>
              <w:spacing w:after="60"/>
              <w:jc w:val="center"/>
            </w:pPr>
            <w:r>
              <w:rPr>
                <w:rFonts w:ascii="Arial" w:cs="Arial" w:eastAsia="Arial" w:hAnsi="Arial"/>
                <w:b/>
                <w:bCs/>
                <w:sz w:val="26"/>
                <w:szCs w:val="26"/>
              </w:rPr>
              <w:t xml:space="preserve">Rapport de simulation — Autoconsommation collective</w:t>
            </w:r>
          </w:p>
          <w:p>
            <w:pPr>
              <w:spacing w:after="60"/>
              <w:jc w:val="center"/>
            </w:pPr>
            <w:r>
              <w:rPr>
                <w:rFonts w:ascii="Arial" w:cs="Arial" w:eastAsia="Arial" w:hAnsi="Arial"/>
                <w:b/>
                <w:bCs/>
                <w:sz w:val="18"/>
                <w:szCs w:val="18"/>
              </w:rPr>
              <w:t xml:space="preserve">5 participants</w:t>
            </w:r>
            <w:r>
              <w:rPr>
                <w:rFonts w:ascii="Arial" w:cs="Arial" w:eastAsia="Arial" w:hAnsi="Arial"/>
                <w:b/>
                <w:bCs/>
                <w:sz w:val="18"/>
                <w:szCs w:val="18"/>
              </w:rPr>
              <w:t xml:space="preserve"> · </w:t>
            </w:r>
            <w:r>
              <w:rPr>
                <w:rFonts w:ascii="Arial" w:cs="Arial" w:eastAsia="Arial" w:hAnsi="Arial"/>
                <w:b/>
                <w:bCs/>
                <w:sz w:val="18"/>
                <w:szCs w:val="18"/>
              </w:rPr>
              <w:t xml:space="preserve">24 kWc</w:t>
            </w:r>
            <w:r>
              <w:rPr>
                <w:rFonts w:ascii="Arial" w:cs="Arial" w:eastAsia="Arial" w:hAnsi="Arial"/>
                <w:b/>
                <w:bCs/>
                <w:sz w:val="18"/>
                <w:szCs w:val="18"/>
              </w:rPr>
              <w:t xml:space="preserve"> · </w:t>
            </w:r>
            <w:r>
              <w:rPr>
                <w:rFonts w:ascii="Arial" w:cs="Arial" w:eastAsia="Arial" w:hAnsi="Arial"/>
                <w:b/>
                <w:bCs/>
                <w:sz w:val="18"/>
                <w:szCs w:val="18"/>
              </w:rPr>
              <w:t xml:space="preserve">mode </w:t>
            </w:r>
            <w:r>
              <w:rPr>
                <w:rFonts w:ascii="Arial" w:cs="Arial" w:eastAsia="Arial" w:hAnsi="Arial"/>
                <w:b/>
                <w:bCs/>
                <w:sz w:val="18"/>
                <w:szCs w:val="18"/>
              </w:rPr>
              <w:t xml:space="preserve">« Clé statique »</w:t>
            </w:r>
          </w:p>
          <w:p>
            <w:pPr>
              <w:jc w:val="center"/>
            </w:pPr>
            <w:r>
              <w:rPr>
                <w:rFonts w:ascii="Arial" w:cs="Arial" w:eastAsia="Arial" w:hAnsi="Arial"/>
                <w:color w:val="595959"/>
                <w:sz w:val="17"/>
                <w:szCs w:val="17"/>
              </w:rPr>
              <w:t xml:space="preserve">Établi le </w:t>
            </w:r>
            <w:r>
              <w:rPr>
                <w:rFonts w:ascii="Arial" w:cs="Arial" w:eastAsia="Arial" w:hAnsi="Arial"/>
                <w:color w:val="595959"/>
                <w:sz w:val="17"/>
                <w:szCs w:val="17"/>
              </w:rPr>
              <w:t xml:space="preserve">7 septembre 2026</w:t>
            </w:r>
            <w:r>
              <w:rPr>
                <w:rFonts w:ascii="Arial" w:cs="Arial" w:eastAsia="Arial" w:hAnsi="Arial"/>
                <w:color w:val="595959"/>
                <w:sz w:val="17"/>
                <w:szCs w:val="17"/>
              </w:rPr>
              <w:t xml:space="preserve"> · horizon </w:t>
            </w:r>
            <w:r>
              <w:rPr>
                <w:rFonts w:ascii="Arial" w:cs="Arial" w:eastAsia="Arial" w:hAnsi="Arial"/>
                <w:color w:val="595959"/>
                <w:sz w:val="17"/>
                <w:szCs w:val="17"/>
              </w:rPr>
              <w:t xml:space="preserve">25 ans</w:t>
            </w:r>
          </w:p>
          <w:p>
            <w:pPr>
              <w:spacing w:before="70"/>
              <w:jc w:val="center"/>
            </w:pPr>
            <w:r>
              <w:rPr>
                <w:rFonts w:ascii="Arial" w:cs="Arial" w:eastAsia="Arial" w:hAnsi="Arial"/>
                <w:i/>
                <w:iCs/>
                <w:color w:val="595959"/>
                <w:sz w:val="16"/>
                <w:szCs w:val="16"/>
              </w:rPr>
              <w:t xml:space="preserve">Document d'estimation à caractère indicatif : il ne constitue ni un conseil financier, ni un conseil juridique, ni une garantie de résultat.</w:t>
            </w:r>
          </w:p>
        </w:tc>
      </w:tr>
    </w:tbl>
    <w:p>
      <w:pPr>
        <w:spacing w:after="160"/>
      </w:pPr>
    </w:p>
    <w:tbl>
      <w:tblPr>
        <w:tblW w:type="dxa" w:w="10426"/>
        <w:tblBorders>
          <w:top w:val="single" w:color="0F4761" w:sz="12"/>
          <w:left w:val="single" w:color="0F4761" w:sz="12"/>
          <w:bottom w:val="single" w:color="0F4761" w:sz="12"/>
          <w:right w:val="single" w:color="0F4761" w:sz="12"/>
          <w:insideH w:val="single" w:color="auto" w:sz="4"/>
          <w:insideV w:val="single" w:color="auto" w:sz="4"/>
        </w:tblBorders>
      </w:tblPr>
      <w:tblGrid>
        <w:gridCol w:w="10426"/>
      </w:tblGrid>
      <w:tr>
        <w:tc>
          <w:tcPr>
            <w:tcW w:type="dxa" w:w="10426"/>
            <w:shd w:fill="FFF8E1" w:val="clear"/>
            <w:tcMar>
              <w:top w:type="dxa" w:w="100"/>
              <w:left w:type="dxa" w:w="120"/>
              <w:bottom w:type="dxa" w:w="100"/>
              <w:right w:type="dxa" w:w="120"/>
            </w:tcMar>
          </w:tcPr>
          <w:p>
            <w:pPr>
              <w:spacing w:after="70"/>
              <w:jc w:val="center"/>
            </w:pPr>
            <w:r>
              <w:rPr>
                <w:rFonts w:ascii="Arial" w:cs="Arial" w:eastAsia="Arial" w:hAnsi="Arial"/>
                <w:b/>
                <w:bCs/>
                <w:color w:val="0F4761"/>
                <w:sz w:val="20"/>
                <w:szCs w:val="20"/>
              </w:rPr>
              <w:t xml:space="preserve">Comment lire ce rapport</w:t>
            </w:r>
          </w:p>
          <w:p>
            <w:pPr>
              <w:jc w:val="both"/>
            </w:pPr>
            <w:r>
              <w:rPr>
                <w:rFonts w:ascii="Arial" w:cs="Arial" w:eastAsia="Arial" w:hAnsi="Arial"/>
                <w:sz w:val="18"/>
                <w:szCs w:val="18"/>
              </w:rPr>
              <w:t xml:space="preserve">Il est produit automatiquement par le simulateur : les chiffres reprennent l'état de la </w:t>
            </w:r>
            <w:r>
              <w:rPr>
                <w:rFonts w:ascii="Arial" w:cs="Arial" w:eastAsia="Arial" w:hAnsi="Arial"/>
                <w:sz w:val="18"/>
                <w:szCs w:val="18"/>
              </w:rPr>
              <w:t xml:space="preserve">simulation au moment de l'export. Dans les tableaux de paramètres, la colonne </w:t>
            </w:r>
            <w:r>
              <w:rPr>
                <w:rFonts w:ascii="Arial" w:cs="Arial" w:eastAsia="Arial" w:hAnsi="Arial"/>
                <w:b/>
                <w:bCs/>
                <w:sz w:val="18"/>
                <w:szCs w:val="18"/>
              </w:rPr>
              <w:t xml:space="preserve">Statut</w:t>
            </w:r>
            <w:r>
              <w:rPr>
                <w:rFonts w:ascii="Arial" w:cs="Arial" w:eastAsia="Arial" w:hAnsi="Arial"/>
                <w:sz w:val="18"/>
                <w:szCs w:val="18"/>
              </w:rPr>
              <w:t xml:space="preserve"> distingue les données </w:t>
            </w:r>
            <w:r>
              <w:rPr>
                <w:rFonts w:ascii="Arial" w:cs="Arial" w:eastAsia="Arial" w:hAnsi="Arial"/>
                <w:b/>
                <w:bCs/>
                <w:color w:val="1F7A3D"/>
                <w:sz w:val="18"/>
                <w:szCs w:val="18"/>
              </w:rPr>
              <w:t xml:space="preserve">sourcées</w:t>
            </w:r>
            <w:r>
              <w:rPr>
                <w:rFonts w:ascii="Arial" w:cs="Arial" w:eastAsia="Arial" w:hAnsi="Arial"/>
                <w:sz w:val="18"/>
                <w:szCs w:val="18"/>
              </w:rPr>
              <w:t xml:space="preserve">, les </w:t>
            </w:r>
            <w:r>
              <w:rPr>
                <w:rFonts w:ascii="Arial" w:cs="Arial" w:eastAsia="Arial" w:hAnsi="Arial"/>
                <w:b/>
                <w:bCs/>
                <w:color w:val="9C5A00"/>
                <w:sz w:val="18"/>
                <w:szCs w:val="18"/>
              </w:rPr>
              <w:t xml:space="preserve">hypothèses</w:t>
            </w:r>
            <w:r>
              <w:rPr>
                <w:rFonts w:ascii="Arial" w:cs="Arial" w:eastAsia="Arial" w:hAnsi="Arial"/>
                <w:sz w:val="18"/>
                <w:szCs w:val="18"/>
              </w:rPr>
              <w:t xml:space="preserve"> à confirmer, et les valeurs </w:t>
            </w:r>
            <w:r>
              <w:rPr>
                <w:rFonts w:ascii="Arial" w:cs="Arial" w:eastAsia="Arial" w:hAnsi="Arial"/>
                <w:b/>
                <w:bCs/>
                <w:color w:val="595959"/>
                <w:sz w:val="18"/>
                <w:szCs w:val="18"/>
              </w:rPr>
              <w:t xml:space="preserve">calculées</w:t>
            </w:r>
            <w:r>
              <w:rPr>
                <w:rFonts w:ascii="Arial" w:cs="Arial" w:eastAsia="Arial" w:hAnsi="Arial"/>
                <w:sz w:val="18"/>
                <w:szCs w:val="18"/>
              </w:rPr>
              <w:t xml:space="preserve">. Les paragraphes explicatifs sont repris du manuel d'utilisation et restent valables </w:t>
            </w:r>
            <w:r>
              <w:rPr>
                <w:rFonts w:ascii="Arial" w:cs="Arial" w:eastAsia="Arial" w:hAnsi="Arial"/>
                <w:sz w:val="18"/>
                <w:szCs w:val="18"/>
              </w:rPr>
              <w:t xml:space="preserve">quelles que soient les valeurs saisies.</w:t>
            </w:r>
          </w:p>
        </w:tc>
      </w:tr>
    </w:tbl>
    <w:p>
      <w:pPr>
        <w:pStyle w:val="Heading2"/>
        <w:spacing w:after="100" w:before="260"/>
      </w:pPr>
      <w:r>
        <w:rPr>
          <w:rFonts w:ascii="Arial" w:cs="Arial" w:eastAsia="Arial" w:hAnsi="Arial"/>
          <w:b/>
          <w:bCs/>
          <w:color w:val="0F4761"/>
          <w:sz w:val="22"/>
          <w:szCs w:val="22"/>
        </w:rPr>
        <w:t xml:space="preserve">1. Objet et principe de l'opération</w:t>
      </w:r>
    </w:p>
    <w:p>
      <w:pPr>
        <w:spacing w:after="120" w:line="264"/>
        <w:jc w:val="both"/>
      </w:pPr>
      <w:r>
        <w:rPr>
          <w:rFonts w:ascii="Arial" w:cs="Arial" w:eastAsia="Arial" w:hAnsi="Arial"/>
          <w:sz w:val="20"/>
          <w:szCs w:val="20"/>
        </w:rPr>
        <w:t xml:space="preserve">L'autoconsommation collective, définie à l'article L. 315-2 du code de l'énergie, permet à plusieurs participants proches de partager localement une production renouvelable, au sein d'une personne morale organisatrice (PMO), via le réseau public de distribution. L'électricité ne circule pas dans des câbles dédiés : elle transite par le réseau, et le partage est une opération comptable. Le gestionnaire de réseau affecte, toutes les 15 minutes, une part de la production à chaque consommateur selon une clé de répartition transmise par la PMO.</w:t>
      </w:r>
    </w:p>
    <w:p>
      <w:pPr>
        <w:spacing w:after="120" w:line="264"/>
        <w:jc w:val="both"/>
      </w:pPr>
      <w:r>
        <w:rPr>
          <w:rFonts w:ascii="Arial" w:cs="Arial" w:eastAsia="Arial" w:hAnsi="Arial"/>
          <w:sz w:val="20"/>
          <w:szCs w:val="20"/>
        </w:rPr>
        <w:t xml:space="preserve">Cette simulation modélise deux points de vue simultanément : celui du producteur, qui investit et perçoit des recettes, et celui des consommateurs, qui économisent sur leur facture. Ces deux intérêts s'opposent partiellement à travers le prix de vente ACC : ce que l'un gagne, l'autre le perd. Un projet n'est viable que si les deux colonnes sont acceptables.</w:t>
      </w:r>
    </w:p>
    <w:p>
      <w:pPr>
        <w:pStyle w:val="Heading2"/>
        <w:spacing w:after="100" w:before="260"/>
      </w:pPr>
      <w:r>
        <w:rPr>
          <w:rFonts w:ascii="Arial" w:cs="Arial" w:eastAsia="Arial" w:hAnsi="Arial"/>
          <w:b/>
          <w:bCs/>
          <w:color w:val="0F4761"/>
          <w:sz w:val="22"/>
          <w:szCs w:val="22"/>
        </w:rPr>
        <w:t xml:space="preserve">2. Synthèse</w:t>
      </w:r>
    </w:p>
    <w:p>
      <w:pPr>
        <w:spacing w:after="120" w:line="264"/>
        <w:jc w:val="both"/>
      </w:pPr>
      <w:r>
        <w:rPr>
          <w:rFonts w:ascii="Arial" w:cs="Arial" w:eastAsia="Arial" w:hAnsi="Arial"/>
          <w:color w:val="0F4761"/>
          <w:sz w:val="20"/>
          <w:szCs w:val="20"/>
        </w:rPr>
        <w:t xml:space="preserve">Dans cette configuration, l'opération est équilibrée pour les deux parties : le producteur dégage une valeur actuelle nette de 66 € sur 25 ans, et les participants économisent 340 € dès la première année.</w:t>
      </w:r>
    </w:p>
    <w:p>
      <w:pPr>
        <w:spacing w:after="120" w:line="264"/>
        <w:jc w:val="both"/>
      </w:pPr>
      <w:r>
        <w:rPr>
          <w:rFonts w:ascii="Arial" w:cs="Arial" w:eastAsia="Arial" w:hAnsi="Arial"/>
          <w:color w:val="0F4761"/>
          <w:sz w:val="20"/>
          <w:szCs w:val="20"/>
        </w:rPr>
        <w:t xml:space="preserve">Le rapport entre la production (26 400 kWh) et la capacité d'absorption du collectif (25 350 kWh) est cohérent.</w:t>
      </w:r>
    </w:p>
    <w:p>
      <w:pPr>
        <w:spacing w:after="120" w:line="264"/>
        <w:jc w:val="both"/>
      </w:pPr>
      <w:r>
        <w:rPr>
          <w:rFonts w:ascii="Arial" w:cs="Arial" w:eastAsia="Arial" w:hAnsi="Arial"/>
          <w:color w:val="0F4761"/>
          <w:sz w:val="20"/>
          <w:szCs w:val="20"/>
        </w:rPr>
        <w:t xml:space="preserve">Le mode « Ordre de priorité (maximisation) » affecterait 8 340 kWh de plus par an que le mode retenu, soit 13 983 € de valeur actuelle nette supplémentaire. Cette énergie n'est pas perdue physiquement : elle bascule en surplus collectif, valorisé 0,0400 €/kWh au lieu de 0,1200 €/kWh.</w:t>
      </w:r>
    </w:p>
    <w:p>
      <w:pPr>
        <w:pStyle w:val="Heading2"/>
        <w:spacing w:after="100" w:before="260"/>
      </w:pPr>
      <w:r>
        <w:rPr>
          <w:rFonts w:ascii="Arial" w:cs="Arial" w:eastAsia="Arial" w:hAnsi="Arial"/>
          <w:b/>
          <w:bCs/>
          <w:color w:val="0F4761"/>
          <w:sz w:val="22"/>
          <w:szCs w:val="22"/>
        </w:rPr>
        <w:t xml:space="preserve">3. Paramètres retenus</w:t>
      </w:r>
    </w:p>
    <w:p>
      <w:pPr>
        <w:pStyle w:val="Heading3"/>
        <w:spacing w:after="70" w:before="160"/>
      </w:pPr>
      <w:r>
        <w:rPr>
          <w:rFonts w:ascii="Arial" w:cs="Arial" w:eastAsia="Arial" w:hAnsi="Arial"/>
          <w:b/>
          <w:bCs/>
          <w:color w:val="0F4761"/>
          <w:sz w:val="20"/>
          <w:szCs w:val="20"/>
        </w:rPr>
        <w:t xml:space="preserve">3.1 Production et investissement</w:t>
      </w:r>
    </w:p>
    <w:tbl>
      <w:tblPr>
        <w:tblW w:type="dxa" w:w="10426"/>
        <w:tblBorders>
          <w:top w:val="single" w:color="9DB8C9" w:sz="4"/>
          <w:left w:val="single" w:color="9DB8C9" w:sz="4"/>
          <w:bottom w:val="single" w:color="9DB8C9" w:sz="4"/>
          <w:right w:val="single" w:color="9DB8C9" w:sz="4"/>
          <w:insideH w:val="single" w:color="9DB8C9" w:sz="4"/>
          <w:insideV w:val="single" w:color="9DB8C9" w:sz="4"/>
        </w:tblBorders>
      </w:tblPr>
      <w:tblGrid>
        <w:gridCol w:w="4233"/>
        <w:gridCol w:w="2116"/>
        <w:gridCol w:w="2072"/>
        <w:gridCol w:w="2005"/>
      </w:tblGrid>
      <w:tr>
        <w:trPr>
          <w:tblHeader/>
        </w:trPr>
        <w:tc>
          <w:tcPr>
            <w:tcW w:type="dxa" w:w="4233"/>
            <w:shd w:fill="DEEBF7" w:val="clear"/>
            <w:tcMar>
              <w:top w:type="dxa" w:w="40"/>
              <w:left w:type="dxa" w:w="80"/>
              <w:bottom w:type="dxa" w:w="40"/>
              <w:right w:type="dxa" w:w="80"/>
            </w:tcMar>
          </w:tcPr>
          <w:p>
            <w:pPr>
              <w:spacing w:after="0"/>
              <w:jc w:val="left"/>
            </w:pPr>
            <w:r>
              <w:rPr>
                <w:rFonts w:ascii="Arial" w:cs="Arial" w:eastAsia="Arial" w:hAnsi="Arial"/>
                <w:b/>
                <w:bCs/>
                <w:color w:val="0F4761"/>
                <w:sz w:val="17"/>
                <w:szCs w:val="17"/>
              </w:rPr>
              <w:t xml:space="preserve">Paramètre</w:t>
            </w:r>
          </w:p>
        </w:tc>
        <w:tc>
          <w:tcPr>
            <w:tcW w:type="dxa" w:w="2116"/>
            <w:shd w:fill="DEEBF7" w:val="clear"/>
            <w:tcMar>
              <w:top w:type="dxa" w:w="40"/>
              <w:left w:type="dxa" w:w="80"/>
              <w:bottom w:type="dxa" w:w="40"/>
              <w:right w:type="dxa" w:w="80"/>
            </w:tcMar>
          </w:tcPr>
          <w:p>
            <w:pPr>
              <w:spacing w:after="0"/>
              <w:jc w:val="center"/>
            </w:pPr>
            <w:r>
              <w:rPr>
                <w:rFonts w:ascii="Arial" w:cs="Arial" w:eastAsia="Arial" w:hAnsi="Arial"/>
                <w:b/>
                <w:bCs/>
                <w:color w:val="0F4761"/>
                <w:sz w:val="17"/>
                <w:szCs w:val="17"/>
              </w:rPr>
              <w:t xml:space="preserve">Valeur</w:t>
            </w:r>
          </w:p>
        </w:tc>
        <w:tc>
          <w:tcPr>
            <w:tcW w:type="dxa" w:w="2072"/>
            <w:shd w:fill="DEEBF7" w:val="clear"/>
            <w:tcMar>
              <w:top w:type="dxa" w:w="40"/>
              <w:left w:type="dxa" w:w="80"/>
              <w:bottom w:type="dxa" w:w="40"/>
              <w:right w:type="dxa" w:w="80"/>
            </w:tcMar>
          </w:tcPr>
          <w:p>
            <w:pPr>
              <w:spacing w:after="0"/>
              <w:jc w:val="center"/>
            </w:pPr>
            <w:r>
              <w:rPr>
                <w:rFonts w:ascii="Arial" w:cs="Arial" w:eastAsia="Arial" w:hAnsi="Arial"/>
                <w:b/>
                <w:bCs/>
                <w:color w:val="0F4761"/>
                <w:sz w:val="17"/>
                <w:szCs w:val="17"/>
              </w:rPr>
              <w:t xml:space="preserve">Unité</w:t>
            </w:r>
          </w:p>
        </w:tc>
        <w:tc>
          <w:tcPr>
            <w:tcW w:type="dxa" w:w="2005"/>
            <w:shd w:fill="DEEBF7" w:val="clear"/>
            <w:tcMar>
              <w:top w:type="dxa" w:w="40"/>
              <w:left w:type="dxa" w:w="80"/>
              <w:bottom w:type="dxa" w:w="40"/>
              <w:right w:type="dxa" w:w="80"/>
            </w:tcMar>
          </w:tcPr>
          <w:p>
            <w:pPr>
              <w:spacing w:after="0"/>
              <w:jc w:val="center"/>
            </w:pPr>
            <w:r>
              <w:rPr>
                <w:rFonts w:ascii="Arial" w:cs="Arial" w:eastAsia="Arial" w:hAnsi="Arial"/>
                <w:b/>
                <w:bCs/>
                <w:color w:val="0F4761"/>
                <w:sz w:val="17"/>
                <w:szCs w:val="17"/>
              </w:rPr>
              <w:t xml:space="preserve">Statut</w:t>
            </w:r>
          </w:p>
        </w:tc>
      </w:tr>
      <w:tr>
        <w:tc>
          <w:tcPr>
            <w:tcW w:type="dxa" w:w="4233"/>
            <w:tcMar>
              <w:top w:type="dxa" w:w="40"/>
              <w:left w:type="dxa" w:w="80"/>
              <w:bottom w:type="dxa" w:w="40"/>
              <w:right w:type="dxa" w:w="80"/>
            </w:tcMar>
          </w:tcPr>
          <w:p>
            <w:pPr>
              <w:spacing w:after="0"/>
              <w:jc w:val="left"/>
            </w:pPr>
            <w:r>
              <w:rPr>
                <w:rFonts w:ascii="Arial" w:cs="Arial" w:eastAsia="Arial" w:hAnsi="Arial"/>
                <w:sz w:val="17"/>
                <w:szCs w:val="17"/>
              </w:rPr>
              <w:t xml:space="preserve">Puissance installée</w:t>
            </w:r>
          </w:p>
        </w:tc>
        <w:tc>
          <w:tcPr>
            <w:tcW w:type="dxa" w:w="2116"/>
            <w:tcMar>
              <w:top w:type="dxa" w:w="40"/>
              <w:left w:type="dxa" w:w="80"/>
              <w:bottom w:type="dxa" w:w="40"/>
              <w:right w:type="dxa" w:w="80"/>
            </w:tcMar>
          </w:tcPr>
          <w:p>
            <w:pPr>
              <w:spacing w:after="0"/>
              <w:jc w:val="center"/>
            </w:pPr>
            <w:r>
              <w:rPr>
                <w:rFonts w:ascii="Arial" w:cs="Arial" w:eastAsia="Arial" w:hAnsi="Arial"/>
                <w:b/>
                <w:bCs/>
                <w:sz w:val="17"/>
                <w:szCs w:val="17"/>
              </w:rPr>
              <w:t xml:space="preserve">24</w:t>
            </w:r>
          </w:p>
        </w:tc>
        <w:tc>
          <w:tcPr>
            <w:tcW w:type="dxa" w:w="2072"/>
            <w:tcMar>
              <w:top w:type="dxa" w:w="40"/>
              <w:left w:type="dxa" w:w="80"/>
              <w:bottom w:type="dxa" w:w="40"/>
              <w:right w:type="dxa" w:w="80"/>
            </w:tcMar>
          </w:tcPr>
          <w:p>
            <w:pPr>
              <w:spacing w:after="0"/>
              <w:jc w:val="center"/>
            </w:pPr>
            <w:r>
              <w:rPr>
                <w:rFonts w:ascii="Arial" w:cs="Arial" w:eastAsia="Arial" w:hAnsi="Arial"/>
                <w:sz w:val="17"/>
                <w:szCs w:val="17"/>
              </w:rPr>
              <w:t xml:space="preserve">kWc</w:t>
            </w:r>
          </w:p>
        </w:tc>
        <w:tc>
          <w:tcPr>
            <w:tcW w:type="dxa" w:w="2005"/>
            <w:tcMar>
              <w:top w:type="dxa" w:w="40"/>
              <w:left w:type="dxa" w:w="80"/>
              <w:bottom w:type="dxa" w:w="40"/>
              <w:right w:type="dxa" w:w="80"/>
            </w:tcMar>
          </w:tcPr>
          <w:p>
            <w:pPr>
              <w:spacing w:after="0"/>
              <w:jc w:val="center"/>
            </w:pPr>
            <w:r>
              <w:rPr>
                <w:rFonts w:ascii="Arial" w:cs="Arial" w:eastAsia="Arial" w:hAnsi="Arial"/>
                <w:b/>
                <w:bCs/>
                <w:color w:val="9C5A00"/>
                <w:sz w:val="17"/>
                <w:szCs w:val="17"/>
              </w:rPr>
              <w:t xml:space="preserve">Hypothèse projet</w:t>
            </w:r>
          </w:p>
        </w:tc>
      </w:tr>
      <w:tr>
        <w:tc>
          <w:tcPr>
            <w:tcW w:type="dxa" w:w="4233"/>
            <w:shd w:fill="F4F9FC" w:val="clear"/>
            <w:tcMar>
              <w:top w:type="dxa" w:w="40"/>
              <w:left w:type="dxa" w:w="80"/>
              <w:bottom w:type="dxa" w:w="40"/>
              <w:right w:type="dxa" w:w="80"/>
            </w:tcMar>
          </w:tcPr>
          <w:p>
            <w:pPr>
              <w:spacing w:after="0"/>
              <w:jc w:val="left"/>
            </w:pPr>
            <w:r>
              <w:rPr>
                <w:rFonts w:ascii="Arial" w:cs="Arial" w:eastAsia="Arial" w:hAnsi="Arial"/>
                <w:sz w:val="17"/>
                <w:szCs w:val="17"/>
              </w:rPr>
              <w:t xml:space="preserve">Productible</w:t>
            </w:r>
          </w:p>
        </w:tc>
        <w:tc>
          <w:tcPr>
            <w:tcW w:type="dxa" w:w="2116"/>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1 100</w:t>
            </w:r>
          </w:p>
        </w:tc>
        <w:tc>
          <w:tcPr>
            <w:tcW w:type="dxa" w:w="2072"/>
            <w:shd w:fill="F4F9FC" w:val="clear"/>
            <w:tcMar>
              <w:top w:type="dxa" w:w="40"/>
              <w:left w:type="dxa" w:w="80"/>
              <w:bottom w:type="dxa" w:w="40"/>
              <w:right w:type="dxa" w:w="80"/>
            </w:tcMar>
          </w:tcPr>
          <w:p>
            <w:pPr>
              <w:spacing w:after="0"/>
              <w:jc w:val="center"/>
            </w:pPr>
            <w:r>
              <w:rPr>
                <w:rFonts w:ascii="Arial" w:cs="Arial" w:eastAsia="Arial" w:hAnsi="Arial"/>
                <w:sz w:val="17"/>
                <w:szCs w:val="17"/>
              </w:rPr>
              <w:t xml:space="preserve">kWh/kWc/an</w:t>
            </w:r>
          </w:p>
        </w:tc>
        <w:tc>
          <w:tcPr>
            <w:tcW w:type="dxa" w:w="2005"/>
            <w:shd w:fill="F4F9FC" w:val="clear"/>
            <w:tcMar>
              <w:top w:type="dxa" w:w="40"/>
              <w:left w:type="dxa" w:w="80"/>
              <w:bottom w:type="dxa" w:w="40"/>
              <w:right w:type="dxa" w:w="80"/>
            </w:tcMar>
          </w:tcPr>
          <w:p>
            <w:pPr>
              <w:spacing w:after="0"/>
              <w:jc w:val="center"/>
            </w:pPr>
            <w:r>
              <w:rPr>
                <w:rFonts w:ascii="Arial" w:cs="Arial" w:eastAsia="Arial" w:hAnsi="Arial"/>
                <w:b/>
                <w:bCs/>
                <w:color w:val="1F7A3D"/>
                <w:sz w:val="17"/>
                <w:szCs w:val="17"/>
              </w:rPr>
              <w:t xml:space="preserve">Sourcé — PVGIS</w:t>
            </w:r>
          </w:p>
        </w:tc>
      </w:tr>
      <w:tr>
        <w:tc>
          <w:tcPr>
            <w:tcW w:type="dxa" w:w="4233"/>
            <w:tcMar>
              <w:top w:type="dxa" w:w="40"/>
              <w:left w:type="dxa" w:w="80"/>
              <w:bottom w:type="dxa" w:w="40"/>
              <w:right w:type="dxa" w:w="80"/>
            </w:tcMar>
          </w:tcPr>
          <w:p>
            <w:pPr>
              <w:spacing w:after="0"/>
              <w:jc w:val="left"/>
            </w:pPr>
            <w:r>
              <w:rPr>
                <w:rFonts w:ascii="Arial" w:cs="Arial" w:eastAsia="Arial" w:hAnsi="Arial"/>
                <w:sz w:val="17"/>
                <w:szCs w:val="17"/>
              </w:rPr>
              <w:t xml:space="preserve">Investissement</w:t>
            </w:r>
          </w:p>
        </w:tc>
        <w:tc>
          <w:tcPr>
            <w:tcW w:type="dxa" w:w="2116"/>
            <w:tcMar>
              <w:top w:type="dxa" w:w="40"/>
              <w:left w:type="dxa" w:w="80"/>
              <w:bottom w:type="dxa" w:w="40"/>
              <w:right w:type="dxa" w:w="80"/>
            </w:tcMar>
          </w:tcPr>
          <w:p>
            <w:pPr>
              <w:spacing w:after="0"/>
              <w:jc w:val="center"/>
            </w:pPr>
            <w:r>
              <w:rPr>
                <w:rFonts w:ascii="Arial" w:cs="Arial" w:eastAsia="Arial" w:hAnsi="Arial"/>
                <w:b/>
                <w:bCs/>
                <w:sz w:val="17"/>
                <w:szCs w:val="17"/>
              </w:rPr>
              <w:t xml:space="preserve">27 600</w:t>
            </w:r>
          </w:p>
        </w:tc>
        <w:tc>
          <w:tcPr>
            <w:tcW w:type="dxa" w:w="2072"/>
            <w:tcMar>
              <w:top w:type="dxa" w:w="40"/>
              <w:left w:type="dxa" w:w="80"/>
              <w:bottom w:type="dxa" w:w="40"/>
              <w:right w:type="dxa" w:w="80"/>
            </w:tcMar>
          </w:tcPr>
          <w:p>
            <w:pPr>
              <w:spacing w:after="0"/>
              <w:jc w:val="center"/>
            </w:pPr>
            <w:r>
              <w:rPr>
                <w:rFonts w:ascii="Arial" w:cs="Arial" w:eastAsia="Arial" w:hAnsi="Arial"/>
                <w:sz w:val="17"/>
                <w:szCs w:val="17"/>
              </w:rPr>
              <w:t xml:space="preserve">€</w:t>
            </w:r>
          </w:p>
        </w:tc>
        <w:tc>
          <w:tcPr>
            <w:tcW w:type="dxa" w:w="2005"/>
            <w:tcMar>
              <w:top w:type="dxa" w:w="40"/>
              <w:left w:type="dxa" w:w="80"/>
              <w:bottom w:type="dxa" w:w="40"/>
              <w:right w:type="dxa" w:w="80"/>
            </w:tcMar>
          </w:tcPr>
          <w:p>
            <w:pPr>
              <w:spacing w:after="0"/>
              <w:jc w:val="center"/>
            </w:pPr>
            <w:r>
              <w:rPr>
                <w:rFonts w:ascii="Arial" w:cs="Arial" w:eastAsia="Arial" w:hAnsi="Arial"/>
                <w:b/>
                <w:bCs/>
                <w:color w:val="9C5A00"/>
                <w:sz w:val="17"/>
                <w:szCs w:val="17"/>
              </w:rPr>
              <w:t xml:space="preserve">Hypothèse projet</w:t>
            </w:r>
          </w:p>
        </w:tc>
      </w:tr>
      <w:tr>
        <w:tc>
          <w:tcPr>
            <w:tcW w:type="dxa" w:w="4233"/>
            <w:shd w:fill="F4F9FC" w:val="clear"/>
            <w:tcMar>
              <w:top w:type="dxa" w:w="40"/>
              <w:left w:type="dxa" w:w="80"/>
              <w:bottom w:type="dxa" w:w="40"/>
              <w:right w:type="dxa" w:w="80"/>
            </w:tcMar>
          </w:tcPr>
          <w:p>
            <w:pPr>
              <w:spacing w:after="0"/>
              <w:jc w:val="left"/>
            </w:pPr>
            <w:r>
              <w:rPr>
                <w:rFonts w:ascii="Arial" w:cs="Arial" w:eastAsia="Arial" w:hAnsi="Arial"/>
                <w:sz w:val="17"/>
                <w:szCs w:val="17"/>
              </w:rPr>
              <w:t xml:space="preserve">Subventions / apports</w:t>
            </w:r>
          </w:p>
        </w:tc>
        <w:tc>
          <w:tcPr>
            <w:tcW w:type="dxa" w:w="2116"/>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9 000</w:t>
            </w:r>
          </w:p>
        </w:tc>
        <w:tc>
          <w:tcPr>
            <w:tcW w:type="dxa" w:w="2072"/>
            <w:shd w:fill="F4F9FC" w:val="clear"/>
            <w:tcMar>
              <w:top w:type="dxa" w:w="40"/>
              <w:left w:type="dxa" w:w="80"/>
              <w:bottom w:type="dxa" w:w="40"/>
              <w:right w:type="dxa" w:w="80"/>
            </w:tcMar>
          </w:tcPr>
          <w:p>
            <w:pPr>
              <w:spacing w:after="0"/>
              <w:jc w:val="center"/>
            </w:pPr>
            <w:r>
              <w:rPr>
                <w:rFonts w:ascii="Arial" w:cs="Arial" w:eastAsia="Arial" w:hAnsi="Arial"/>
                <w:sz w:val="17"/>
                <w:szCs w:val="17"/>
              </w:rPr>
              <w:t xml:space="preserve">€</w:t>
            </w:r>
          </w:p>
        </w:tc>
        <w:tc>
          <w:tcPr>
            <w:tcW w:type="dxa" w:w="2005"/>
            <w:shd w:fill="F4F9FC" w:val="clear"/>
            <w:tcMar>
              <w:top w:type="dxa" w:w="40"/>
              <w:left w:type="dxa" w:w="80"/>
              <w:bottom w:type="dxa" w:w="40"/>
              <w:right w:type="dxa" w:w="80"/>
            </w:tcMar>
          </w:tcPr>
          <w:p>
            <w:pPr>
              <w:spacing w:after="0"/>
              <w:jc w:val="center"/>
            </w:pPr>
            <w:r>
              <w:rPr>
                <w:rFonts w:ascii="Arial" w:cs="Arial" w:eastAsia="Arial" w:hAnsi="Arial"/>
                <w:b/>
                <w:bCs/>
                <w:color w:val="9C5A00"/>
                <w:sz w:val="17"/>
                <w:szCs w:val="17"/>
              </w:rPr>
              <w:t xml:space="preserve">Hypothèse projet</w:t>
            </w:r>
          </w:p>
        </w:tc>
      </w:tr>
      <w:tr>
        <w:tc>
          <w:tcPr>
            <w:tcW w:type="dxa" w:w="4233"/>
            <w:tcMar>
              <w:top w:type="dxa" w:w="40"/>
              <w:left w:type="dxa" w:w="80"/>
              <w:bottom w:type="dxa" w:w="40"/>
              <w:right w:type="dxa" w:w="80"/>
            </w:tcMar>
          </w:tcPr>
          <w:p>
            <w:pPr>
              <w:spacing w:after="0"/>
              <w:jc w:val="left"/>
            </w:pPr>
            <w:r>
              <w:rPr>
                <w:rFonts w:ascii="Arial" w:cs="Arial" w:eastAsia="Arial" w:hAnsi="Arial"/>
                <w:sz w:val="17"/>
                <w:szCs w:val="17"/>
              </w:rPr>
              <w:t xml:space="preserve">Investissement net</w:t>
            </w:r>
          </w:p>
        </w:tc>
        <w:tc>
          <w:tcPr>
            <w:tcW w:type="dxa" w:w="2116"/>
            <w:tcMar>
              <w:top w:type="dxa" w:w="40"/>
              <w:left w:type="dxa" w:w="80"/>
              <w:bottom w:type="dxa" w:w="40"/>
              <w:right w:type="dxa" w:w="80"/>
            </w:tcMar>
          </w:tcPr>
          <w:p>
            <w:pPr>
              <w:spacing w:after="0"/>
              <w:jc w:val="center"/>
            </w:pPr>
            <w:r>
              <w:rPr>
                <w:rFonts w:ascii="Arial" w:cs="Arial" w:eastAsia="Arial" w:hAnsi="Arial"/>
                <w:b/>
                <w:bCs/>
                <w:sz w:val="17"/>
                <w:szCs w:val="17"/>
              </w:rPr>
              <w:t xml:space="preserve">18 600</w:t>
            </w:r>
          </w:p>
        </w:tc>
        <w:tc>
          <w:tcPr>
            <w:tcW w:type="dxa" w:w="2072"/>
            <w:tcMar>
              <w:top w:type="dxa" w:w="40"/>
              <w:left w:type="dxa" w:w="80"/>
              <w:bottom w:type="dxa" w:w="40"/>
              <w:right w:type="dxa" w:w="80"/>
            </w:tcMar>
          </w:tcPr>
          <w:p>
            <w:pPr>
              <w:spacing w:after="0"/>
              <w:jc w:val="center"/>
            </w:pPr>
            <w:r>
              <w:rPr>
                <w:rFonts w:ascii="Arial" w:cs="Arial" w:eastAsia="Arial" w:hAnsi="Arial"/>
                <w:sz w:val="17"/>
                <w:szCs w:val="17"/>
              </w:rPr>
              <w:t xml:space="preserve">€</w:t>
            </w:r>
          </w:p>
        </w:tc>
        <w:tc>
          <w:tcPr>
            <w:tcW w:type="dxa" w:w="2005"/>
            <w:tcMar>
              <w:top w:type="dxa" w:w="40"/>
              <w:left w:type="dxa" w:w="80"/>
              <w:bottom w:type="dxa" w:w="40"/>
              <w:right w:type="dxa" w:w="80"/>
            </w:tcMar>
          </w:tcPr>
          <w:p>
            <w:pPr>
              <w:spacing w:after="0"/>
              <w:jc w:val="center"/>
            </w:pPr>
            <w:r>
              <w:rPr>
                <w:rFonts w:ascii="Arial" w:cs="Arial" w:eastAsia="Arial" w:hAnsi="Arial"/>
                <w:b/>
                <w:bCs/>
                <w:color w:val="595959"/>
                <w:sz w:val="17"/>
                <w:szCs w:val="17"/>
              </w:rPr>
              <w:t xml:space="preserve">Calculé</w:t>
            </w:r>
          </w:p>
        </w:tc>
      </w:tr>
    </w:tbl>
    <w:p>
      <w:pPr>
        <w:spacing w:after="40" w:before="120"/>
      </w:pPr>
      <w:r>
        <w:rPr>
          <w:rFonts w:ascii="Arial" w:cs="Arial" w:eastAsia="Arial" w:hAnsi="Arial"/>
          <w:b/>
          <w:bCs/>
          <w:color w:val="0F4761"/>
          <w:sz w:val="19"/>
          <w:szCs w:val="19"/>
        </w:rPr>
        <w:t xml:space="preserve">Puissance installée</w:t>
      </w:r>
      <w:r>
        <w:rPr>
          <w:rFonts w:ascii="Arial" w:cs="Arial" w:eastAsia="Arial" w:hAnsi="Arial"/>
          <w:color w:val="595959"/>
          <w:sz w:val="17"/>
          <w:szCs w:val="17"/>
        </w:rPr>
        <w:t xml:space="preserve">  (kWc)</w:t>
      </w:r>
      <w:r>
        <w:rPr>
          <w:rFonts w:ascii="Arial" w:cs="Arial" w:eastAsia="Arial" w:hAnsi="Arial"/>
          <w:b/>
          <w:bCs/>
          <w:color w:val="9C5A00"/>
          <w:sz w:val="16"/>
          <w:szCs w:val="16"/>
        </w:rPr>
        <w:t xml:space="preserve">  ·  Hypothèse projet</w:t>
      </w:r>
    </w:p>
    <w:p>
      <w:pPr>
        <w:spacing w:after="60"/>
        <w:ind w:left="220"/>
        <w:jc w:val="both"/>
      </w:pPr>
      <w:r>
        <w:rPr>
          <w:rFonts w:ascii="Arial" w:cs="Arial" w:eastAsia="Arial" w:hAnsi="Arial"/>
          <w:b/>
          <w:bCs/>
          <w:color w:val="595959"/>
          <w:sz w:val="18"/>
          <w:szCs w:val="18"/>
        </w:rPr>
        <w:t xml:space="preserve">Ce que c'est. </w:t>
      </w:r>
      <w:r>
        <w:rPr>
          <w:rFonts w:ascii="Arial" w:cs="Arial" w:eastAsia="Arial" w:hAnsi="Arial"/>
          <w:b w:val="false"/>
          <w:bCs w:val="false"/>
          <w:i w:val="false"/>
          <w:iCs w:val="false"/>
          <w:sz w:val="18"/>
          <w:szCs w:val="18"/>
        </w:rPr>
        <w:t xml:space="preserve">La puissance crête cumulée de l'ensemble des installations participant à l'opération.</w:t>
      </w:r>
    </w:p>
    <w:p>
      <w:pPr>
        <w:spacing w:after="60"/>
        <w:ind w:left="220"/>
        <w:jc w:val="both"/>
      </w:pPr>
      <w:r>
        <w:rPr>
          <w:rFonts w:ascii="Arial" w:cs="Arial" w:eastAsia="Arial" w:hAnsi="Arial"/>
          <w:b/>
          <w:bCs/>
          <w:color w:val="595959"/>
          <w:sz w:val="18"/>
          <w:szCs w:val="18"/>
        </w:rPr>
        <w:t xml:space="preserve">Comment le régler. </w:t>
      </w:r>
      <w:r>
        <w:rPr>
          <w:rFonts w:ascii="Arial" w:cs="Arial" w:eastAsia="Arial" w:hAnsi="Arial"/>
          <w:b w:val="false"/>
          <w:bCs w:val="false"/>
          <w:i w:val="false"/>
          <w:iCs w:val="false"/>
          <w:sz w:val="18"/>
          <w:szCs w:val="18"/>
        </w:rPr>
        <w:t xml:space="preserve">Reprenez le devis. Contrainte réglementaire : la puissance cumulée d'une opération étendue doit rester </w:t>
      </w:r>
      <w:r>
        <w:rPr>
          <w:rFonts w:ascii="Arial" w:cs="Arial" w:eastAsia="Arial" w:hAnsi="Arial"/>
          <w:b/>
          <w:bCs/>
          <w:i w:val="false"/>
          <w:iCs w:val="false"/>
          <w:sz w:val="18"/>
          <w:szCs w:val="18"/>
        </w:rPr>
        <w:t xml:space="preserve">inférieure à 5 MW</w:t>
      </w:r>
      <w:r>
        <w:rPr>
          <w:rFonts w:ascii="Arial" w:cs="Arial" w:eastAsia="Arial" w:hAnsi="Arial"/>
          <w:b w:val="false"/>
          <w:bCs w:val="false"/>
          <w:i w:val="false"/>
          <w:iCs w:val="false"/>
          <w:sz w:val="18"/>
          <w:szCs w:val="18"/>
        </w:rPr>
        <w:t xml:space="preserve">, seuil porté jusqu'à 10 MW pour certaines opérations à l'échelle d'un EPCI. Second seuil, fiscal celui-là : </w:t>
      </w:r>
      <w:r>
        <w:rPr>
          <w:rFonts w:ascii="Arial" w:cs="Arial" w:eastAsia="Arial" w:hAnsi="Arial"/>
          <w:b/>
          <w:bCs/>
          <w:i w:val="false"/>
          <w:iCs w:val="false"/>
          <w:sz w:val="18"/>
          <w:szCs w:val="18"/>
        </w:rPr>
        <w:t xml:space="preserve">1 MWc</w:t>
      </w:r>
      <w:r>
        <w:rPr>
          <w:rFonts w:ascii="Arial" w:cs="Arial" w:eastAsia="Arial" w:hAnsi="Arial"/>
          <w:b w:val="false"/>
          <w:bCs w:val="false"/>
          <w:i w:val="false"/>
          <w:iCs w:val="false"/>
          <w:sz w:val="18"/>
          <w:szCs w:val="18"/>
        </w:rPr>
        <w:t xml:space="preserve">, au-delà duquel le tarif d'accise à 0 €/MWh ne s'applique plus.</w:t>
      </w:r>
    </w:p>
    <w:p>
      <w:pPr>
        <w:spacing w:after="60"/>
        <w:ind w:left="220"/>
        <w:jc w:val="both"/>
      </w:pPr>
      <w:r>
        <w:rPr>
          <w:rFonts w:ascii="Arial" w:cs="Arial" w:eastAsia="Arial" w:hAnsi="Arial"/>
          <w:b/>
          <w:bCs/>
          <w:color w:val="595959"/>
          <w:sz w:val="18"/>
          <w:szCs w:val="18"/>
        </w:rPr>
        <w:t xml:space="preserve">Effet sur le résultat. </w:t>
      </w:r>
      <w:r>
        <w:rPr>
          <w:rFonts w:ascii="Arial" w:cs="Arial" w:eastAsia="Arial" w:hAnsi="Arial"/>
          <w:b w:val="false"/>
          <w:bCs w:val="false"/>
          <w:i w:val="false"/>
          <w:iCs w:val="false"/>
          <w:sz w:val="18"/>
          <w:szCs w:val="18"/>
        </w:rPr>
        <w:t xml:space="preserve">Augmente la production, donc les recettes — mais au-delà de la capacité d'absorption des participants, chaque kWc supplémentaire ne fait que gonfler le surplus, valorisé bien moins cher. Comparez toujours la production affichée au total des capacités d'absorption.</w:t>
      </w:r>
    </w:p>
    <w:p>
      <w:pPr>
        <w:spacing w:after="40" w:before="120"/>
      </w:pPr>
      <w:r>
        <w:rPr>
          <w:rFonts w:ascii="Arial" w:cs="Arial" w:eastAsia="Arial" w:hAnsi="Arial"/>
          <w:b/>
          <w:bCs/>
          <w:color w:val="0F4761"/>
          <w:sz w:val="19"/>
          <w:szCs w:val="19"/>
        </w:rPr>
        <w:t xml:space="preserve">Productible</w:t>
      </w:r>
      <w:r>
        <w:rPr>
          <w:rFonts w:ascii="Arial" w:cs="Arial" w:eastAsia="Arial" w:hAnsi="Arial"/>
          <w:color w:val="595959"/>
          <w:sz w:val="17"/>
          <w:szCs w:val="17"/>
        </w:rPr>
        <w:t xml:space="preserve">  (kWh/kWc/an)</w:t>
      </w:r>
      <w:r>
        <w:rPr>
          <w:rFonts w:ascii="Arial" w:cs="Arial" w:eastAsia="Arial" w:hAnsi="Arial"/>
          <w:b/>
          <w:bCs/>
          <w:color w:val="1F7A3D"/>
          <w:sz w:val="16"/>
          <w:szCs w:val="16"/>
        </w:rPr>
        <w:t xml:space="preserve">  ·  Sourcé — PVGIS</w:t>
      </w:r>
    </w:p>
    <w:p>
      <w:pPr>
        <w:spacing w:after="60"/>
        <w:ind w:left="220"/>
        <w:jc w:val="both"/>
      </w:pPr>
      <w:r>
        <w:rPr>
          <w:rFonts w:ascii="Arial" w:cs="Arial" w:eastAsia="Arial" w:hAnsi="Arial"/>
          <w:b/>
          <w:bCs/>
          <w:color w:val="595959"/>
          <w:sz w:val="18"/>
          <w:szCs w:val="18"/>
        </w:rPr>
        <w:t xml:space="preserve">Ce que c'est. </w:t>
      </w:r>
      <w:r>
        <w:rPr>
          <w:rFonts w:ascii="Arial" w:cs="Arial" w:eastAsia="Arial" w:hAnsi="Arial"/>
          <w:b w:val="false"/>
          <w:bCs w:val="false"/>
          <w:i w:val="false"/>
          <w:iCs w:val="false"/>
          <w:sz w:val="18"/>
          <w:szCs w:val="18"/>
        </w:rPr>
        <w:t xml:space="preserve">L'énergie produite annuellement par kWc installé, intégrant ensoleillement, orientation, inclinaison et pertes.</w:t>
      </w:r>
    </w:p>
    <w:p>
      <w:pPr>
        <w:spacing w:after="60"/>
        <w:ind w:left="220"/>
        <w:jc w:val="both"/>
      </w:pPr>
      <w:r>
        <w:rPr>
          <w:rFonts w:ascii="Arial" w:cs="Arial" w:eastAsia="Arial" w:hAnsi="Arial"/>
          <w:b/>
          <w:bCs/>
          <w:color w:val="595959"/>
          <w:sz w:val="18"/>
          <w:szCs w:val="18"/>
        </w:rPr>
        <w:t xml:space="preserve">Comment le régler. </w:t>
      </w:r>
      <w:r>
        <w:rPr>
          <w:rFonts w:ascii="Arial" w:cs="Arial" w:eastAsia="Arial" w:hAnsi="Arial"/>
          <w:b w:val="false"/>
          <w:bCs w:val="false"/>
          <w:i w:val="false"/>
          <w:iCs w:val="false"/>
          <w:sz w:val="18"/>
          <w:szCs w:val="18"/>
        </w:rPr>
        <w:t xml:space="preserve">PVGIS ou la carte de productible de photovoltaique.info, à l'adresse du site de production. Environ 1 150 à 1 250 dans la vallée du Rhône.</w:t>
      </w:r>
    </w:p>
    <w:p>
      <w:pPr>
        <w:spacing w:after="60"/>
        <w:ind w:left="220"/>
        <w:jc w:val="both"/>
      </w:pPr>
      <w:r>
        <w:rPr>
          <w:rFonts w:ascii="Arial" w:cs="Arial" w:eastAsia="Arial" w:hAnsi="Arial"/>
          <w:b/>
          <w:bCs/>
          <w:color w:val="595959"/>
          <w:sz w:val="18"/>
          <w:szCs w:val="18"/>
        </w:rPr>
        <w:t xml:space="preserve">Effet sur le résultat. </w:t>
      </w:r>
      <w:r>
        <w:rPr>
          <w:rFonts w:ascii="Arial" w:cs="Arial" w:eastAsia="Arial" w:hAnsi="Arial"/>
          <w:b w:val="false"/>
          <w:bCs w:val="false"/>
          <w:i w:val="false"/>
          <w:iCs w:val="false"/>
          <w:sz w:val="18"/>
          <w:szCs w:val="18"/>
        </w:rPr>
        <w:t xml:space="preserve">Proportionnel à la production totale de l'opération.</w:t>
      </w:r>
    </w:p>
    <w:p>
      <w:pPr>
        <w:spacing w:after="40" w:before="120"/>
      </w:pPr>
      <w:r>
        <w:rPr>
          <w:rFonts w:ascii="Arial" w:cs="Arial" w:eastAsia="Arial" w:hAnsi="Arial"/>
          <w:b/>
          <w:bCs/>
          <w:color w:val="0F4761"/>
          <w:sz w:val="19"/>
          <w:szCs w:val="19"/>
        </w:rPr>
        <w:t xml:space="preserve">Investissement</w:t>
      </w:r>
      <w:r>
        <w:rPr>
          <w:rFonts w:ascii="Arial" w:cs="Arial" w:eastAsia="Arial" w:hAnsi="Arial"/>
          <w:color w:val="595959"/>
          <w:sz w:val="17"/>
          <w:szCs w:val="17"/>
        </w:rPr>
        <w:t xml:space="preserve">  (€)</w:t>
      </w:r>
      <w:r>
        <w:rPr>
          <w:rFonts w:ascii="Arial" w:cs="Arial" w:eastAsia="Arial" w:hAnsi="Arial"/>
          <w:b/>
          <w:bCs/>
          <w:color w:val="9C5A00"/>
          <w:sz w:val="16"/>
          <w:szCs w:val="16"/>
        </w:rPr>
        <w:t xml:space="preserve">  ·  Hypothèse projet</w:t>
      </w:r>
    </w:p>
    <w:p>
      <w:pPr>
        <w:spacing w:after="60"/>
        <w:ind w:left="220"/>
        <w:jc w:val="both"/>
      </w:pPr>
      <w:r>
        <w:rPr>
          <w:rFonts w:ascii="Arial" w:cs="Arial" w:eastAsia="Arial" w:hAnsi="Arial"/>
          <w:b/>
          <w:bCs/>
          <w:color w:val="595959"/>
          <w:sz w:val="18"/>
          <w:szCs w:val="18"/>
        </w:rPr>
        <w:t xml:space="preserve">Ce que c'est. </w:t>
      </w:r>
      <w:r>
        <w:rPr>
          <w:rFonts w:ascii="Arial" w:cs="Arial" w:eastAsia="Arial" w:hAnsi="Arial"/>
          <w:b w:val="false"/>
          <w:bCs w:val="false"/>
          <w:i w:val="false"/>
          <w:iCs w:val="false"/>
          <w:sz w:val="18"/>
          <w:szCs w:val="18"/>
        </w:rPr>
        <w:t xml:space="preserve">Le coût complet du projet : matériel, pose, raccordement, études de faisabilité, frais juridiques de constitution de la PMO.</w:t>
      </w:r>
    </w:p>
    <w:p>
      <w:pPr>
        <w:spacing w:after="60"/>
        <w:ind w:left="220"/>
        <w:jc w:val="both"/>
      </w:pPr>
      <w:r>
        <w:rPr>
          <w:rFonts w:ascii="Arial" w:cs="Arial" w:eastAsia="Arial" w:hAnsi="Arial"/>
          <w:b/>
          <w:bCs/>
          <w:color w:val="595959"/>
          <w:sz w:val="18"/>
          <w:szCs w:val="18"/>
        </w:rPr>
        <w:t xml:space="preserve">Comment le régler. </w:t>
      </w:r>
      <w:r>
        <w:rPr>
          <w:rFonts w:ascii="Arial" w:cs="Arial" w:eastAsia="Arial" w:hAnsi="Arial"/>
          <w:b w:val="false"/>
          <w:bCs w:val="false"/>
          <w:i w:val="false"/>
          <w:iCs w:val="false"/>
          <w:sz w:val="18"/>
          <w:szCs w:val="18"/>
        </w:rPr>
        <w:t xml:space="preserve">Devis, en n'oubliant pas les postes spécifiques à l'ACC — étude de faisabilité, montage juridique, convention avec le gestionnaire de réseau — qui pèsent proportionnellement plus lourd sur les petites opérations.</w:t>
      </w:r>
    </w:p>
    <w:p>
      <w:pPr>
        <w:spacing w:after="60"/>
        <w:ind w:left="220"/>
        <w:jc w:val="both"/>
      </w:pPr>
      <w:r>
        <w:rPr>
          <w:rFonts w:ascii="Arial" w:cs="Arial" w:eastAsia="Arial" w:hAnsi="Arial"/>
          <w:b/>
          <w:bCs/>
          <w:color w:val="595959"/>
          <w:sz w:val="18"/>
          <w:szCs w:val="18"/>
        </w:rPr>
        <w:t xml:space="preserve">Effet sur le résultat. </w:t>
      </w:r>
      <w:r>
        <w:rPr>
          <w:rFonts w:ascii="Arial" w:cs="Arial" w:eastAsia="Arial" w:hAnsi="Arial"/>
          <w:b w:val="false"/>
          <w:bCs w:val="false"/>
          <w:i w:val="false"/>
          <w:iCs w:val="false"/>
          <w:sz w:val="18"/>
          <w:szCs w:val="18"/>
        </w:rPr>
        <w:t xml:space="preserve">Point de départ de la courbe de trésorerie du producteur. Premier déterminant du temps de retour.</w:t>
      </w:r>
    </w:p>
    <w:p>
      <w:pPr>
        <w:spacing w:after="40" w:before="120"/>
      </w:pPr>
      <w:r>
        <w:rPr>
          <w:rFonts w:ascii="Arial" w:cs="Arial" w:eastAsia="Arial" w:hAnsi="Arial"/>
          <w:b/>
          <w:bCs/>
          <w:color w:val="0F4761"/>
          <w:sz w:val="19"/>
          <w:szCs w:val="19"/>
        </w:rPr>
        <w:t xml:space="preserve">Subventions / apports</w:t>
      </w:r>
      <w:r>
        <w:rPr>
          <w:rFonts w:ascii="Arial" w:cs="Arial" w:eastAsia="Arial" w:hAnsi="Arial"/>
          <w:color w:val="595959"/>
          <w:sz w:val="17"/>
          <w:szCs w:val="17"/>
        </w:rPr>
        <w:t xml:space="preserve">  (€)</w:t>
      </w:r>
      <w:r>
        <w:rPr>
          <w:rFonts w:ascii="Arial" w:cs="Arial" w:eastAsia="Arial" w:hAnsi="Arial"/>
          <w:b/>
          <w:bCs/>
          <w:color w:val="9C5A00"/>
          <w:sz w:val="16"/>
          <w:szCs w:val="16"/>
        </w:rPr>
        <w:t xml:space="preserve">  ·  Hypothèse projet</w:t>
      </w:r>
    </w:p>
    <w:p>
      <w:pPr>
        <w:spacing w:after="60"/>
        <w:ind w:left="220"/>
        <w:jc w:val="both"/>
      </w:pPr>
      <w:r>
        <w:rPr>
          <w:rFonts w:ascii="Arial" w:cs="Arial" w:eastAsia="Arial" w:hAnsi="Arial"/>
          <w:b/>
          <w:bCs/>
          <w:color w:val="595959"/>
          <w:sz w:val="18"/>
          <w:szCs w:val="18"/>
        </w:rPr>
        <w:t xml:space="preserve">Ce que c'est. </w:t>
      </w:r>
      <w:r>
        <w:rPr>
          <w:rFonts w:ascii="Arial" w:cs="Arial" w:eastAsia="Arial" w:hAnsi="Arial"/>
          <w:b w:val="false"/>
          <w:bCs w:val="false"/>
          <w:i w:val="false"/>
          <w:iCs w:val="false"/>
          <w:sz w:val="18"/>
          <w:szCs w:val="18"/>
        </w:rPr>
        <w:t xml:space="preserve">Les aides déduites de l'investissement : appels à projets régionaux, aides ADEME, apports citoyens non rémunérés, fonds propres d'une collectivité.</w:t>
      </w:r>
    </w:p>
    <w:p>
      <w:pPr>
        <w:spacing w:after="60"/>
        <w:ind w:left="220"/>
        <w:jc w:val="both"/>
      </w:pPr>
      <w:r>
        <w:rPr>
          <w:rFonts w:ascii="Arial" w:cs="Arial" w:eastAsia="Arial" w:hAnsi="Arial"/>
          <w:b/>
          <w:bCs/>
          <w:color w:val="595959"/>
          <w:sz w:val="18"/>
          <w:szCs w:val="18"/>
        </w:rPr>
        <w:t xml:space="preserve">Comment le régler. </w:t>
      </w:r>
      <w:r>
        <w:rPr>
          <w:rFonts w:ascii="Arial" w:cs="Arial" w:eastAsia="Arial" w:hAnsi="Arial"/>
          <w:b w:val="false"/>
          <w:bCs w:val="false"/>
          <w:i w:val="false"/>
          <w:iCs w:val="false"/>
          <w:sz w:val="18"/>
          <w:szCs w:val="18"/>
        </w:rPr>
        <w:t xml:space="preserve">Montant notifié. </w:t>
      </w:r>
      <w:r>
        <w:rPr>
          <w:rFonts w:ascii="Arial" w:cs="Arial" w:eastAsia="Arial" w:hAnsi="Arial"/>
          <w:b/>
          <w:bCs/>
          <w:i w:val="false"/>
          <w:iCs w:val="false"/>
          <w:sz w:val="18"/>
          <w:szCs w:val="18"/>
        </w:rPr>
        <w:t xml:space="preserve">Point de vigilance</w:t>
      </w:r>
      <w:r>
        <w:rPr>
          <w:rFonts w:ascii="Arial" w:cs="Arial" w:eastAsia="Arial" w:hAnsi="Arial"/>
          <w:b w:val="false"/>
          <w:bCs w:val="false"/>
          <w:i w:val="false"/>
          <w:iCs w:val="false"/>
          <w:sz w:val="18"/>
          <w:szCs w:val="18"/>
        </w:rPr>
        <w:t xml:space="preserve"> : les aides ne sont pas cumulables entre elles dans tous les cas, et bénéficier de l'arrêté tarifaire implique de renoncer aux aides à l'investissement sur la production. Vérifiez la compatibilité avant de cumuler.</w:t>
      </w:r>
    </w:p>
    <w:p>
      <w:pPr>
        <w:spacing w:after="60"/>
        <w:ind w:left="220"/>
        <w:jc w:val="both"/>
      </w:pPr>
      <w:r>
        <w:rPr>
          <w:rFonts w:ascii="Arial" w:cs="Arial" w:eastAsia="Arial" w:hAnsi="Arial"/>
          <w:b/>
          <w:bCs/>
          <w:color w:val="595959"/>
          <w:sz w:val="18"/>
          <w:szCs w:val="18"/>
        </w:rPr>
        <w:t xml:space="preserve">Effet sur le résultat. </w:t>
      </w:r>
      <w:r>
        <w:rPr>
          <w:rFonts w:ascii="Arial" w:cs="Arial" w:eastAsia="Arial" w:hAnsi="Arial"/>
          <w:b w:val="false"/>
          <w:bCs w:val="false"/>
          <w:i w:val="false"/>
          <w:iCs w:val="false"/>
          <w:sz w:val="18"/>
          <w:szCs w:val="18"/>
        </w:rPr>
        <w:t xml:space="preserve">Réduit d'autant l'investissement net. Avec les valeurs par défaut, ramener ce champ à 0 fait basculer la VAN nettement en négatif — ce qui illustre la dépendance historique de l'ACC au soutien public.</w:t>
      </w:r>
    </w:p>
    <w:p>
      <w:pPr>
        <w:pStyle w:val="Heading3"/>
        <w:spacing w:after="70" w:before="160"/>
      </w:pPr>
      <w:r>
        <w:rPr>
          <w:rFonts w:ascii="Arial" w:cs="Arial" w:eastAsia="Arial" w:hAnsi="Arial"/>
          <w:b/>
          <w:bCs/>
          <w:color w:val="0F4761"/>
          <w:sz w:val="20"/>
          <w:szCs w:val="20"/>
        </w:rPr>
        <w:t xml:space="preserve">3.2 Prix de l'énergie</w:t>
      </w:r>
    </w:p>
    <w:tbl>
      <w:tblPr>
        <w:tblW w:type="dxa" w:w="10426"/>
        <w:tblBorders>
          <w:top w:val="single" w:color="9DB8C9" w:sz="4"/>
          <w:left w:val="single" w:color="9DB8C9" w:sz="4"/>
          <w:bottom w:val="single" w:color="9DB8C9" w:sz="4"/>
          <w:right w:val="single" w:color="9DB8C9" w:sz="4"/>
          <w:insideH w:val="single" w:color="9DB8C9" w:sz="4"/>
          <w:insideV w:val="single" w:color="9DB8C9" w:sz="4"/>
        </w:tblBorders>
      </w:tblPr>
      <w:tblGrid>
        <w:gridCol w:w="4233"/>
        <w:gridCol w:w="2116"/>
        <w:gridCol w:w="2072"/>
        <w:gridCol w:w="2005"/>
      </w:tblGrid>
      <w:tr>
        <w:trPr>
          <w:tblHeader/>
        </w:trPr>
        <w:tc>
          <w:tcPr>
            <w:tcW w:type="dxa" w:w="4233"/>
            <w:shd w:fill="DEEBF7" w:val="clear"/>
            <w:tcMar>
              <w:top w:type="dxa" w:w="40"/>
              <w:left w:type="dxa" w:w="80"/>
              <w:bottom w:type="dxa" w:w="40"/>
              <w:right w:type="dxa" w:w="80"/>
            </w:tcMar>
          </w:tcPr>
          <w:p>
            <w:pPr>
              <w:spacing w:after="0"/>
              <w:jc w:val="left"/>
            </w:pPr>
            <w:r>
              <w:rPr>
                <w:rFonts w:ascii="Arial" w:cs="Arial" w:eastAsia="Arial" w:hAnsi="Arial"/>
                <w:b/>
                <w:bCs/>
                <w:color w:val="0F4761"/>
                <w:sz w:val="17"/>
                <w:szCs w:val="17"/>
              </w:rPr>
              <w:t xml:space="preserve">Paramètre</w:t>
            </w:r>
          </w:p>
        </w:tc>
        <w:tc>
          <w:tcPr>
            <w:tcW w:type="dxa" w:w="2116"/>
            <w:shd w:fill="DEEBF7" w:val="clear"/>
            <w:tcMar>
              <w:top w:type="dxa" w:w="40"/>
              <w:left w:type="dxa" w:w="80"/>
              <w:bottom w:type="dxa" w:w="40"/>
              <w:right w:type="dxa" w:w="80"/>
            </w:tcMar>
          </w:tcPr>
          <w:p>
            <w:pPr>
              <w:spacing w:after="0"/>
              <w:jc w:val="center"/>
            </w:pPr>
            <w:r>
              <w:rPr>
                <w:rFonts w:ascii="Arial" w:cs="Arial" w:eastAsia="Arial" w:hAnsi="Arial"/>
                <w:b/>
                <w:bCs/>
                <w:color w:val="0F4761"/>
                <w:sz w:val="17"/>
                <w:szCs w:val="17"/>
              </w:rPr>
              <w:t xml:space="preserve">Valeur</w:t>
            </w:r>
          </w:p>
        </w:tc>
        <w:tc>
          <w:tcPr>
            <w:tcW w:type="dxa" w:w="2072"/>
            <w:shd w:fill="DEEBF7" w:val="clear"/>
            <w:tcMar>
              <w:top w:type="dxa" w:w="40"/>
              <w:left w:type="dxa" w:w="80"/>
              <w:bottom w:type="dxa" w:w="40"/>
              <w:right w:type="dxa" w:w="80"/>
            </w:tcMar>
          </w:tcPr>
          <w:p>
            <w:pPr>
              <w:spacing w:after="0"/>
              <w:jc w:val="center"/>
            </w:pPr>
            <w:r>
              <w:rPr>
                <w:rFonts w:ascii="Arial" w:cs="Arial" w:eastAsia="Arial" w:hAnsi="Arial"/>
                <w:b/>
                <w:bCs/>
                <w:color w:val="0F4761"/>
                <w:sz w:val="17"/>
                <w:szCs w:val="17"/>
              </w:rPr>
              <w:t xml:space="preserve">Unité</w:t>
            </w:r>
          </w:p>
        </w:tc>
        <w:tc>
          <w:tcPr>
            <w:tcW w:type="dxa" w:w="2005"/>
            <w:shd w:fill="DEEBF7" w:val="clear"/>
            <w:tcMar>
              <w:top w:type="dxa" w:w="40"/>
              <w:left w:type="dxa" w:w="80"/>
              <w:bottom w:type="dxa" w:w="40"/>
              <w:right w:type="dxa" w:w="80"/>
            </w:tcMar>
          </w:tcPr>
          <w:p>
            <w:pPr>
              <w:spacing w:after="0"/>
              <w:jc w:val="center"/>
            </w:pPr>
            <w:r>
              <w:rPr>
                <w:rFonts w:ascii="Arial" w:cs="Arial" w:eastAsia="Arial" w:hAnsi="Arial"/>
                <w:b/>
                <w:bCs/>
                <w:color w:val="0F4761"/>
                <w:sz w:val="17"/>
                <w:szCs w:val="17"/>
              </w:rPr>
              <w:t xml:space="preserve">Statut</w:t>
            </w:r>
          </w:p>
        </w:tc>
      </w:tr>
      <w:tr>
        <w:tc>
          <w:tcPr>
            <w:tcW w:type="dxa" w:w="4233"/>
            <w:tcMar>
              <w:top w:type="dxa" w:w="40"/>
              <w:left w:type="dxa" w:w="80"/>
              <w:bottom w:type="dxa" w:w="40"/>
              <w:right w:type="dxa" w:w="80"/>
            </w:tcMar>
          </w:tcPr>
          <w:p>
            <w:pPr>
              <w:spacing w:after="0"/>
              <w:jc w:val="left"/>
            </w:pPr>
            <w:r>
              <w:rPr>
                <w:rFonts w:ascii="Arial" w:cs="Arial" w:eastAsia="Arial" w:hAnsi="Arial"/>
                <w:sz w:val="17"/>
                <w:szCs w:val="17"/>
              </w:rPr>
              <w:t xml:space="preserve">Prix réseau évité (an 0)</w:t>
            </w:r>
          </w:p>
        </w:tc>
        <w:tc>
          <w:tcPr>
            <w:tcW w:type="dxa" w:w="2116"/>
            <w:tcMar>
              <w:top w:type="dxa" w:w="40"/>
              <w:left w:type="dxa" w:w="80"/>
              <w:bottom w:type="dxa" w:w="40"/>
              <w:right w:type="dxa" w:w="80"/>
            </w:tcMar>
          </w:tcPr>
          <w:p>
            <w:pPr>
              <w:spacing w:after="0"/>
              <w:jc w:val="center"/>
            </w:pPr>
            <w:r>
              <w:rPr>
                <w:rFonts w:ascii="Arial" w:cs="Arial" w:eastAsia="Arial" w:hAnsi="Arial"/>
                <w:b/>
                <w:bCs/>
                <w:sz w:val="17"/>
                <w:szCs w:val="17"/>
              </w:rPr>
              <w:t xml:space="preserve">0,1940</w:t>
            </w:r>
          </w:p>
        </w:tc>
        <w:tc>
          <w:tcPr>
            <w:tcW w:type="dxa" w:w="2072"/>
            <w:tcMar>
              <w:top w:type="dxa" w:w="40"/>
              <w:left w:type="dxa" w:w="80"/>
              <w:bottom w:type="dxa" w:w="40"/>
              <w:right w:type="dxa" w:w="80"/>
            </w:tcMar>
          </w:tcPr>
          <w:p>
            <w:pPr>
              <w:spacing w:after="0"/>
              <w:jc w:val="center"/>
            </w:pPr>
            <w:r>
              <w:rPr>
                <w:rFonts w:ascii="Arial" w:cs="Arial" w:eastAsia="Arial" w:hAnsi="Arial"/>
                <w:sz w:val="17"/>
                <w:szCs w:val="17"/>
              </w:rPr>
              <w:t xml:space="preserve">€/kWh</w:t>
            </w:r>
          </w:p>
        </w:tc>
        <w:tc>
          <w:tcPr>
            <w:tcW w:type="dxa" w:w="2005"/>
            <w:tcMar>
              <w:top w:type="dxa" w:w="40"/>
              <w:left w:type="dxa" w:w="80"/>
              <w:bottom w:type="dxa" w:w="40"/>
              <w:right w:type="dxa" w:w="80"/>
            </w:tcMar>
          </w:tcPr>
          <w:p>
            <w:pPr>
              <w:spacing w:after="0"/>
              <w:jc w:val="center"/>
            </w:pPr>
            <w:r>
              <w:rPr>
                <w:rFonts w:ascii="Arial" w:cs="Arial" w:eastAsia="Arial" w:hAnsi="Arial"/>
                <w:b/>
                <w:bCs/>
                <w:color w:val="1F7A3D"/>
                <w:sz w:val="17"/>
                <w:szCs w:val="17"/>
              </w:rPr>
              <w:t xml:space="preserve">Sourcé — TRV</w:t>
            </w:r>
          </w:p>
        </w:tc>
      </w:tr>
      <w:tr>
        <w:tc>
          <w:tcPr>
            <w:tcW w:type="dxa" w:w="4233"/>
            <w:shd w:fill="F4F9FC" w:val="clear"/>
            <w:tcMar>
              <w:top w:type="dxa" w:w="40"/>
              <w:left w:type="dxa" w:w="80"/>
              <w:bottom w:type="dxa" w:w="40"/>
              <w:right w:type="dxa" w:w="80"/>
            </w:tcMar>
          </w:tcPr>
          <w:p>
            <w:pPr>
              <w:spacing w:after="0"/>
              <w:jc w:val="left"/>
            </w:pPr>
            <w:r>
              <w:rPr>
                <w:rFonts w:ascii="Arial" w:cs="Arial" w:eastAsia="Arial" w:hAnsi="Arial"/>
                <w:sz w:val="17"/>
                <w:szCs w:val="17"/>
              </w:rPr>
              <w:t xml:space="preserve">Prix de vente ACC</w:t>
            </w:r>
          </w:p>
        </w:tc>
        <w:tc>
          <w:tcPr>
            <w:tcW w:type="dxa" w:w="2116"/>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0,1200</w:t>
            </w:r>
          </w:p>
        </w:tc>
        <w:tc>
          <w:tcPr>
            <w:tcW w:type="dxa" w:w="2072"/>
            <w:shd w:fill="F4F9FC" w:val="clear"/>
            <w:tcMar>
              <w:top w:type="dxa" w:w="40"/>
              <w:left w:type="dxa" w:w="80"/>
              <w:bottom w:type="dxa" w:w="40"/>
              <w:right w:type="dxa" w:w="80"/>
            </w:tcMar>
          </w:tcPr>
          <w:p>
            <w:pPr>
              <w:spacing w:after="0"/>
              <w:jc w:val="center"/>
            </w:pPr>
            <w:r>
              <w:rPr>
                <w:rFonts w:ascii="Arial" w:cs="Arial" w:eastAsia="Arial" w:hAnsi="Arial"/>
                <w:sz w:val="17"/>
                <w:szCs w:val="17"/>
              </w:rPr>
              <w:t xml:space="preserve">€/kWh</w:t>
            </w:r>
          </w:p>
        </w:tc>
        <w:tc>
          <w:tcPr>
            <w:tcW w:type="dxa" w:w="2005"/>
            <w:shd w:fill="F4F9FC" w:val="clear"/>
            <w:tcMar>
              <w:top w:type="dxa" w:w="40"/>
              <w:left w:type="dxa" w:w="80"/>
              <w:bottom w:type="dxa" w:w="40"/>
              <w:right w:type="dxa" w:w="80"/>
            </w:tcMar>
          </w:tcPr>
          <w:p>
            <w:pPr>
              <w:spacing w:after="0"/>
              <w:jc w:val="center"/>
            </w:pPr>
            <w:r>
              <w:rPr>
                <w:rFonts w:ascii="Arial" w:cs="Arial" w:eastAsia="Arial" w:hAnsi="Arial"/>
                <w:b/>
                <w:bCs/>
                <w:color w:val="9C5A00"/>
                <w:sz w:val="17"/>
                <w:szCs w:val="17"/>
              </w:rPr>
              <w:t xml:space="preserve">Hypothèse — PMO</w:t>
            </w:r>
          </w:p>
        </w:tc>
      </w:tr>
      <w:tr>
        <w:tc>
          <w:tcPr>
            <w:tcW w:type="dxa" w:w="4233"/>
            <w:tcMar>
              <w:top w:type="dxa" w:w="40"/>
              <w:left w:type="dxa" w:w="80"/>
              <w:bottom w:type="dxa" w:w="40"/>
              <w:right w:type="dxa" w:w="80"/>
            </w:tcMar>
          </w:tcPr>
          <w:p>
            <w:pPr>
              <w:spacing w:after="0"/>
              <w:jc w:val="left"/>
            </w:pPr>
            <w:r>
              <w:rPr>
                <w:rFonts w:ascii="Arial" w:cs="Arial" w:eastAsia="Arial" w:hAnsi="Arial"/>
                <w:sz w:val="17"/>
                <w:szCs w:val="17"/>
              </w:rPr>
              <w:t xml:space="preserve">Réseau et taxes sur kWh ACC</w:t>
            </w:r>
          </w:p>
        </w:tc>
        <w:tc>
          <w:tcPr>
            <w:tcW w:type="dxa" w:w="2116"/>
            <w:tcMar>
              <w:top w:type="dxa" w:w="40"/>
              <w:left w:type="dxa" w:w="80"/>
              <w:bottom w:type="dxa" w:w="40"/>
              <w:right w:type="dxa" w:w="80"/>
            </w:tcMar>
          </w:tcPr>
          <w:p>
            <w:pPr>
              <w:spacing w:after="0"/>
              <w:jc w:val="center"/>
            </w:pPr>
            <w:r>
              <w:rPr>
                <w:rFonts w:ascii="Arial" w:cs="Arial" w:eastAsia="Arial" w:hAnsi="Arial"/>
                <w:b/>
                <w:bCs/>
                <w:sz w:val="17"/>
                <w:szCs w:val="17"/>
              </w:rPr>
              <w:t xml:space="preserve">0,0540</w:t>
            </w:r>
          </w:p>
        </w:tc>
        <w:tc>
          <w:tcPr>
            <w:tcW w:type="dxa" w:w="2072"/>
            <w:tcMar>
              <w:top w:type="dxa" w:w="40"/>
              <w:left w:type="dxa" w:w="80"/>
              <w:bottom w:type="dxa" w:w="40"/>
              <w:right w:type="dxa" w:w="80"/>
            </w:tcMar>
          </w:tcPr>
          <w:p>
            <w:pPr>
              <w:spacing w:after="0"/>
              <w:jc w:val="center"/>
            </w:pPr>
            <w:r>
              <w:rPr>
                <w:rFonts w:ascii="Arial" w:cs="Arial" w:eastAsia="Arial" w:hAnsi="Arial"/>
                <w:sz w:val="17"/>
                <w:szCs w:val="17"/>
              </w:rPr>
              <w:t xml:space="preserve">€/kWh</w:t>
            </w:r>
          </w:p>
        </w:tc>
        <w:tc>
          <w:tcPr>
            <w:tcW w:type="dxa" w:w="2005"/>
            <w:tcMar>
              <w:top w:type="dxa" w:w="40"/>
              <w:left w:type="dxa" w:w="80"/>
              <w:bottom w:type="dxa" w:w="40"/>
              <w:right w:type="dxa" w:w="80"/>
            </w:tcMar>
          </w:tcPr>
          <w:p>
            <w:pPr>
              <w:spacing w:after="0"/>
              <w:jc w:val="center"/>
            </w:pPr>
            <w:r>
              <w:rPr>
                <w:rFonts w:ascii="Arial" w:cs="Arial" w:eastAsia="Arial" w:hAnsi="Arial"/>
                <w:b/>
                <w:bCs/>
                <w:color w:val="9C5A00"/>
                <w:sz w:val="17"/>
                <w:szCs w:val="17"/>
              </w:rPr>
              <w:t xml:space="preserve">Hypothèse à vérifier</w:t>
            </w:r>
          </w:p>
        </w:tc>
      </w:tr>
      <w:tr>
        <w:tc>
          <w:tcPr>
            <w:tcW w:type="dxa" w:w="4233"/>
            <w:shd w:fill="F4F9FC" w:val="clear"/>
            <w:tcMar>
              <w:top w:type="dxa" w:w="40"/>
              <w:left w:type="dxa" w:w="80"/>
              <w:bottom w:type="dxa" w:w="40"/>
              <w:right w:type="dxa" w:w="80"/>
            </w:tcMar>
          </w:tcPr>
          <w:p>
            <w:pPr>
              <w:spacing w:after="0"/>
              <w:jc w:val="left"/>
            </w:pPr>
            <w:r>
              <w:rPr>
                <w:rFonts w:ascii="Arial" w:cs="Arial" w:eastAsia="Arial" w:hAnsi="Arial"/>
                <w:sz w:val="17"/>
                <w:szCs w:val="17"/>
              </w:rPr>
              <w:t xml:space="preserve">Valorisation du surplus</w:t>
            </w:r>
          </w:p>
        </w:tc>
        <w:tc>
          <w:tcPr>
            <w:tcW w:type="dxa" w:w="2116"/>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0,0400</w:t>
            </w:r>
          </w:p>
        </w:tc>
        <w:tc>
          <w:tcPr>
            <w:tcW w:type="dxa" w:w="2072"/>
            <w:shd w:fill="F4F9FC" w:val="clear"/>
            <w:tcMar>
              <w:top w:type="dxa" w:w="40"/>
              <w:left w:type="dxa" w:w="80"/>
              <w:bottom w:type="dxa" w:w="40"/>
              <w:right w:type="dxa" w:w="80"/>
            </w:tcMar>
          </w:tcPr>
          <w:p>
            <w:pPr>
              <w:spacing w:after="0"/>
              <w:jc w:val="center"/>
            </w:pPr>
            <w:r>
              <w:rPr>
                <w:rFonts w:ascii="Arial" w:cs="Arial" w:eastAsia="Arial" w:hAnsi="Arial"/>
                <w:sz w:val="17"/>
                <w:szCs w:val="17"/>
              </w:rPr>
              <w:t xml:space="preserve">€/kWh</w:t>
            </w:r>
          </w:p>
        </w:tc>
        <w:tc>
          <w:tcPr>
            <w:tcW w:type="dxa" w:w="2005"/>
            <w:shd w:fill="F4F9FC" w:val="clear"/>
            <w:tcMar>
              <w:top w:type="dxa" w:w="40"/>
              <w:left w:type="dxa" w:w="80"/>
              <w:bottom w:type="dxa" w:w="40"/>
              <w:right w:type="dxa" w:w="80"/>
            </w:tcMar>
          </w:tcPr>
          <w:p>
            <w:pPr>
              <w:spacing w:after="0"/>
              <w:jc w:val="center"/>
            </w:pPr>
            <w:r>
              <w:rPr>
                <w:rFonts w:ascii="Arial" w:cs="Arial" w:eastAsia="Arial" w:hAnsi="Arial"/>
                <w:b/>
                <w:bCs/>
                <w:color w:val="9C5A00"/>
                <w:sz w:val="17"/>
                <w:szCs w:val="17"/>
              </w:rPr>
              <w:t xml:space="preserve">Hypothèse à vérifier</w:t>
            </w:r>
          </w:p>
        </w:tc>
      </w:tr>
      <w:tr>
        <w:tc>
          <w:tcPr>
            <w:tcW w:type="dxa" w:w="4233"/>
            <w:tcMar>
              <w:top w:type="dxa" w:w="40"/>
              <w:left w:type="dxa" w:w="80"/>
              <w:bottom w:type="dxa" w:w="40"/>
              <w:right w:type="dxa" w:w="80"/>
            </w:tcMar>
          </w:tcPr>
          <w:p>
            <w:pPr>
              <w:spacing w:after="0"/>
              <w:jc w:val="left"/>
            </w:pPr>
            <w:r>
              <w:rPr>
                <w:rFonts w:ascii="Arial" w:cs="Arial" w:eastAsia="Arial" w:hAnsi="Arial"/>
                <w:sz w:val="17"/>
                <w:szCs w:val="17"/>
              </w:rPr>
              <w:t xml:space="preserve">Marge unitaire consommateur</w:t>
            </w:r>
          </w:p>
        </w:tc>
        <w:tc>
          <w:tcPr>
            <w:tcW w:type="dxa" w:w="2116"/>
            <w:tcMar>
              <w:top w:type="dxa" w:w="40"/>
              <w:left w:type="dxa" w:w="80"/>
              <w:bottom w:type="dxa" w:w="40"/>
              <w:right w:type="dxa" w:w="80"/>
            </w:tcMar>
          </w:tcPr>
          <w:p>
            <w:pPr>
              <w:spacing w:after="0"/>
              <w:jc w:val="center"/>
            </w:pPr>
            <w:r>
              <w:rPr>
                <w:rFonts w:ascii="Arial" w:cs="Arial" w:eastAsia="Arial" w:hAnsi="Arial"/>
                <w:b/>
                <w:bCs/>
                <w:sz w:val="17"/>
                <w:szCs w:val="17"/>
              </w:rPr>
              <w:t xml:space="preserve">0,0200</w:t>
            </w:r>
          </w:p>
        </w:tc>
        <w:tc>
          <w:tcPr>
            <w:tcW w:type="dxa" w:w="2072"/>
            <w:tcMar>
              <w:top w:type="dxa" w:w="40"/>
              <w:left w:type="dxa" w:w="80"/>
              <w:bottom w:type="dxa" w:w="40"/>
              <w:right w:type="dxa" w:w="80"/>
            </w:tcMar>
          </w:tcPr>
          <w:p>
            <w:pPr>
              <w:spacing w:after="0"/>
              <w:jc w:val="center"/>
            </w:pPr>
            <w:r>
              <w:rPr>
                <w:rFonts w:ascii="Arial" w:cs="Arial" w:eastAsia="Arial" w:hAnsi="Arial"/>
                <w:sz w:val="17"/>
                <w:szCs w:val="17"/>
              </w:rPr>
              <w:t xml:space="preserve">€/kWh</w:t>
            </w:r>
          </w:p>
        </w:tc>
        <w:tc>
          <w:tcPr>
            <w:tcW w:type="dxa" w:w="2005"/>
            <w:tcMar>
              <w:top w:type="dxa" w:w="40"/>
              <w:left w:type="dxa" w:w="80"/>
              <w:bottom w:type="dxa" w:w="40"/>
              <w:right w:type="dxa" w:w="80"/>
            </w:tcMar>
          </w:tcPr>
          <w:p>
            <w:pPr>
              <w:spacing w:after="0"/>
              <w:jc w:val="center"/>
            </w:pPr>
            <w:r>
              <w:rPr>
                <w:rFonts w:ascii="Arial" w:cs="Arial" w:eastAsia="Arial" w:hAnsi="Arial"/>
                <w:b/>
                <w:bCs/>
                <w:color w:val="595959"/>
                <w:sz w:val="17"/>
                <w:szCs w:val="17"/>
              </w:rPr>
              <w:t xml:space="preserve">Calculé</w:t>
            </w:r>
          </w:p>
        </w:tc>
      </w:tr>
    </w:tbl>
    <w:p>
      <w:pPr>
        <w:spacing w:after="40" w:before="120"/>
      </w:pPr>
      <w:r>
        <w:rPr>
          <w:rFonts w:ascii="Arial" w:cs="Arial" w:eastAsia="Arial" w:hAnsi="Arial"/>
          <w:b/>
          <w:bCs/>
          <w:color w:val="0F4761"/>
          <w:sz w:val="19"/>
          <w:szCs w:val="19"/>
        </w:rPr>
        <w:t xml:space="preserve">Prix réseau évité (an 0)</w:t>
      </w:r>
      <w:r>
        <w:rPr>
          <w:rFonts w:ascii="Arial" w:cs="Arial" w:eastAsia="Arial" w:hAnsi="Arial"/>
          <w:color w:val="595959"/>
          <w:sz w:val="17"/>
          <w:szCs w:val="17"/>
        </w:rPr>
        <w:t xml:space="preserve">  (€/kWh)</w:t>
      </w:r>
      <w:r>
        <w:rPr>
          <w:rFonts w:ascii="Arial" w:cs="Arial" w:eastAsia="Arial" w:hAnsi="Arial"/>
          <w:b/>
          <w:bCs/>
          <w:color w:val="1F7A3D"/>
          <w:sz w:val="16"/>
          <w:szCs w:val="16"/>
        </w:rPr>
        <w:t xml:space="preserve">  ·  Sourcé — TRV</w:t>
      </w:r>
    </w:p>
    <w:p>
      <w:pPr>
        <w:spacing w:after="60"/>
        <w:ind w:left="220"/>
        <w:jc w:val="both"/>
      </w:pPr>
      <w:r>
        <w:rPr>
          <w:rFonts w:ascii="Arial" w:cs="Arial" w:eastAsia="Arial" w:hAnsi="Arial"/>
          <w:b/>
          <w:bCs/>
          <w:color w:val="595959"/>
          <w:sz w:val="18"/>
          <w:szCs w:val="18"/>
        </w:rPr>
        <w:t xml:space="preserve">Ce que c'est. </w:t>
      </w:r>
      <w:r>
        <w:rPr>
          <w:rFonts w:ascii="Arial" w:cs="Arial" w:eastAsia="Arial" w:hAnsi="Arial"/>
          <w:b w:val="false"/>
          <w:bCs w:val="false"/>
          <w:i w:val="false"/>
          <w:iCs w:val="false"/>
          <w:sz w:val="18"/>
          <w:szCs w:val="18"/>
        </w:rPr>
        <w:t xml:space="preserve">Le prix que les consommateurs paient aujourd'hui sans ACC. C'est la référence contre laquelle se mesure leur économie.</w:t>
      </w:r>
    </w:p>
    <w:p>
      <w:pPr>
        <w:spacing w:after="60"/>
        <w:ind w:left="220"/>
        <w:jc w:val="both"/>
      </w:pPr>
      <w:r>
        <w:rPr>
          <w:rFonts w:ascii="Arial" w:cs="Arial" w:eastAsia="Arial" w:hAnsi="Arial"/>
          <w:b/>
          <w:bCs/>
          <w:color w:val="595959"/>
          <w:sz w:val="18"/>
          <w:szCs w:val="18"/>
        </w:rPr>
        <w:t xml:space="preserve">Comment le régler. </w:t>
      </w:r>
      <w:r>
        <w:rPr>
          <w:rFonts w:ascii="Arial" w:cs="Arial" w:eastAsia="Arial" w:hAnsi="Arial"/>
          <w:b w:val="false"/>
          <w:bCs w:val="false"/>
          <w:i w:val="false"/>
          <w:iCs w:val="false"/>
          <w:sz w:val="18"/>
          <w:szCs w:val="18"/>
        </w:rPr>
        <w:t xml:space="preserve">Part variable TTC de la facture. La valeur par défaut correspond au tarif réglementé « Bleu » EDF, option Base, 3–6 kVA, en vigueur depuis le 1er février 2026. </w:t>
      </w:r>
      <w:r>
        <w:rPr>
          <w:rFonts w:ascii="Arial" w:cs="Arial" w:eastAsia="Arial" w:hAnsi="Arial"/>
          <w:b/>
          <w:bCs/>
          <w:i w:val="false"/>
          <w:iCs w:val="false"/>
          <w:sz w:val="18"/>
          <w:szCs w:val="18"/>
        </w:rPr>
        <w:t xml:space="preserve">Attention</w:t>
      </w:r>
      <w:r>
        <w:rPr>
          <w:rFonts w:ascii="Arial" w:cs="Arial" w:eastAsia="Arial" w:hAnsi="Arial"/>
          <w:b w:val="false"/>
          <w:bCs w:val="false"/>
          <w:i w:val="false"/>
          <w:iCs w:val="false"/>
          <w:sz w:val="18"/>
          <w:szCs w:val="18"/>
        </w:rPr>
        <w:t xml:space="preserve"> : les participants non résidentiels ont le plus souvent des tarifs différenciés sur quatre plages temporelles (heures pleines / creuses, été / hiver). Une valeur unique est une simplification.</w:t>
      </w:r>
    </w:p>
    <w:p>
      <w:pPr>
        <w:spacing w:after="60"/>
        <w:ind w:left="220"/>
        <w:jc w:val="both"/>
      </w:pPr>
      <w:r>
        <w:rPr>
          <w:rFonts w:ascii="Arial" w:cs="Arial" w:eastAsia="Arial" w:hAnsi="Arial"/>
          <w:b/>
          <w:bCs/>
          <w:color w:val="595959"/>
          <w:sz w:val="18"/>
          <w:szCs w:val="18"/>
        </w:rPr>
        <w:t xml:space="preserve">Effet sur le résultat. </w:t>
      </w:r>
      <w:r>
        <w:rPr>
          <w:rFonts w:ascii="Arial" w:cs="Arial" w:eastAsia="Arial" w:hAnsi="Arial"/>
          <w:b w:val="false"/>
          <w:bCs w:val="false"/>
          <w:i w:val="false"/>
          <w:iCs w:val="false"/>
          <w:sz w:val="18"/>
          <w:szCs w:val="18"/>
        </w:rPr>
        <w:t xml:space="preserve">Plafond du gain consommateur. Tout l'équilibre de l'opération se joue dans l'espace entre ce prix et la somme « prix ACC + acheminement ».</w:t>
      </w:r>
    </w:p>
    <w:p>
      <w:pPr>
        <w:spacing w:after="40" w:before="120"/>
      </w:pPr>
      <w:r>
        <w:rPr>
          <w:rFonts w:ascii="Arial" w:cs="Arial" w:eastAsia="Arial" w:hAnsi="Arial"/>
          <w:b/>
          <w:bCs/>
          <w:color w:val="0F4761"/>
          <w:sz w:val="19"/>
          <w:szCs w:val="19"/>
        </w:rPr>
        <w:t xml:space="preserve">Prix de vente ACC (part fourniture)</w:t>
      </w:r>
      <w:r>
        <w:rPr>
          <w:rFonts w:ascii="Arial" w:cs="Arial" w:eastAsia="Arial" w:hAnsi="Arial"/>
          <w:color w:val="595959"/>
          <w:sz w:val="17"/>
          <w:szCs w:val="17"/>
        </w:rPr>
        <w:t xml:space="preserve">  (€/kWh)</w:t>
      </w:r>
      <w:r>
        <w:rPr>
          <w:rFonts w:ascii="Arial" w:cs="Arial" w:eastAsia="Arial" w:hAnsi="Arial"/>
          <w:b/>
          <w:bCs/>
          <w:color w:val="9C5A00"/>
          <w:sz w:val="16"/>
          <w:szCs w:val="16"/>
        </w:rPr>
        <w:t xml:space="preserve">  ·  Hypothèse — décision PMO</w:t>
      </w:r>
    </w:p>
    <w:p>
      <w:pPr>
        <w:spacing w:after="60"/>
        <w:ind w:left="220"/>
        <w:jc w:val="both"/>
      </w:pPr>
      <w:r>
        <w:rPr>
          <w:rFonts w:ascii="Arial" w:cs="Arial" w:eastAsia="Arial" w:hAnsi="Arial"/>
          <w:b/>
          <w:bCs/>
          <w:color w:val="595959"/>
          <w:sz w:val="18"/>
          <w:szCs w:val="18"/>
        </w:rPr>
        <w:t xml:space="preserve">Ce que c'est. </w:t>
      </w:r>
      <w:r>
        <w:rPr>
          <w:rFonts w:ascii="Arial" w:cs="Arial" w:eastAsia="Arial" w:hAnsi="Arial"/>
          <w:b w:val="false"/>
          <w:bCs w:val="false"/>
          <w:i w:val="false"/>
          <w:iCs w:val="false"/>
          <w:sz w:val="18"/>
          <w:szCs w:val="18"/>
        </w:rPr>
        <w:t xml:space="preserve">Le prix auquel le producteur vend le kilowattheure partagé aux consommateurs de l'opération. C'est la </w:t>
      </w:r>
      <w:r>
        <w:rPr>
          <w:rFonts w:ascii="Arial" w:cs="Arial" w:eastAsia="Arial" w:hAnsi="Arial"/>
          <w:b/>
          <w:bCs/>
          <w:i w:val="false"/>
          <w:iCs w:val="false"/>
          <w:sz w:val="18"/>
          <w:szCs w:val="18"/>
        </w:rPr>
        <w:t xml:space="preserve">variable de décision centrale</w:t>
      </w:r>
      <w:r>
        <w:rPr>
          <w:rFonts w:ascii="Arial" w:cs="Arial" w:eastAsia="Arial" w:hAnsi="Arial"/>
          <w:b w:val="false"/>
          <w:bCs w:val="false"/>
          <w:i w:val="false"/>
          <w:iCs w:val="false"/>
          <w:sz w:val="18"/>
          <w:szCs w:val="18"/>
        </w:rPr>
        <w:t xml:space="preserve"> de la PMO.</w:t>
      </w:r>
    </w:p>
    <w:p>
      <w:pPr>
        <w:spacing w:after="60"/>
        <w:ind w:left="220"/>
        <w:jc w:val="both"/>
      </w:pPr>
      <w:r>
        <w:rPr>
          <w:rFonts w:ascii="Arial" w:cs="Arial" w:eastAsia="Arial" w:hAnsi="Arial"/>
          <w:b/>
          <w:bCs/>
          <w:color w:val="595959"/>
          <w:sz w:val="18"/>
          <w:szCs w:val="18"/>
        </w:rPr>
        <w:t xml:space="preserve">Comment le régler. </w:t>
      </w:r>
      <w:r>
        <w:rPr>
          <w:rFonts w:ascii="Arial" w:cs="Arial" w:eastAsia="Arial" w:hAnsi="Arial"/>
          <w:b w:val="false"/>
          <w:bCs w:val="false"/>
          <w:i w:val="false"/>
          <w:iCs w:val="false"/>
          <w:sz w:val="18"/>
          <w:szCs w:val="18"/>
        </w:rPr>
        <w:t xml:space="preserve">C'est un arbitrage politique autant qu'économique : il doit rentabiliser l'installation tout en restant attractif face aux offres classiques. Son intérêt majeur pour les consommateurs n'est pas seulement d'être plus bas, mais d'être </w:t>
      </w:r>
      <w:r>
        <w:rPr>
          <w:rFonts w:ascii="Arial" w:cs="Arial" w:eastAsia="Arial" w:hAnsi="Arial"/>
          <w:b/>
          <w:bCs/>
          <w:i w:val="false"/>
          <w:iCs w:val="false"/>
          <w:sz w:val="18"/>
          <w:szCs w:val="18"/>
        </w:rPr>
        <w:t xml:space="preserve">fixé sur plusieurs années</w:t>
      </w:r>
      <w:r>
        <w:rPr>
          <w:rFonts w:ascii="Arial" w:cs="Arial" w:eastAsia="Arial" w:hAnsi="Arial"/>
          <w:b w:val="false"/>
          <w:bCs w:val="false"/>
          <w:i w:val="false"/>
          <w:iCs w:val="false"/>
          <w:sz w:val="18"/>
          <w:szCs w:val="18"/>
        </w:rPr>
        <w:t xml:space="preserve">, donc moins exposé aux aléas du marché.</w:t>
      </w:r>
    </w:p>
    <w:p>
      <w:pPr>
        <w:spacing w:after="60"/>
        <w:ind w:left="220"/>
        <w:jc w:val="both"/>
      </w:pPr>
      <w:r>
        <w:rPr>
          <w:rFonts w:ascii="Arial" w:cs="Arial" w:eastAsia="Arial" w:hAnsi="Arial"/>
          <w:b/>
          <w:bCs/>
          <w:color w:val="595959"/>
          <w:sz w:val="18"/>
          <w:szCs w:val="18"/>
        </w:rPr>
        <w:t xml:space="preserve">Effet sur le résultat. </w:t>
      </w:r>
      <w:r>
        <w:rPr>
          <w:rFonts w:ascii="Arial" w:cs="Arial" w:eastAsia="Arial" w:hAnsi="Arial"/>
          <w:b w:val="false"/>
          <w:bCs w:val="false"/>
          <w:i w:val="false"/>
          <w:iCs w:val="false"/>
          <w:sz w:val="18"/>
          <w:szCs w:val="18"/>
        </w:rPr>
        <w:t xml:space="preserve">Jeu à somme nulle entre producteur et consommateurs : ce que l'un gagne, l'autre le perd. Le simulateur affiche les deux côtés simultanément, précisément pour rendre cet arbitrage visible. Montez-le progressivement et observez le moment où l'économie consommateur devient négative — c'est la limite haute acceptable.</w:t>
      </w:r>
    </w:p>
    <w:p>
      <w:pPr>
        <w:spacing w:after="40" w:before="120"/>
      </w:pPr>
      <w:r>
        <w:rPr>
          <w:rFonts w:ascii="Arial" w:cs="Arial" w:eastAsia="Arial" w:hAnsi="Arial"/>
          <w:b/>
          <w:bCs/>
          <w:color w:val="0F4761"/>
          <w:sz w:val="19"/>
          <w:szCs w:val="19"/>
        </w:rPr>
        <w:t xml:space="preserve">Réseau et taxes sur kWh ACC</w:t>
      </w:r>
      <w:r>
        <w:rPr>
          <w:rFonts w:ascii="Arial" w:cs="Arial" w:eastAsia="Arial" w:hAnsi="Arial"/>
          <w:color w:val="595959"/>
          <w:sz w:val="17"/>
          <w:szCs w:val="17"/>
        </w:rPr>
        <w:t xml:space="preserve">  (€/kWh)</w:t>
      </w:r>
      <w:r>
        <w:rPr>
          <w:rFonts w:ascii="Arial" w:cs="Arial" w:eastAsia="Arial" w:hAnsi="Arial"/>
          <w:b/>
          <w:bCs/>
          <w:color w:val="9C5A00"/>
          <w:sz w:val="16"/>
          <w:szCs w:val="16"/>
        </w:rPr>
        <w:t xml:space="preserve">  ·  Hypothèse à vérifier</w:t>
      </w:r>
    </w:p>
    <w:p>
      <w:pPr>
        <w:spacing w:after="60"/>
        <w:ind w:left="220"/>
        <w:jc w:val="both"/>
      </w:pPr>
      <w:r>
        <w:rPr>
          <w:rFonts w:ascii="Arial" w:cs="Arial" w:eastAsia="Arial" w:hAnsi="Arial"/>
          <w:b/>
          <w:bCs/>
          <w:color w:val="595959"/>
          <w:sz w:val="18"/>
          <w:szCs w:val="18"/>
        </w:rPr>
        <w:t xml:space="preserve">Ce que c'est. </w:t>
      </w:r>
      <w:r>
        <w:rPr>
          <w:rFonts w:ascii="Arial" w:cs="Arial" w:eastAsia="Arial" w:hAnsi="Arial"/>
          <w:b w:val="false"/>
          <w:bCs w:val="false"/>
          <w:i w:val="false"/>
          <w:iCs w:val="false"/>
          <w:sz w:val="18"/>
          <w:szCs w:val="18"/>
        </w:rPr>
        <w:t xml:space="preserve">Ce que le consommateur continue de payer, en plus du prix ACC, sur chaque kilowattheure affecté : le TURPE et la TVA correspondante.</w:t>
      </w:r>
    </w:p>
    <w:p>
      <w:pPr>
        <w:spacing w:after="60"/>
        <w:ind w:left="220"/>
        <w:jc w:val="both"/>
      </w:pPr>
      <w:r>
        <w:rPr>
          <w:rFonts w:ascii="Arial" w:cs="Arial" w:eastAsia="Arial" w:hAnsi="Arial"/>
          <w:b/>
          <w:bCs/>
          <w:color w:val="595959"/>
          <w:sz w:val="18"/>
          <w:szCs w:val="18"/>
        </w:rPr>
        <w:t xml:space="preserve">Comment le régler. </w:t>
      </w:r>
      <w:r>
        <w:rPr>
          <w:rFonts w:ascii="Arial" w:cs="Arial" w:eastAsia="Arial" w:hAnsi="Arial"/>
          <w:b/>
          <w:bCs/>
          <w:i w:val="false"/>
          <w:iCs w:val="false"/>
          <w:sz w:val="18"/>
          <w:szCs w:val="18"/>
        </w:rPr>
        <w:t xml:space="preserve">Le TURPE est systématiquement prélevé sur tout kWh soutiré</w:t>
      </w:r>
      <w:r>
        <w:rPr>
          <w:rFonts w:ascii="Arial" w:cs="Arial" w:eastAsia="Arial" w:hAnsi="Arial"/>
          <w:b w:val="false"/>
          <w:bCs w:val="false"/>
          <w:i w:val="false"/>
          <w:iCs w:val="false"/>
          <w:sz w:val="18"/>
          <w:szCs w:val="18"/>
        </w:rPr>
        <w:t xml:space="preserve">, y compris les kWh affectés en ACC — même si l'électricité était cédée gratuitement. En revanche, l'accise bénéficie d'un tarif particulier à 0 €/MWh sous conditions (voir la section « Cadre réglementaire »). La valeur par défaut est un ordre de grandeur pour un client BT ≤ 36 kVA, à confirmer auprès du fournisseur.</w:t>
      </w:r>
    </w:p>
    <w:p>
      <w:pPr>
        <w:spacing w:after="60"/>
        <w:ind w:left="220"/>
        <w:jc w:val="both"/>
      </w:pPr>
      <w:r>
        <w:rPr>
          <w:rFonts w:ascii="Arial" w:cs="Arial" w:eastAsia="Arial" w:hAnsi="Arial"/>
          <w:b/>
          <w:bCs/>
          <w:color w:val="595959"/>
          <w:sz w:val="18"/>
          <w:szCs w:val="18"/>
        </w:rPr>
        <w:t xml:space="preserve">Effet sur le résultat. </w:t>
      </w:r>
      <w:r>
        <w:rPr>
          <w:rFonts w:ascii="Arial" w:cs="Arial" w:eastAsia="Arial" w:hAnsi="Arial"/>
          <w:b w:val="false"/>
          <w:bCs w:val="false"/>
          <w:i w:val="false"/>
          <w:iCs w:val="false"/>
          <w:sz w:val="18"/>
          <w:szCs w:val="18"/>
        </w:rPr>
        <w:t xml:space="preserve">Se retranche directement de l'économie consommateur. C'est ce poste qui explique pourquoi la marge de manœuvre d'une opération ACC est étroite : sur 0,1940 €/kWh évités, seuls 0,1400 environ restent à partager.</w:t>
      </w:r>
    </w:p>
    <w:p>
      <w:pPr>
        <w:spacing w:after="40" w:before="120"/>
      </w:pPr>
      <w:r>
        <w:rPr>
          <w:rFonts w:ascii="Arial" w:cs="Arial" w:eastAsia="Arial" w:hAnsi="Arial"/>
          <w:b/>
          <w:bCs/>
          <w:color w:val="0F4761"/>
          <w:sz w:val="19"/>
          <w:szCs w:val="19"/>
        </w:rPr>
        <w:t xml:space="preserve">Valorisation du surplus collectif</w:t>
      </w:r>
      <w:r>
        <w:rPr>
          <w:rFonts w:ascii="Arial" w:cs="Arial" w:eastAsia="Arial" w:hAnsi="Arial"/>
          <w:color w:val="595959"/>
          <w:sz w:val="17"/>
          <w:szCs w:val="17"/>
        </w:rPr>
        <w:t xml:space="preserve">  (€/kWh)</w:t>
      </w:r>
      <w:r>
        <w:rPr>
          <w:rFonts w:ascii="Arial" w:cs="Arial" w:eastAsia="Arial" w:hAnsi="Arial"/>
          <w:b/>
          <w:bCs/>
          <w:color w:val="9C5A00"/>
          <w:sz w:val="16"/>
          <w:szCs w:val="16"/>
        </w:rPr>
        <w:t xml:space="preserve">  ·  Hypothèse à vérifier</w:t>
      </w:r>
    </w:p>
    <w:p>
      <w:pPr>
        <w:spacing w:after="60"/>
        <w:ind w:left="220"/>
        <w:jc w:val="both"/>
      </w:pPr>
      <w:r>
        <w:rPr>
          <w:rFonts w:ascii="Arial" w:cs="Arial" w:eastAsia="Arial" w:hAnsi="Arial"/>
          <w:b/>
          <w:bCs/>
          <w:color w:val="595959"/>
          <w:sz w:val="18"/>
          <w:szCs w:val="18"/>
        </w:rPr>
        <w:t xml:space="preserve">Ce que c'est. </w:t>
      </w:r>
      <w:r>
        <w:rPr>
          <w:rFonts w:ascii="Arial" w:cs="Arial" w:eastAsia="Arial" w:hAnsi="Arial"/>
          <w:b w:val="false"/>
          <w:bCs w:val="false"/>
          <w:i w:val="false"/>
          <w:iCs w:val="false"/>
          <w:sz w:val="18"/>
          <w:szCs w:val="18"/>
        </w:rPr>
        <w:t xml:space="preserve">Le tarif auquel est valorisée la production qui n'a été affectée à aucun consommateur, à chaque pas de mesure.</w:t>
      </w:r>
    </w:p>
    <w:p>
      <w:pPr>
        <w:spacing w:after="60"/>
        <w:ind w:left="220"/>
        <w:jc w:val="both"/>
      </w:pPr>
      <w:r>
        <w:rPr>
          <w:rFonts w:ascii="Arial" w:cs="Arial" w:eastAsia="Arial" w:hAnsi="Arial"/>
          <w:b/>
          <w:bCs/>
          <w:color w:val="595959"/>
          <w:sz w:val="18"/>
          <w:szCs w:val="18"/>
        </w:rPr>
        <w:t xml:space="preserve">Comment le régler. </w:t>
      </w:r>
      <w:r>
        <w:rPr>
          <w:rFonts w:ascii="Arial" w:cs="Arial" w:eastAsia="Arial" w:hAnsi="Arial"/>
          <w:b w:val="false"/>
          <w:bCs w:val="false"/>
          <w:i w:val="false"/>
          <w:iCs w:val="false"/>
          <w:sz w:val="18"/>
          <w:szCs w:val="18"/>
        </w:rPr>
        <w:t xml:space="preserve">Ce surplus peut être vendu — sous obligation d'achat ou en contrat de gré à gré — ou cédé sans rémunération au gestionnaire de réseau. Vérifiez le tarif applicable dans l'arrêté tarifaire en vigueur, en gardant à l'esprit qu'en bénéficier implique de renoncer aux aides à l'investissement. Saisissez 0 si le surplus est cédé gratuitement.</w:t>
      </w:r>
    </w:p>
    <w:p>
      <w:pPr>
        <w:spacing w:after="60"/>
        <w:ind w:left="220"/>
        <w:jc w:val="both"/>
      </w:pPr>
      <w:r>
        <w:rPr>
          <w:rFonts w:ascii="Arial" w:cs="Arial" w:eastAsia="Arial" w:hAnsi="Arial"/>
          <w:b/>
          <w:bCs/>
          <w:color w:val="595959"/>
          <w:sz w:val="18"/>
          <w:szCs w:val="18"/>
        </w:rPr>
        <w:t xml:space="preserve">Effet sur le résultat. </w:t>
      </w:r>
      <w:r>
        <w:rPr>
          <w:rFonts w:ascii="Arial" w:cs="Arial" w:eastAsia="Arial" w:hAnsi="Arial"/>
          <w:b w:val="false"/>
          <w:bCs w:val="false"/>
          <w:i w:val="false"/>
          <w:iCs w:val="false"/>
          <w:sz w:val="18"/>
          <w:szCs w:val="18"/>
        </w:rPr>
        <w:t xml:space="preserve">Détermine le coût d'opportunité d'une mauvaise clé de répartition. Plus l'écart avec le prix ACC est grand, plus le choix du mode d'affectation pèse — c'est le ressort de la section « Comparaison des clés ».</w:t>
      </w:r>
    </w:p>
    <w:p>
      <w:pPr>
        <w:spacing w:after="120" w:line="264"/>
        <w:jc w:val="both"/>
      </w:pPr>
      <w:r>
        <w:rPr>
          <w:rFonts w:ascii="Arial" w:cs="Arial" w:eastAsia="Arial" w:hAnsi="Arial"/>
          <w:sz w:val="20"/>
          <w:szCs w:val="20"/>
        </w:rPr>
        <w:t xml:space="preserve">La marge unitaire consommateur est la clé de lecture économique de l'opération : elle correspond au prix réseau évité, diminué du prix de vente ACC et des coûts de réseau et taxes qui restent dus. C'est l'espace, souvent étroit, dans lequel producteur et consommateurs doivent tous deux trouver leur compte.</w:t>
      </w:r>
    </w:p>
    <w:p>
      <w:pPr>
        <w:pStyle w:val="Heading3"/>
        <w:spacing w:after="70" w:before="160"/>
      </w:pPr>
      <w:r>
        <w:rPr>
          <w:rFonts w:ascii="Arial" w:cs="Arial" w:eastAsia="Arial" w:hAnsi="Arial"/>
          <w:b/>
          <w:bCs/>
          <w:color w:val="0F4761"/>
          <w:sz w:val="20"/>
          <w:szCs w:val="20"/>
        </w:rPr>
        <w:t xml:space="preserve">3.3 Charges et hypothèses économiques</w:t>
      </w:r>
    </w:p>
    <w:tbl>
      <w:tblPr>
        <w:tblW w:type="dxa" w:w="10426"/>
        <w:tblBorders>
          <w:top w:val="single" w:color="9DB8C9" w:sz="4"/>
          <w:left w:val="single" w:color="9DB8C9" w:sz="4"/>
          <w:bottom w:val="single" w:color="9DB8C9" w:sz="4"/>
          <w:right w:val="single" w:color="9DB8C9" w:sz="4"/>
          <w:insideH w:val="single" w:color="9DB8C9" w:sz="4"/>
          <w:insideV w:val="single" w:color="9DB8C9" w:sz="4"/>
        </w:tblBorders>
      </w:tblPr>
      <w:tblGrid>
        <w:gridCol w:w="4233"/>
        <w:gridCol w:w="2116"/>
        <w:gridCol w:w="2072"/>
        <w:gridCol w:w="2005"/>
      </w:tblGrid>
      <w:tr>
        <w:trPr>
          <w:tblHeader/>
        </w:trPr>
        <w:tc>
          <w:tcPr>
            <w:tcW w:type="dxa" w:w="4233"/>
            <w:shd w:fill="DEEBF7" w:val="clear"/>
            <w:tcMar>
              <w:top w:type="dxa" w:w="40"/>
              <w:left w:type="dxa" w:w="80"/>
              <w:bottom w:type="dxa" w:w="40"/>
              <w:right w:type="dxa" w:w="80"/>
            </w:tcMar>
          </w:tcPr>
          <w:p>
            <w:pPr>
              <w:spacing w:after="0"/>
              <w:jc w:val="left"/>
            </w:pPr>
            <w:r>
              <w:rPr>
                <w:rFonts w:ascii="Arial" w:cs="Arial" w:eastAsia="Arial" w:hAnsi="Arial"/>
                <w:b/>
                <w:bCs/>
                <w:color w:val="0F4761"/>
                <w:sz w:val="17"/>
                <w:szCs w:val="17"/>
              </w:rPr>
              <w:t xml:space="preserve">Paramètre</w:t>
            </w:r>
          </w:p>
        </w:tc>
        <w:tc>
          <w:tcPr>
            <w:tcW w:type="dxa" w:w="2116"/>
            <w:shd w:fill="DEEBF7" w:val="clear"/>
            <w:tcMar>
              <w:top w:type="dxa" w:w="40"/>
              <w:left w:type="dxa" w:w="80"/>
              <w:bottom w:type="dxa" w:w="40"/>
              <w:right w:type="dxa" w:w="80"/>
            </w:tcMar>
          </w:tcPr>
          <w:p>
            <w:pPr>
              <w:spacing w:after="0"/>
              <w:jc w:val="center"/>
            </w:pPr>
            <w:r>
              <w:rPr>
                <w:rFonts w:ascii="Arial" w:cs="Arial" w:eastAsia="Arial" w:hAnsi="Arial"/>
                <w:b/>
                <w:bCs/>
                <w:color w:val="0F4761"/>
                <w:sz w:val="17"/>
                <w:szCs w:val="17"/>
              </w:rPr>
              <w:t xml:space="preserve">Valeur</w:t>
            </w:r>
          </w:p>
        </w:tc>
        <w:tc>
          <w:tcPr>
            <w:tcW w:type="dxa" w:w="2072"/>
            <w:shd w:fill="DEEBF7" w:val="clear"/>
            <w:tcMar>
              <w:top w:type="dxa" w:w="40"/>
              <w:left w:type="dxa" w:w="80"/>
              <w:bottom w:type="dxa" w:w="40"/>
              <w:right w:type="dxa" w:w="80"/>
            </w:tcMar>
          </w:tcPr>
          <w:p>
            <w:pPr>
              <w:spacing w:after="0"/>
              <w:jc w:val="center"/>
            </w:pPr>
            <w:r>
              <w:rPr>
                <w:rFonts w:ascii="Arial" w:cs="Arial" w:eastAsia="Arial" w:hAnsi="Arial"/>
                <w:b/>
                <w:bCs/>
                <w:color w:val="0F4761"/>
                <w:sz w:val="17"/>
                <w:szCs w:val="17"/>
              </w:rPr>
              <w:t xml:space="preserve">Unité</w:t>
            </w:r>
          </w:p>
        </w:tc>
        <w:tc>
          <w:tcPr>
            <w:tcW w:type="dxa" w:w="2005"/>
            <w:shd w:fill="DEEBF7" w:val="clear"/>
            <w:tcMar>
              <w:top w:type="dxa" w:w="40"/>
              <w:left w:type="dxa" w:w="80"/>
              <w:bottom w:type="dxa" w:w="40"/>
              <w:right w:type="dxa" w:w="80"/>
            </w:tcMar>
          </w:tcPr>
          <w:p>
            <w:pPr>
              <w:spacing w:after="0"/>
              <w:jc w:val="center"/>
            </w:pPr>
            <w:r>
              <w:rPr>
                <w:rFonts w:ascii="Arial" w:cs="Arial" w:eastAsia="Arial" w:hAnsi="Arial"/>
                <w:b/>
                <w:bCs/>
                <w:color w:val="0F4761"/>
                <w:sz w:val="17"/>
                <w:szCs w:val="17"/>
              </w:rPr>
              <w:t xml:space="preserve">Statut</w:t>
            </w:r>
          </w:p>
        </w:tc>
      </w:tr>
      <w:tr>
        <w:tc>
          <w:tcPr>
            <w:tcW w:type="dxa" w:w="4233"/>
            <w:tcMar>
              <w:top w:type="dxa" w:w="40"/>
              <w:left w:type="dxa" w:w="80"/>
              <w:bottom w:type="dxa" w:w="40"/>
              <w:right w:type="dxa" w:w="80"/>
            </w:tcMar>
          </w:tcPr>
          <w:p>
            <w:pPr>
              <w:spacing w:after="0"/>
              <w:jc w:val="left"/>
            </w:pPr>
            <w:r>
              <w:rPr>
                <w:rFonts w:ascii="Arial" w:cs="Arial" w:eastAsia="Arial" w:hAnsi="Arial"/>
                <w:sz w:val="17"/>
                <w:szCs w:val="17"/>
              </w:rPr>
              <w:t xml:space="preserve">Frais de PMO / gestion</w:t>
            </w:r>
          </w:p>
        </w:tc>
        <w:tc>
          <w:tcPr>
            <w:tcW w:type="dxa" w:w="2116"/>
            <w:tcMar>
              <w:top w:type="dxa" w:w="40"/>
              <w:left w:type="dxa" w:w="80"/>
              <w:bottom w:type="dxa" w:w="40"/>
              <w:right w:type="dxa" w:w="80"/>
            </w:tcMar>
          </w:tcPr>
          <w:p>
            <w:pPr>
              <w:spacing w:after="0"/>
              <w:jc w:val="center"/>
            </w:pPr>
            <w:r>
              <w:rPr>
                <w:rFonts w:ascii="Arial" w:cs="Arial" w:eastAsia="Arial" w:hAnsi="Arial"/>
                <w:b/>
                <w:bCs/>
                <w:sz w:val="17"/>
                <w:szCs w:val="17"/>
              </w:rPr>
              <w:t xml:space="preserve">900</w:t>
            </w:r>
          </w:p>
        </w:tc>
        <w:tc>
          <w:tcPr>
            <w:tcW w:type="dxa" w:w="2072"/>
            <w:tcMar>
              <w:top w:type="dxa" w:w="40"/>
              <w:left w:type="dxa" w:w="80"/>
              <w:bottom w:type="dxa" w:w="40"/>
              <w:right w:type="dxa" w:w="80"/>
            </w:tcMar>
          </w:tcPr>
          <w:p>
            <w:pPr>
              <w:spacing w:after="0"/>
              <w:jc w:val="center"/>
            </w:pPr>
            <w:r>
              <w:rPr>
                <w:rFonts w:ascii="Arial" w:cs="Arial" w:eastAsia="Arial" w:hAnsi="Arial"/>
                <w:sz w:val="17"/>
                <w:szCs w:val="17"/>
              </w:rPr>
              <w:t xml:space="preserve">€/an</w:t>
            </w:r>
          </w:p>
        </w:tc>
        <w:tc>
          <w:tcPr>
            <w:tcW w:type="dxa" w:w="2005"/>
            <w:tcMar>
              <w:top w:type="dxa" w:w="40"/>
              <w:left w:type="dxa" w:w="80"/>
              <w:bottom w:type="dxa" w:w="40"/>
              <w:right w:type="dxa" w:w="80"/>
            </w:tcMar>
          </w:tcPr>
          <w:p>
            <w:pPr>
              <w:spacing w:after="0"/>
              <w:jc w:val="center"/>
            </w:pPr>
            <w:r>
              <w:rPr>
                <w:rFonts w:ascii="Arial" w:cs="Arial" w:eastAsia="Arial" w:hAnsi="Arial"/>
                <w:b/>
                <w:bCs/>
                <w:color w:val="9C5A00"/>
                <w:sz w:val="17"/>
                <w:szCs w:val="17"/>
              </w:rPr>
              <w:t xml:space="preserve">Hypothèse</w:t>
            </w:r>
          </w:p>
        </w:tc>
      </w:tr>
      <w:tr>
        <w:tc>
          <w:tcPr>
            <w:tcW w:type="dxa" w:w="4233"/>
            <w:shd w:fill="F4F9FC" w:val="clear"/>
            <w:tcMar>
              <w:top w:type="dxa" w:w="40"/>
              <w:left w:type="dxa" w:w="80"/>
              <w:bottom w:type="dxa" w:w="40"/>
              <w:right w:type="dxa" w:w="80"/>
            </w:tcMar>
          </w:tcPr>
          <w:p>
            <w:pPr>
              <w:spacing w:after="0"/>
              <w:jc w:val="left"/>
            </w:pPr>
            <w:r>
              <w:rPr>
                <w:rFonts w:ascii="Arial" w:cs="Arial" w:eastAsia="Arial" w:hAnsi="Arial"/>
                <w:sz w:val="17"/>
                <w:szCs w:val="17"/>
              </w:rPr>
              <w:t xml:space="preserve">Composante de gestion majorée</w:t>
            </w:r>
          </w:p>
        </w:tc>
        <w:tc>
          <w:tcPr>
            <w:tcW w:type="dxa" w:w="2116"/>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30</w:t>
            </w:r>
          </w:p>
        </w:tc>
        <w:tc>
          <w:tcPr>
            <w:tcW w:type="dxa" w:w="2072"/>
            <w:shd w:fill="F4F9FC" w:val="clear"/>
            <w:tcMar>
              <w:top w:type="dxa" w:w="40"/>
              <w:left w:type="dxa" w:w="80"/>
              <w:bottom w:type="dxa" w:w="40"/>
              <w:right w:type="dxa" w:w="80"/>
            </w:tcMar>
          </w:tcPr>
          <w:p>
            <w:pPr>
              <w:spacing w:after="0"/>
              <w:jc w:val="center"/>
            </w:pPr>
            <w:r>
              <w:rPr>
                <w:rFonts w:ascii="Arial" w:cs="Arial" w:eastAsia="Arial" w:hAnsi="Arial"/>
                <w:sz w:val="17"/>
                <w:szCs w:val="17"/>
              </w:rPr>
              <w:t xml:space="preserve">€/an/participant</w:t>
            </w:r>
          </w:p>
        </w:tc>
        <w:tc>
          <w:tcPr>
            <w:tcW w:type="dxa" w:w="2005"/>
            <w:shd w:fill="F4F9FC" w:val="clear"/>
            <w:tcMar>
              <w:top w:type="dxa" w:w="40"/>
              <w:left w:type="dxa" w:w="80"/>
              <w:bottom w:type="dxa" w:w="40"/>
              <w:right w:type="dxa" w:w="80"/>
            </w:tcMar>
          </w:tcPr>
          <w:p>
            <w:pPr>
              <w:spacing w:after="0"/>
              <w:jc w:val="center"/>
            </w:pPr>
            <w:r>
              <w:rPr>
                <w:rFonts w:ascii="Arial" w:cs="Arial" w:eastAsia="Arial" w:hAnsi="Arial"/>
                <w:b/>
                <w:bCs/>
                <w:color w:val="9C5A00"/>
                <w:sz w:val="17"/>
                <w:szCs w:val="17"/>
              </w:rPr>
              <w:t xml:space="preserve">Hypothèse à vérifier</w:t>
            </w:r>
          </w:p>
        </w:tc>
      </w:tr>
      <w:tr>
        <w:tc>
          <w:tcPr>
            <w:tcW w:type="dxa" w:w="4233"/>
            <w:tcMar>
              <w:top w:type="dxa" w:w="40"/>
              <w:left w:type="dxa" w:w="80"/>
              <w:bottom w:type="dxa" w:w="40"/>
              <w:right w:type="dxa" w:w="80"/>
            </w:tcMar>
          </w:tcPr>
          <w:p>
            <w:pPr>
              <w:spacing w:after="0"/>
              <w:jc w:val="left"/>
            </w:pPr>
            <w:r>
              <w:rPr>
                <w:rFonts w:ascii="Arial" w:cs="Arial" w:eastAsia="Arial" w:hAnsi="Arial"/>
                <w:sz w:val="17"/>
                <w:szCs w:val="17"/>
              </w:rPr>
              <w:t xml:space="preserve">Exploitation et maintenance</w:t>
            </w:r>
          </w:p>
        </w:tc>
        <w:tc>
          <w:tcPr>
            <w:tcW w:type="dxa" w:w="2116"/>
            <w:tcMar>
              <w:top w:type="dxa" w:w="40"/>
              <w:left w:type="dxa" w:w="80"/>
              <w:bottom w:type="dxa" w:w="40"/>
              <w:right w:type="dxa" w:w="80"/>
            </w:tcMar>
          </w:tcPr>
          <w:p>
            <w:pPr>
              <w:spacing w:after="0"/>
              <w:jc w:val="center"/>
            </w:pPr>
            <w:r>
              <w:rPr>
                <w:rFonts w:ascii="Arial" w:cs="Arial" w:eastAsia="Arial" w:hAnsi="Arial"/>
                <w:b/>
                <w:bCs/>
                <w:sz w:val="17"/>
                <w:szCs w:val="17"/>
              </w:rPr>
              <w:t xml:space="preserve">500</w:t>
            </w:r>
          </w:p>
        </w:tc>
        <w:tc>
          <w:tcPr>
            <w:tcW w:type="dxa" w:w="2072"/>
            <w:tcMar>
              <w:top w:type="dxa" w:w="40"/>
              <w:left w:type="dxa" w:w="80"/>
              <w:bottom w:type="dxa" w:w="40"/>
              <w:right w:type="dxa" w:w="80"/>
            </w:tcMar>
          </w:tcPr>
          <w:p>
            <w:pPr>
              <w:spacing w:after="0"/>
              <w:jc w:val="center"/>
            </w:pPr>
            <w:r>
              <w:rPr>
                <w:rFonts w:ascii="Arial" w:cs="Arial" w:eastAsia="Arial" w:hAnsi="Arial"/>
                <w:sz w:val="17"/>
                <w:szCs w:val="17"/>
              </w:rPr>
              <w:t xml:space="preserve">€/an</w:t>
            </w:r>
          </w:p>
        </w:tc>
        <w:tc>
          <w:tcPr>
            <w:tcW w:type="dxa" w:w="2005"/>
            <w:tcMar>
              <w:top w:type="dxa" w:w="40"/>
              <w:left w:type="dxa" w:w="80"/>
              <w:bottom w:type="dxa" w:w="40"/>
              <w:right w:type="dxa" w:w="80"/>
            </w:tcMar>
          </w:tcPr>
          <w:p>
            <w:pPr>
              <w:spacing w:after="0"/>
              <w:jc w:val="center"/>
            </w:pPr>
            <w:r>
              <w:rPr>
                <w:rFonts w:ascii="Arial" w:cs="Arial" w:eastAsia="Arial" w:hAnsi="Arial"/>
                <w:b/>
                <w:bCs/>
                <w:color w:val="9C5A00"/>
                <w:sz w:val="17"/>
                <w:szCs w:val="17"/>
              </w:rPr>
              <w:t xml:space="preserve">Hypothèse</w:t>
            </w:r>
          </w:p>
        </w:tc>
      </w:tr>
      <w:tr>
        <w:tc>
          <w:tcPr>
            <w:tcW w:type="dxa" w:w="4233"/>
            <w:shd w:fill="F4F9FC" w:val="clear"/>
            <w:tcMar>
              <w:top w:type="dxa" w:w="40"/>
              <w:left w:type="dxa" w:w="80"/>
              <w:bottom w:type="dxa" w:w="40"/>
              <w:right w:type="dxa" w:w="80"/>
            </w:tcMar>
          </w:tcPr>
          <w:p>
            <w:pPr>
              <w:spacing w:after="0"/>
              <w:jc w:val="left"/>
            </w:pPr>
            <w:r>
              <w:rPr>
                <w:rFonts w:ascii="Arial" w:cs="Arial" w:eastAsia="Arial" w:hAnsi="Arial"/>
                <w:sz w:val="17"/>
                <w:szCs w:val="17"/>
              </w:rPr>
              <w:t xml:space="preserve">Charges annuelles totales</w:t>
            </w:r>
          </w:p>
        </w:tc>
        <w:tc>
          <w:tcPr>
            <w:tcW w:type="dxa" w:w="2116"/>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1 580</w:t>
            </w:r>
          </w:p>
        </w:tc>
        <w:tc>
          <w:tcPr>
            <w:tcW w:type="dxa" w:w="2072"/>
            <w:shd w:fill="F4F9FC" w:val="clear"/>
            <w:tcMar>
              <w:top w:type="dxa" w:w="40"/>
              <w:left w:type="dxa" w:w="80"/>
              <w:bottom w:type="dxa" w:w="40"/>
              <w:right w:type="dxa" w:w="80"/>
            </w:tcMar>
          </w:tcPr>
          <w:p>
            <w:pPr>
              <w:spacing w:after="0"/>
              <w:jc w:val="center"/>
            </w:pPr>
            <w:r>
              <w:rPr>
                <w:rFonts w:ascii="Arial" w:cs="Arial" w:eastAsia="Arial" w:hAnsi="Arial"/>
                <w:sz w:val="17"/>
                <w:szCs w:val="17"/>
              </w:rPr>
              <w:t xml:space="preserve">€/an</w:t>
            </w:r>
          </w:p>
        </w:tc>
        <w:tc>
          <w:tcPr>
            <w:tcW w:type="dxa" w:w="2005"/>
            <w:shd w:fill="F4F9FC" w:val="clear"/>
            <w:tcMar>
              <w:top w:type="dxa" w:w="40"/>
              <w:left w:type="dxa" w:w="80"/>
              <w:bottom w:type="dxa" w:w="40"/>
              <w:right w:type="dxa" w:w="80"/>
            </w:tcMar>
          </w:tcPr>
          <w:p>
            <w:pPr>
              <w:spacing w:after="0"/>
              <w:jc w:val="center"/>
            </w:pPr>
            <w:r>
              <w:rPr>
                <w:rFonts w:ascii="Arial" w:cs="Arial" w:eastAsia="Arial" w:hAnsi="Arial"/>
                <w:b/>
                <w:bCs/>
                <w:color w:val="595959"/>
                <w:sz w:val="17"/>
                <w:szCs w:val="17"/>
              </w:rPr>
              <w:t xml:space="preserve">Calculé</w:t>
            </w:r>
          </w:p>
        </w:tc>
      </w:tr>
      <w:tr>
        <w:tc>
          <w:tcPr>
            <w:tcW w:type="dxa" w:w="4233"/>
            <w:tcMar>
              <w:top w:type="dxa" w:w="40"/>
              <w:left w:type="dxa" w:w="80"/>
              <w:bottom w:type="dxa" w:w="40"/>
              <w:right w:type="dxa" w:w="80"/>
            </w:tcMar>
          </w:tcPr>
          <w:p>
            <w:pPr>
              <w:spacing w:after="0"/>
              <w:jc w:val="left"/>
            </w:pPr>
            <w:r>
              <w:rPr>
                <w:rFonts w:ascii="Arial" w:cs="Arial" w:eastAsia="Arial" w:hAnsi="Arial"/>
                <w:sz w:val="17"/>
                <w:szCs w:val="17"/>
              </w:rPr>
              <w:t xml:space="preserve">Hausse du prix réseau</w:t>
            </w:r>
          </w:p>
        </w:tc>
        <w:tc>
          <w:tcPr>
            <w:tcW w:type="dxa" w:w="2116"/>
            <w:tcMar>
              <w:top w:type="dxa" w:w="40"/>
              <w:left w:type="dxa" w:w="80"/>
              <w:bottom w:type="dxa" w:w="40"/>
              <w:right w:type="dxa" w:w="80"/>
            </w:tcMar>
          </w:tcPr>
          <w:p>
            <w:pPr>
              <w:spacing w:after="0"/>
              <w:jc w:val="center"/>
            </w:pPr>
            <w:r>
              <w:rPr>
                <w:rFonts w:ascii="Arial" w:cs="Arial" w:eastAsia="Arial" w:hAnsi="Arial"/>
                <w:b/>
                <w:bCs/>
                <w:sz w:val="17"/>
                <w:szCs w:val="17"/>
              </w:rPr>
              <w:t xml:space="preserve">3,0</w:t>
            </w:r>
          </w:p>
        </w:tc>
        <w:tc>
          <w:tcPr>
            <w:tcW w:type="dxa" w:w="2072"/>
            <w:tcMar>
              <w:top w:type="dxa" w:w="40"/>
              <w:left w:type="dxa" w:w="80"/>
              <w:bottom w:type="dxa" w:w="40"/>
              <w:right w:type="dxa" w:w="80"/>
            </w:tcMar>
          </w:tcPr>
          <w:p>
            <w:pPr>
              <w:spacing w:after="0"/>
              <w:jc w:val="center"/>
            </w:pPr>
            <w:r>
              <w:rPr>
                <w:rFonts w:ascii="Arial" w:cs="Arial" w:eastAsia="Arial" w:hAnsi="Arial"/>
                <w:sz w:val="17"/>
                <w:szCs w:val="17"/>
              </w:rPr>
              <w:t xml:space="preserve">%/an</w:t>
            </w:r>
          </w:p>
        </w:tc>
        <w:tc>
          <w:tcPr>
            <w:tcW w:type="dxa" w:w="2005"/>
            <w:tcMar>
              <w:top w:type="dxa" w:w="40"/>
              <w:left w:type="dxa" w:w="80"/>
              <w:bottom w:type="dxa" w:w="40"/>
              <w:right w:type="dxa" w:w="80"/>
            </w:tcMar>
          </w:tcPr>
          <w:p>
            <w:pPr>
              <w:spacing w:after="0"/>
              <w:jc w:val="center"/>
            </w:pPr>
            <w:r>
              <w:rPr>
                <w:rFonts w:ascii="Arial" w:cs="Arial" w:eastAsia="Arial" w:hAnsi="Arial"/>
                <w:b/>
                <w:bCs/>
                <w:color w:val="9C5A00"/>
                <w:sz w:val="17"/>
                <w:szCs w:val="17"/>
              </w:rPr>
              <w:t xml:space="preserve">Hypothèse</w:t>
            </w:r>
          </w:p>
        </w:tc>
      </w:tr>
      <w:tr>
        <w:tc>
          <w:tcPr>
            <w:tcW w:type="dxa" w:w="4233"/>
            <w:shd w:fill="F4F9FC" w:val="clear"/>
            <w:tcMar>
              <w:top w:type="dxa" w:w="40"/>
              <w:left w:type="dxa" w:w="80"/>
              <w:bottom w:type="dxa" w:w="40"/>
              <w:right w:type="dxa" w:w="80"/>
            </w:tcMar>
          </w:tcPr>
          <w:p>
            <w:pPr>
              <w:spacing w:after="0"/>
              <w:jc w:val="left"/>
            </w:pPr>
            <w:r>
              <w:rPr>
                <w:rFonts w:ascii="Arial" w:cs="Arial" w:eastAsia="Arial" w:hAnsi="Arial"/>
                <w:sz w:val="17"/>
                <w:szCs w:val="17"/>
              </w:rPr>
              <w:t xml:space="preserve">Indexation du prix ACC</w:t>
            </w:r>
          </w:p>
        </w:tc>
        <w:tc>
          <w:tcPr>
            <w:tcW w:type="dxa" w:w="2116"/>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2,0</w:t>
            </w:r>
          </w:p>
        </w:tc>
        <w:tc>
          <w:tcPr>
            <w:tcW w:type="dxa" w:w="2072"/>
            <w:shd w:fill="F4F9FC" w:val="clear"/>
            <w:tcMar>
              <w:top w:type="dxa" w:w="40"/>
              <w:left w:type="dxa" w:w="80"/>
              <w:bottom w:type="dxa" w:w="40"/>
              <w:right w:type="dxa" w:w="80"/>
            </w:tcMar>
          </w:tcPr>
          <w:p>
            <w:pPr>
              <w:spacing w:after="0"/>
              <w:jc w:val="center"/>
            </w:pPr>
            <w:r>
              <w:rPr>
                <w:rFonts w:ascii="Arial" w:cs="Arial" w:eastAsia="Arial" w:hAnsi="Arial"/>
                <w:sz w:val="17"/>
                <w:szCs w:val="17"/>
              </w:rPr>
              <w:t xml:space="preserve">%/an</w:t>
            </w:r>
          </w:p>
        </w:tc>
        <w:tc>
          <w:tcPr>
            <w:tcW w:type="dxa" w:w="2005"/>
            <w:shd w:fill="F4F9FC" w:val="clear"/>
            <w:tcMar>
              <w:top w:type="dxa" w:w="40"/>
              <w:left w:type="dxa" w:w="80"/>
              <w:bottom w:type="dxa" w:w="40"/>
              <w:right w:type="dxa" w:w="80"/>
            </w:tcMar>
          </w:tcPr>
          <w:p>
            <w:pPr>
              <w:spacing w:after="0"/>
              <w:jc w:val="center"/>
            </w:pPr>
            <w:r>
              <w:rPr>
                <w:rFonts w:ascii="Arial" w:cs="Arial" w:eastAsia="Arial" w:hAnsi="Arial"/>
                <w:b/>
                <w:bCs/>
                <w:color w:val="9C5A00"/>
                <w:sz w:val="17"/>
                <w:szCs w:val="17"/>
              </w:rPr>
              <w:t xml:space="preserve">Hypothèse — PMO</w:t>
            </w:r>
          </w:p>
        </w:tc>
      </w:tr>
      <w:tr>
        <w:tc>
          <w:tcPr>
            <w:tcW w:type="dxa" w:w="4233"/>
            <w:tcMar>
              <w:top w:type="dxa" w:w="40"/>
              <w:left w:type="dxa" w:w="80"/>
              <w:bottom w:type="dxa" w:w="40"/>
              <w:right w:type="dxa" w:w="80"/>
            </w:tcMar>
          </w:tcPr>
          <w:p>
            <w:pPr>
              <w:spacing w:after="0"/>
              <w:jc w:val="left"/>
            </w:pPr>
            <w:r>
              <w:rPr>
                <w:rFonts w:ascii="Arial" w:cs="Arial" w:eastAsia="Arial" w:hAnsi="Arial"/>
                <w:sz w:val="17"/>
                <w:szCs w:val="17"/>
              </w:rPr>
              <w:t xml:space="preserve">Dégradation des panneaux</w:t>
            </w:r>
          </w:p>
        </w:tc>
        <w:tc>
          <w:tcPr>
            <w:tcW w:type="dxa" w:w="2116"/>
            <w:tcMar>
              <w:top w:type="dxa" w:w="40"/>
              <w:left w:type="dxa" w:w="80"/>
              <w:bottom w:type="dxa" w:w="40"/>
              <w:right w:type="dxa" w:w="80"/>
            </w:tcMar>
          </w:tcPr>
          <w:p>
            <w:pPr>
              <w:spacing w:after="0"/>
              <w:jc w:val="center"/>
            </w:pPr>
            <w:r>
              <w:rPr>
                <w:rFonts w:ascii="Arial" w:cs="Arial" w:eastAsia="Arial" w:hAnsi="Arial"/>
                <w:b/>
                <w:bCs/>
                <w:sz w:val="17"/>
                <w:szCs w:val="17"/>
              </w:rPr>
              <w:t xml:space="preserve">0,50</w:t>
            </w:r>
          </w:p>
        </w:tc>
        <w:tc>
          <w:tcPr>
            <w:tcW w:type="dxa" w:w="2072"/>
            <w:tcMar>
              <w:top w:type="dxa" w:w="40"/>
              <w:left w:type="dxa" w:w="80"/>
              <w:bottom w:type="dxa" w:w="40"/>
              <w:right w:type="dxa" w:w="80"/>
            </w:tcMar>
          </w:tcPr>
          <w:p>
            <w:pPr>
              <w:spacing w:after="0"/>
              <w:jc w:val="center"/>
            </w:pPr>
            <w:r>
              <w:rPr>
                <w:rFonts w:ascii="Arial" w:cs="Arial" w:eastAsia="Arial" w:hAnsi="Arial"/>
                <w:sz w:val="17"/>
                <w:szCs w:val="17"/>
              </w:rPr>
              <w:t xml:space="preserve">%/an</w:t>
            </w:r>
          </w:p>
        </w:tc>
        <w:tc>
          <w:tcPr>
            <w:tcW w:type="dxa" w:w="2005"/>
            <w:tcMar>
              <w:top w:type="dxa" w:w="40"/>
              <w:left w:type="dxa" w:w="80"/>
              <w:bottom w:type="dxa" w:w="40"/>
              <w:right w:type="dxa" w:w="80"/>
            </w:tcMar>
          </w:tcPr>
          <w:p>
            <w:pPr>
              <w:spacing w:after="0"/>
              <w:jc w:val="center"/>
            </w:pPr>
            <w:r>
              <w:rPr>
                <w:rFonts w:ascii="Arial" w:cs="Arial" w:eastAsia="Arial" w:hAnsi="Arial"/>
                <w:b/>
                <w:bCs/>
                <w:color w:val="9C5A00"/>
                <w:sz w:val="17"/>
                <w:szCs w:val="17"/>
              </w:rPr>
              <w:t xml:space="preserve">Hypothèse</w:t>
            </w:r>
          </w:p>
        </w:tc>
      </w:tr>
      <w:tr>
        <w:tc>
          <w:tcPr>
            <w:tcW w:type="dxa" w:w="4233"/>
            <w:shd w:fill="F4F9FC" w:val="clear"/>
            <w:tcMar>
              <w:top w:type="dxa" w:w="40"/>
              <w:left w:type="dxa" w:w="80"/>
              <w:bottom w:type="dxa" w:w="40"/>
              <w:right w:type="dxa" w:w="80"/>
            </w:tcMar>
          </w:tcPr>
          <w:p>
            <w:pPr>
              <w:spacing w:after="0"/>
              <w:jc w:val="left"/>
            </w:pPr>
            <w:r>
              <w:rPr>
                <w:rFonts w:ascii="Arial" w:cs="Arial" w:eastAsia="Arial" w:hAnsi="Arial"/>
                <w:sz w:val="17"/>
                <w:szCs w:val="17"/>
              </w:rPr>
              <w:t xml:space="preserve">Durée d'analyse</w:t>
            </w:r>
          </w:p>
        </w:tc>
        <w:tc>
          <w:tcPr>
            <w:tcW w:type="dxa" w:w="2116"/>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25</w:t>
            </w:r>
          </w:p>
        </w:tc>
        <w:tc>
          <w:tcPr>
            <w:tcW w:type="dxa" w:w="2072"/>
            <w:shd w:fill="F4F9FC" w:val="clear"/>
            <w:tcMar>
              <w:top w:type="dxa" w:w="40"/>
              <w:left w:type="dxa" w:w="80"/>
              <w:bottom w:type="dxa" w:w="40"/>
              <w:right w:type="dxa" w:w="80"/>
            </w:tcMar>
          </w:tcPr>
          <w:p>
            <w:pPr>
              <w:spacing w:after="0"/>
              <w:jc w:val="center"/>
            </w:pPr>
            <w:r>
              <w:rPr>
                <w:rFonts w:ascii="Arial" w:cs="Arial" w:eastAsia="Arial" w:hAnsi="Arial"/>
                <w:sz w:val="17"/>
                <w:szCs w:val="17"/>
              </w:rPr>
              <w:t xml:space="preserve">ans</w:t>
            </w:r>
          </w:p>
        </w:tc>
        <w:tc>
          <w:tcPr>
            <w:tcW w:type="dxa" w:w="2005"/>
            <w:shd w:fill="F4F9FC" w:val="clear"/>
            <w:tcMar>
              <w:top w:type="dxa" w:w="40"/>
              <w:left w:type="dxa" w:w="80"/>
              <w:bottom w:type="dxa" w:w="40"/>
              <w:right w:type="dxa" w:w="80"/>
            </w:tcMar>
          </w:tcPr>
          <w:p>
            <w:pPr>
              <w:spacing w:after="0"/>
              <w:jc w:val="center"/>
            </w:pPr>
            <w:r>
              <w:rPr>
                <w:rFonts w:ascii="Arial" w:cs="Arial" w:eastAsia="Arial" w:hAnsi="Arial"/>
                <w:b/>
                <w:bCs/>
                <w:color w:val="9C5A00"/>
                <w:sz w:val="17"/>
                <w:szCs w:val="17"/>
              </w:rPr>
              <w:t xml:space="preserve">Hypothèse</w:t>
            </w:r>
          </w:p>
        </w:tc>
      </w:tr>
      <w:tr>
        <w:tc>
          <w:tcPr>
            <w:tcW w:type="dxa" w:w="4233"/>
            <w:tcMar>
              <w:top w:type="dxa" w:w="40"/>
              <w:left w:type="dxa" w:w="80"/>
              <w:bottom w:type="dxa" w:w="40"/>
              <w:right w:type="dxa" w:w="80"/>
            </w:tcMar>
          </w:tcPr>
          <w:p>
            <w:pPr>
              <w:spacing w:after="0"/>
              <w:jc w:val="left"/>
            </w:pPr>
            <w:r>
              <w:rPr>
                <w:rFonts w:ascii="Arial" w:cs="Arial" w:eastAsia="Arial" w:hAnsi="Arial"/>
                <w:sz w:val="17"/>
                <w:szCs w:val="17"/>
              </w:rPr>
              <w:t xml:space="preserve">Taux d'actualisation</w:t>
            </w:r>
          </w:p>
        </w:tc>
        <w:tc>
          <w:tcPr>
            <w:tcW w:type="dxa" w:w="2116"/>
            <w:tcMar>
              <w:top w:type="dxa" w:w="40"/>
              <w:left w:type="dxa" w:w="80"/>
              <w:bottom w:type="dxa" w:w="40"/>
              <w:right w:type="dxa" w:w="80"/>
            </w:tcMar>
          </w:tcPr>
          <w:p>
            <w:pPr>
              <w:spacing w:after="0"/>
              <w:jc w:val="center"/>
            </w:pPr>
            <w:r>
              <w:rPr>
                <w:rFonts w:ascii="Arial" w:cs="Arial" w:eastAsia="Arial" w:hAnsi="Arial"/>
                <w:b/>
                <w:bCs/>
                <w:sz w:val="17"/>
                <w:szCs w:val="17"/>
              </w:rPr>
              <w:t xml:space="preserve">4,0</w:t>
            </w:r>
          </w:p>
        </w:tc>
        <w:tc>
          <w:tcPr>
            <w:tcW w:type="dxa" w:w="2072"/>
            <w:tcMar>
              <w:top w:type="dxa" w:w="40"/>
              <w:left w:type="dxa" w:w="80"/>
              <w:bottom w:type="dxa" w:w="40"/>
              <w:right w:type="dxa" w:w="80"/>
            </w:tcMar>
          </w:tcPr>
          <w:p>
            <w:pPr>
              <w:spacing w:after="0"/>
              <w:jc w:val="center"/>
            </w:pPr>
            <w:r>
              <w:rPr>
                <w:rFonts w:ascii="Arial" w:cs="Arial" w:eastAsia="Arial" w:hAnsi="Arial"/>
                <w:sz w:val="17"/>
                <w:szCs w:val="17"/>
              </w:rPr>
              <w:t xml:space="preserve">%</w:t>
            </w:r>
          </w:p>
        </w:tc>
        <w:tc>
          <w:tcPr>
            <w:tcW w:type="dxa" w:w="2005"/>
            <w:tcMar>
              <w:top w:type="dxa" w:w="40"/>
              <w:left w:type="dxa" w:w="80"/>
              <w:bottom w:type="dxa" w:w="40"/>
              <w:right w:type="dxa" w:w="80"/>
            </w:tcMar>
          </w:tcPr>
          <w:p>
            <w:pPr>
              <w:spacing w:after="0"/>
              <w:jc w:val="center"/>
            </w:pPr>
            <w:r>
              <w:rPr>
                <w:rFonts w:ascii="Arial" w:cs="Arial" w:eastAsia="Arial" w:hAnsi="Arial"/>
                <w:b/>
                <w:bCs/>
                <w:color w:val="9C5A00"/>
                <w:sz w:val="17"/>
                <w:szCs w:val="17"/>
              </w:rPr>
              <w:t xml:space="preserve">Hypothèse</w:t>
            </w:r>
          </w:p>
        </w:tc>
      </w:tr>
    </w:tbl>
    <w:p>
      <w:pPr>
        <w:spacing w:after="40" w:before="120"/>
      </w:pPr>
      <w:r>
        <w:rPr>
          <w:rFonts w:ascii="Arial" w:cs="Arial" w:eastAsia="Arial" w:hAnsi="Arial"/>
          <w:b/>
          <w:bCs/>
          <w:color w:val="0F4761"/>
          <w:sz w:val="19"/>
          <w:szCs w:val="19"/>
        </w:rPr>
        <w:t xml:space="preserve">Frais de PMO / gestion</w:t>
      </w:r>
      <w:r>
        <w:rPr>
          <w:rFonts w:ascii="Arial" w:cs="Arial" w:eastAsia="Arial" w:hAnsi="Arial"/>
          <w:color w:val="595959"/>
          <w:sz w:val="17"/>
          <w:szCs w:val="17"/>
        </w:rPr>
        <w:t xml:space="preserve">  (€/an)</w:t>
      </w:r>
      <w:r>
        <w:rPr>
          <w:rFonts w:ascii="Arial" w:cs="Arial" w:eastAsia="Arial" w:hAnsi="Arial"/>
          <w:b/>
          <w:bCs/>
          <w:color w:val="9C5A00"/>
          <w:sz w:val="16"/>
          <w:szCs w:val="16"/>
        </w:rPr>
        <w:t xml:space="preserve">  ·  Hypothèse</w:t>
      </w:r>
    </w:p>
    <w:p>
      <w:pPr>
        <w:spacing w:after="60"/>
        <w:ind w:left="220"/>
        <w:jc w:val="both"/>
      </w:pPr>
      <w:r>
        <w:rPr>
          <w:rFonts w:ascii="Arial" w:cs="Arial" w:eastAsia="Arial" w:hAnsi="Arial"/>
          <w:b/>
          <w:bCs/>
          <w:color w:val="595959"/>
          <w:sz w:val="18"/>
          <w:szCs w:val="18"/>
        </w:rPr>
        <w:t xml:space="preserve">Ce que c'est. </w:t>
      </w:r>
      <w:r>
        <w:rPr>
          <w:rFonts w:ascii="Arial" w:cs="Arial" w:eastAsia="Arial" w:hAnsi="Arial"/>
          <w:b w:val="false"/>
          <w:bCs w:val="false"/>
          <w:i w:val="false"/>
          <w:iCs w:val="false"/>
          <w:sz w:val="18"/>
          <w:szCs w:val="18"/>
        </w:rPr>
        <w:t xml:space="preserve">Le coût de fonctionnement de la personne morale organisatrice : animation, facturation des participants, plateforme de calcul et de suivi de la répartition, comptabilité, assurance.</w:t>
      </w:r>
    </w:p>
    <w:p>
      <w:pPr>
        <w:spacing w:after="60"/>
        <w:ind w:left="220"/>
        <w:jc w:val="both"/>
      </w:pPr>
      <w:r>
        <w:rPr>
          <w:rFonts w:ascii="Arial" w:cs="Arial" w:eastAsia="Arial" w:hAnsi="Arial"/>
          <w:b/>
          <w:bCs/>
          <w:color w:val="595959"/>
          <w:sz w:val="18"/>
          <w:szCs w:val="18"/>
        </w:rPr>
        <w:t xml:space="preserve">Comment le régler. </w:t>
      </w:r>
      <w:r>
        <w:rPr>
          <w:rFonts w:ascii="Arial" w:cs="Arial" w:eastAsia="Arial" w:hAnsi="Arial"/>
          <w:b w:val="false"/>
          <w:bCs w:val="false"/>
          <w:i w:val="false"/>
          <w:iCs w:val="false"/>
          <w:sz w:val="18"/>
          <w:szCs w:val="18"/>
        </w:rPr>
        <w:t xml:space="preserve">Très variable selon que la PMO est bénévole (association, collectif citoyen) ou qu'elle délègue à un prestataire. Les offres de plateformes du marché se facturent souvent à l'abonnement, parfois indexées au nombre de participants.</w:t>
      </w:r>
    </w:p>
    <w:p>
      <w:pPr>
        <w:spacing w:after="60"/>
        <w:ind w:left="220"/>
        <w:jc w:val="both"/>
      </w:pPr>
      <w:r>
        <w:rPr>
          <w:rFonts w:ascii="Arial" w:cs="Arial" w:eastAsia="Arial" w:hAnsi="Arial"/>
          <w:b/>
          <w:bCs/>
          <w:color w:val="595959"/>
          <w:sz w:val="18"/>
          <w:szCs w:val="18"/>
        </w:rPr>
        <w:t xml:space="preserve">Effet sur le résultat. </w:t>
      </w:r>
      <w:r>
        <w:rPr>
          <w:rFonts w:ascii="Arial" w:cs="Arial" w:eastAsia="Arial" w:hAnsi="Arial"/>
          <w:b w:val="false"/>
          <w:bCs w:val="false"/>
          <w:i w:val="false"/>
          <w:iCs w:val="false"/>
          <w:sz w:val="18"/>
          <w:szCs w:val="18"/>
        </w:rPr>
        <w:t xml:space="preserve">Charge fixe, donc </w:t>
      </w:r>
      <w:r>
        <w:rPr>
          <w:rFonts w:ascii="Arial" w:cs="Arial" w:eastAsia="Arial" w:hAnsi="Arial"/>
          <w:b/>
          <w:bCs/>
          <w:i w:val="false"/>
          <w:iCs w:val="false"/>
          <w:sz w:val="18"/>
          <w:szCs w:val="18"/>
        </w:rPr>
        <w:t xml:space="preserve">d'autant plus lourde que l'opération est petite</w:t>
      </w:r>
      <w:r>
        <w:rPr>
          <w:rFonts w:ascii="Arial" w:cs="Arial" w:eastAsia="Arial" w:hAnsi="Arial"/>
          <w:b w:val="false"/>
          <w:bCs w:val="false"/>
          <w:i w:val="false"/>
          <w:iCs w:val="false"/>
          <w:sz w:val="18"/>
          <w:szCs w:val="18"/>
        </w:rPr>
        <w:t xml:space="preserve">. C'est l'une des raisons pour lesquelles les très petites ACC peinent à s'équilibrer.</w:t>
      </w:r>
    </w:p>
    <w:p>
      <w:pPr>
        <w:spacing w:after="40" w:before="120"/>
      </w:pPr>
      <w:r>
        <w:rPr>
          <w:rFonts w:ascii="Arial" w:cs="Arial" w:eastAsia="Arial" w:hAnsi="Arial"/>
          <w:b/>
          <w:bCs/>
          <w:color w:val="0F4761"/>
          <w:sz w:val="19"/>
          <w:szCs w:val="19"/>
        </w:rPr>
        <w:t xml:space="preserve">Composante de gestion majorée</w:t>
      </w:r>
      <w:r>
        <w:rPr>
          <w:rFonts w:ascii="Arial" w:cs="Arial" w:eastAsia="Arial" w:hAnsi="Arial"/>
          <w:color w:val="595959"/>
          <w:sz w:val="17"/>
          <w:szCs w:val="17"/>
        </w:rPr>
        <w:t xml:space="preserve">  (€/an et par participant)</w:t>
      </w:r>
      <w:r>
        <w:rPr>
          <w:rFonts w:ascii="Arial" w:cs="Arial" w:eastAsia="Arial" w:hAnsi="Arial"/>
          <w:b/>
          <w:bCs/>
          <w:color w:val="9C5A00"/>
          <w:sz w:val="16"/>
          <w:szCs w:val="16"/>
        </w:rPr>
        <w:t xml:space="preserve">  ·  Hypothèse à vérifier</w:t>
      </w:r>
    </w:p>
    <w:p>
      <w:pPr>
        <w:spacing w:after="60"/>
        <w:ind w:left="220"/>
        <w:jc w:val="both"/>
      </w:pPr>
      <w:r>
        <w:rPr>
          <w:rFonts w:ascii="Arial" w:cs="Arial" w:eastAsia="Arial" w:hAnsi="Arial"/>
          <w:b/>
          <w:bCs/>
          <w:color w:val="595959"/>
          <w:sz w:val="18"/>
          <w:szCs w:val="18"/>
        </w:rPr>
        <w:t xml:space="preserve">Ce que c'est. </w:t>
      </w:r>
      <w:r>
        <w:rPr>
          <w:rFonts w:ascii="Arial" w:cs="Arial" w:eastAsia="Arial" w:hAnsi="Arial"/>
          <w:b w:val="false"/>
          <w:bCs w:val="false"/>
          <w:i w:val="false"/>
          <w:iCs w:val="false"/>
          <w:sz w:val="18"/>
          <w:szCs w:val="18"/>
        </w:rPr>
        <w:t xml:space="preserve">Le surcoût TURPE facturé par le gestionnaire de réseau pour l'affectation des index toutes les 15 minutes. Il s'applique à </w:t>
      </w:r>
      <w:r>
        <w:rPr>
          <w:rFonts w:ascii="Arial" w:cs="Arial" w:eastAsia="Arial" w:hAnsi="Arial"/>
          <w:b/>
          <w:bCs/>
          <w:i w:val="false"/>
          <w:iCs w:val="false"/>
          <w:sz w:val="18"/>
          <w:szCs w:val="18"/>
        </w:rPr>
        <w:t xml:space="preserve">tous les participants</w:t>
      </w:r>
      <w:r>
        <w:rPr>
          <w:rFonts w:ascii="Arial" w:cs="Arial" w:eastAsia="Arial" w:hAnsi="Arial"/>
          <w:b w:val="false"/>
          <w:bCs w:val="false"/>
          <w:i w:val="false"/>
          <w:iCs w:val="false"/>
          <w:sz w:val="18"/>
          <w:szCs w:val="18"/>
        </w:rPr>
        <w:t xml:space="preserve">, producteurs comme consommateurs, et quel que soit le type d'opération.</w:t>
      </w:r>
    </w:p>
    <w:p>
      <w:pPr>
        <w:spacing w:after="60"/>
        <w:ind w:left="220"/>
        <w:jc w:val="both"/>
      </w:pPr>
      <w:r>
        <w:rPr>
          <w:rFonts w:ascii="Arial" w:cs="Arial" w:eastAsia="Arial" w:hAnsi="Arial"/>
          <w:b/>
          <w:bCs/>
          <w:color w:val="595959"/>
          <w:sz w:val="18"/>
          <w:szCs w:val="18"/>
        </w:rPr>
        <w:t xml:space="preserve">Comment le régler. </w:t>
      </w:r>
      <w:r>
        <w:rPr>
          <w:rFonts w:ascii="Arial" w:cs="Arial" w:eastAsia="Arial" w:hAnsi="Arial"/>
          <w:b w:val="false"/>
          <w:bCs w:val="false"/>
          <w:i w:val="false"/>
          <w:iCs w:val="false"/>
          <w:sz w:val="18"/>
          <w:szCs w:val="18"/>
        </w:rPr>
        <w:t xml:space="preserve">Les montants dépendent du segment de puissance ; consultez les grilles TURPE en vigueur. Le simulateur multiplie ce montant par le nombre de participants plus un, pour compter le producteur.</w:t>
      </w:r>
    </w:p>
    <w:p>
      <w:pPr>
        <w:spacing w:after="60"/>
        <w:ind w:left="220"/>
        <w:jc w:val="both"/>
      </w:pPr>
      <w:r>
        <w:rPr>
          <w:rFonts w:ascii="Arial" w:cs="Arial" w:eastAsia="Arial" w:hAnsi="Arial"/>
          <w:b/>
          <w:bCs/>
          <w:color w:val="595959"/>
          <w:sz w:val="18"/>
          <w:szCs w:val="18"/>
        </w:rPr>
        <w:t xml:space="preserve">Effet sur le résultat. </w:t>
      </w:r>
      <w:r>
        <w:rPr>
          <w:rFonts w:ascii="Arial" w:cs="Arial" w:eastAsia="Arial" w:hAnsi="Arial"/>
          <w:b w:val="false"/>
          <w:bCs w:val="false"/>
          <w:i w:val="false"/>
          <w:iCs w:val="false"/>
          <w:sz w:val="18"/>
          <w:szCs w:val="18"/>
        </w:rPr>
        <w:t xml:space="preserve">Croît avec le nombre de participants. Une opération à trente foyers supporte ici trente fois cette charge, ce qui pèse contre l'idée intuitive selon laquelle « plus on est nombreux, mieux c'est ».</w:t>
      </w:r>
    </w:p>
    <w:p>
      <w:pPr>
        <w:spacing w:after="40" w:before="120"/>
      </w:pPr>
      <w:r>
        <w:rPr>
          <w:rFonts w:ascii="Arial" w:cs="Arial" w:eastAsia="Arial" w:hAnsi="Arial"/>
          <w:b/>
          <w:bCs/>
          <w:color w:val="0F4761"/>
          <w:sz w:val="19"/>
          <w:szCs w:val="19"/>
        </w:rPr>
        <w:t xml:space="preserve">Exploitation et maintenance</w:t>
      </w:r>
      <w:r>
        <w:rPr>
          <w:rFonts w:ascii="Arial" w:cs="Arial" w:eastAsia="Arial" w:hAnsi="Arial"/>
          <w:color w:val="595959"/>
          <w:sz w:val="17"/>
          <w:szCs w:val="17"/>
        </w:rPr>
        <w:t xml:space="preserve">  (€/an)</w:t>
      </w:r>
      <w:r>
        <w:rPr>
          <w:rFonts w:ascii="Arial" w:cs="Arial" w:eastAsia="Arial" w:hAnsi="Arial"/>
          <w:b/>
          <w:bCs/>
          <w:color w:val="9C5A00"/>
          <w:sz w:val="16"/>
          <w:szCs w:val="16"/>
        </w:rPr>
        <w:t xml:space="preserve">  ·  Hypothèse</w:t>
      </w:r>
    </w:p>
    <w:p>
      <w:pPr>
        <w:spacing w:after="60"/>
        <w:ind w:left="220"/>
        <w:jc w:val="both"/>
      </w:pPr>
      <w:r>
        <w:rPr>
          <w:rFonts w:ascii="Arial" w:cs="Arial" w:eastAsia="Arial" w:hAnsi="Arial"/>
          <w:b/>
          <w:bCs/>
          <w:color w:val="595959"/>
          <w:sz w:val="18"/>
          <w:szCs w:val="18"/>
        </w:rPr>
        <w:t xml:space="preserve">Ce que c'est. </w:t>
      </w:r>
      <w:r>
        <w:rPr>
          <w:rFonts w:ascii="Arial" w:cs="Arial" w:eastAsia="Arial" w:hAnsi="Arial"/>
          <w:b w:val="false"/>
          <w:bCs w:val="false"/>
          <w:i w:val="false"/>
          <w:iCs w:val="false"/>
          <w:sz w:val="18"/>
          <w:szCs w:val="18"/>
        </w:rPr>
        <w:t xml:space="preserve">L'entretien technique de l'installation : maintenance préventive, assurance, supervision de production, provision pour remplacement d'onduleur.</w:t>
      </w:r>
    </w:p>
    <w:p>
      <w:pPr>
        <w:spacing w:after="60"/>
        <w:ind w:left="220"/>
        <w:jc w:val="both"/>
      </w:pPr>
      <w:r>
        <w:rPr>
          <w:rFonts w:ascii="Arial" w:cs="Arial" w:eastAsia="Arial" w:hAnsi="Arial"/>
          <w:b/>
          <w:bCs/>
          <w:color w:val="595959"/>
          <w:sz w:val="18"/>
          <w:szCs w:val="18"/>
        </w:rPr>
        <w:t xml:space="preserve">Comment le régler. </w:t>
      </w:r>
      <w:r>
        <w:rPr>
          <w:rFonts w:ascii="Arial" w:cs="Arial" w:eastAsia="Arial" w:hAnsi="Arial"/>
          <w:b w:val="false"/>
          <w:bCs w:val="false"/>
          <w:i w:val="false"/>
          <w:iCs w:val="false"/>
          <w:sz w:val="18"/>
          <w:szCs w:val="18"/>
        </w:rPr>
        <w:t xml:space="preserve">Ordre de grandeur courant : 15 à 25 €/kWc/an pour une installation de cette taille.</w:t>
      </w:r>
    </w:p>
    <w:p>
      <w:pPr>
        <w:spacing w:after="60"/>
        <w:ind w:left="220"/>
        <w:jc w:val="both"/>
      </w:pPr>
      <w:r>
        <w:rPr>
          <w:rFonts w:ascii="Arial" w:cs="Arial" w:eastAsia="Arial" w:hAnsi="Arial"/>
          <w:b/>
          <w:bCs/>
          <w:color w:val="595959"/>
          <w:sz w:val="18"/>
          <w:szCs w:val="18"/>
        </w:rPr>
        <w:t xml:space="preserve">Effet sur le résultat. </w:t>
      </w:r>
      <w:r>
        <w:rPr>
          <w:rFonts w:ascii="Arial" w:cs="Arial" w:eastAsia="Arial" w:hAnsi="Arial"/>
          <w:b w:val="false"/>
          <w:bCs w:val="false"/>
          <w:i w:val="false"/>
          <w:iCs w:val="false"/>
          <w:sz w:val="18"/>
          <w:szCs w:val="18"/>
        </w:rPr>
        <w:t xml:space="preserve">Charge annuelle récurrente qui se déduit des recettes.</w:t>
      </w:r>
    </w:p>
    <w:p>
      <w:pPr>
        <w:spacing w:after="40" w:before="120"/>
      </w:pPr>
      <w:r>
        <w:rPr>
          <w:rFonts w:ascii="Arial" w:cs="Arial" w:eastAsia="Arial" w:hAnsi="Arial"/>
          <w:b/>
          <w:bCs/>
          <w:color w:val="0F4761"/>
          <w:sz w:val="19"/>
          <w:szCs w:val="19"/>
        </w:rPr>
        <w:t xml:space="preserve">Hausse du prix réseau</w:t>
      </w:r>
      <w:r>
        <w:rPr>
          <w:rFonts w:ascii="Arial" w:cs="Arial" w:eastAsia="Arial" w:hAnsi="Arial"/>
          <w:color w:val="595959"/>
          <w:sz w:val="17"/>
          <w:szCs w:val="17"/>
        </w:rPr>
        <w:t xml:space="preserve">  (%/an)</w:t>
      </w:r>
      <w:r>
        <w:rPr>
          <w:rFonts w:ascii="Arial" w:cs="Arial" w:eastAsia="Arial" w:hAnsi="Arial"/>
          <w:b/>
          <w:bCs/>
          <w:color w:val="9C5A00"/>
          <w:sz w:val="16"/>
          <w:szCs w:val="16"/>
        </w:rPr>
        <w:t xml:space="preserve">  ·  Hypothèse</w:t>
      </w:r>
    </w:p>
    <w:p>
      <w:pPr>
        <w:spacing w:after="60"/>
        <w:ind w:left="220"/>
        <w:jc w:val="both"/>
      </w:pPr>
      <w:r>
        <w:rPr>
          <w:rFonts w:ascii="Arial" w:cs="Arial" w:eastAsia="Arial" w:hAnsi="Arial"/>
          <w:b/>
          <w:bCs/>
          <w:color w:val="595959"/>
          <w:sz w:val="18"/>
          <w:szCs w:val="18"/>
        </w:rPr>
        <w:t xml:space="preserve">Ce que c'est. </w:t>
      </w:r>
      <w:r>
        <w:rPr>
          <w:rFonts w:ascii="Arial" w:cs="Arial" w:eastAsia="Arial" w:hAnsi="Arial"/>
          <w:b w:val="false"/>
          <w:bCs w:val="false"/>
          <w:i w:val="false"/>
          <w:iCs w:val="false"/>
          <w:sz w:val="18"/>
          <w:szCs w:val="18"/>
        </w:rPr>
        <w:t xml:space="preserve">L'indexation annuelle du prix évité, c'est-à-dire de la référence contre laquelle les consommateurs se comparent.</w:t>
      </w:r>
    </w:p>
    <w:p>
      <w:pPr>
        <w:spacing w:after="60"/>
        <w:ind w:left="220"/>
        <w:jc w:val="both"/>
      </w:pPr>
      <w:r>
        <w:rPr>
          <w:rFonts w:ascii="Arial" w:cs="Arial" w:eastAsia="Arial" w:hAnsi="Arial"/>
          <w:b/>
          <w:bCs/>
          <w:color w:val="595959"/>
          <w:sz w:val="18"/>
          <w:szCs w:val="18"/>
        </w:rPr>
        <w:t xml:space="preserve">Comment le régler. </w:t>
      </w:r>
      <w:r>
        <w:rPr>
          <w:rFonts w:ascii="Arial" w:cs="Arial" w:eastAsia="Arial" w:hAnsi="Arial"/>
          <w:b w:val="false"/>
          <w:bCs w:val="false"/>
          <w:i w:val="false"/>
          <w:iCs w:val="false"/>
          <w:sz w:val="18"/>
          <w:szCs w:val="18"/>
        </w:rPr>
        <w:t xml:space="preserve">Hypothèse. Testez 0 %, 2 % et 5 %.</w:t>
      </w:r>
    </w:p>
    <w:p>
      <w:pPr>
        <w:spacing w:after="60"/>
        <w:ind w:left="220"/>
        <w:jc w:val="both"/>
      </w:pPr>
      <w:r>
        <w:rPr>
          <w:rFonts w:ascii="Arial" w:cs="Arial" w:eastAsia="Arial" w:hAnsi="Arial"/>
          <w:b/>
          <w:bCs/>
          <w:color w:val="595959"/>
          <w:sz w:val="18"/>
          <w:szCs w:val="18"/>
        </w:rPr>
        <w:t xml:space="preserve">Effet sur le résultat. </w:t>
      </w:r>
      <w:r>
        <w:rPr>
          <w:rFonts w:ascii="Arial" w:cs="Arial" w:eastAsia="Arial" w:hAnsi="Arial"/>
          <w:b w:val="false"/>
          <w:bCs w:val="false"/>
          <w:i w:val="false"/>
          <w:iCs w:val="false"/>
          <w:sz w:val="18"/>
          <w:szCs w:val="18"/>
        </w:rPr>
        <w:t xml:space="preserve">Améliore l'économie des consommateurs année après année, </w:t>
      </w:r>
      <w:r>
        <w:rPr>
          <w:rFonts w:ascii="Arial" w:cs="Arial" w:eastAsia="Arial" w:hAnsi="Arial"/>
          <w:b/>
          <w:bCs/>
          <w:i w:val="false"/>
          <w:iCs w:val="false"/>
          <w:sz w:val="18"/>
          <w:szCs w:val="18"/>
        </w:rPr>
        <w:t xml:space="preserve">si</w:t>
      </w:r>
      <w:r>
        <w:rPr>
          <w:rFonts w:ascii="Arial" w:cs="Arial" w:eastAsia="Arial" w:hAnsi="Arial"/>
          <w:b w:val="false"/>
          <w:bCs w:val="false"/>
          <w:i w:val="false"/>
          <w:iCs w:val="false"/>
          <w:sz w:val="18"/>
          <w:szCs w:val="18"/>
        </w:rPr>
        <w:t xml:space="preserve"> le prix ACC est indexé moins vite. L'écart entre ce paramètre et le suivant constitue le véritable argument commercial de l'opération.</w:t>
      </w:r>
    </w:p>
    <w:p>
      <w:pPr>
        <w:spacing w:after="40" w:before="120"/>
      </w:pPr>
      <w:r>
        <w:rPr>
          <w:rFonts w:ascii="Arial" w:cs="Arial" w:eastAsia="Arial" w:hAnsi="Arial"/>
          <w:b/>
          <w:bCs/>
          <w:color w:val="0F4761"/>
          <w:sz w:val="19"/>
          <w:szCs w:val="19"/>
        </w:rPr>
        <w:t xml:space="preserve">Indexation du prix ACC</w:t>
      </w:r>
      <w:r>
        <w:rPr>
          <w:rFonts w:ascii="Arial" w:cs="Arial" w:eastAsia="Arial" w:hAnsi="Arial"/>
          <w:color w:val="595959"/>
          <w:sz w:val="17"/>
          <w:szCs w:val="17"/>
        </w:rPr>
        <w:t xml:space="preserve">  (%/an)</w:t>
      </w:r>
      <w:r>
        <w:rPr>
          <w:rFonts w:ascii="Arial" w:cs="Arial" w:eastAsia="Arial" w:hAnsi="Arial"/>
          <w:b/>
          <w:bCs/>
          <w:color w:val="9C5A00"/>
          <w:sz w:val="16"/>
          <w:szCs w:val="16"/>
        </w:rPr>
        <w:t xml:space="preserve">  ·  Hypothèse — décision PMO</w:t>
      </w:r>
    </w:p>
    <w:p>
      <w:pPr>
        <w:spacing w:after="60"/>
        <w:ind w:left="220"/>
        <w:jc w:val="both"/>
      </w:pPr>
      <w:r>
        <w:rPr>
          <w:rFonts w:ascii="Arial" w:cs="Arial" w:eastAsia="Arial" w:hAnsi="Arial"/>
          <w:b/>
          <w:bCs/>
          <w:color w:val="595959"/>
          <w:sz w:val="18"/>
          <w:szCs w:val="18"/>
        </w:rPr>
        <w:t xml:space="preserve">Ce que c'est. </w:t>
      </w:r>
      <w:r>
        <w:rPr>
          <w:rFonts w:ascii="Arial" w:cs="Arial" w:eastAsia="Arial" w:hAnsi="Arial"/>
          <w:b w:val="false"/>
          <w:bCs w:val="false"/>
          <w:i w:val="false"/>
          <w:iCs w:val="false"/>
          <w:sz w:val="18"/>
          <w:szCs w:val="18"/>
        </w:rPr>
        <w:t xml:space="preserve">L'indexation annuelle du prix de vente ACC, généralement fixée par contrat sur plusieurs années.</w:t>
      </w:r>
    </w:p>
    <w:p>
      <w:pPr>
        <w:spacing w:after="60"/>
        <w:ind w:left="220"/>
        <w:jc w:val="both"/>
      </w:pPr>
      <w:r>
        <w:rPr>
          <w:rFonts w:ascii="Arial" w:cs="Arial" w:eastAsia="Arial" w:hAnsi="Arial"/>
          <w:b/>
          <w:bCs/>
          <w:color w:val="595959"/>
          <w:sz w:val="18"/>
          <w:szCs w:val="18"/>
        </w:rPr>
        <w:t xml:space="preserve">Comment le régler. </w:t>
      </w:r>
      <w:r>
        <w:rPr>
          <w:rFonts w:ascii="Arial" w:cs="Arial" w:eastAsia="Arial" w:hAnsi="Arial"/>
          <w:b w:val="false"/>
          <w:bCs w:val="false"/>
          <w:i w:val="false"/>
          <w:iCs w:val="false"/>
          <w:sz w:val="18"/>
          <w:szCs w:val="18"/>
        </w:rPr>
        <w:t xml:space="preserve">Souvent calée sur l'inflation générale, ou volontairement inférieure à la dérive attendue des prix de l'électricité — c'est ce différentiel qui constitue la promesse faite aux participants.</w:t>
      </w:r>
    </w:p>
    <w:p>
      <w:pPr>
        <w:spacing w:after="60"/>
        <w:ind w:left="220"/>
        <w:jc w:val="both"/>
      </w:pPr>
      <w:r>
        <w:rPr>
          <w:rFonts w:ascii="Arial" w:cs="Arial" w:eastAsia="Arial" w:hAnsi="Arial"/>
          <w:b/>
          <w:bCs/>
          <w:color w:val="595959"/>
          <w:sz w:val="18"/>
          <w:szCs w:val="18"/>
        </w:rPr>
        <w:t xml:space="preserve">Effet sur le résultat. </w:t>
      </w:r>
      <w:r>
        <w:rPr>
          <w:rFonts w:ascii="Arial" w:cs="Arial" w:eastAsia="Arial" w:hAnsi="Arial"/>
          <w:b w:val="false"/>
          <w:bCs w:val="false"/>
          <w:i w:val="false"/>
          <w:iCs w:val="false"/>
          <w:sz w:val="18"/>
          <w:szCs w:val="18"/>
        </w:rPr>
        <w:t xml:space="preserve">Si l'indexation ACC égale la hausse réseau, l'avantage consommateur reste constant en valeur. Si elle est inférieure, l'avantage s'élargit avec le temps — au détriment des recettes du producteur.</w:t>
      </w:r>
    </w:p>
    <w:p>
      <w:pPr>
        <w:spacing w:after="40" w:before="120"/>
      </w:pPr>
      <w:r>
        <w:rPr>
          <w:rFonts w:ascii="Arial" w:cs="Arial" w:eastAsia="Arial" w:hAnsi="Arial"/>
          <w:b/>
          <w:bCs/>
          <w:color w:val="0F4761"/>
          <w:sz w:val="19"/>
          <w:szCs w:val="19"/>
        </w:rPr>
        <w:t xml:space="preserve">Dégradation des panneaux</w:t>
      </w:r>
      <w:r>
        <w:rPr>
          <w:rFonts w:ascii="Arial" w:cs="Arial" w:eastAsia="Arial" w:hAnsi="Arial"/>
          <w:color w:val="595959"/>
          <w:sz w:val="17"/>
          <w:szCs w:val="17"/>
        </w:rPr>
        <w:t xml:space="preserve">  (%/an)</w:t>
      </w:r>
      <w:r>
        <w:rPr>
          <w:rFonts w:ascii="Arial" w:cs="Arial" w:eastAsia="Arial" w:hAnsi="Arial"/>
          <w:b/>
          <w:bCs/>
          <w:color w:val="9C5A00"/>
          <w:sz w:val="16"/>
          <w:szCs w:val="16"/>
        </w:rPr>
        <w:t xml:space="preserve">  ·  Hypothèse</w:t>
      </w:r>
    </w:p>
    <w:p>
      <w:pPr>
        <w:spacing w:after="60"/>
        <w:ind w:left="220"/>
        <w:jc w:val="both"/>
      </w:pPr>
      <w:r>
        <w:rPr>
          <w:rFonts w:ascii="Arial" w:cs="Arial" w:eastAsia="Arial" w:hAnsi="Arial"/>
          <w:b/>
          <w:bCs/>
          <w:color w:val="595959"/>
          <w:sz w:val="18"/>
          <w:szCs w:val="18"/>
        </w:rPr>
        <w:t xml:space="preserve">Ce que c'est. </w:t>
      </w:r>
      <w:r>
        <w:rPr>
          <w:rFonts w:ascii="Arial" w:cs="Arial" w:eastAsia="Arial" w:hAnsi="Arial"/>
          <w:b w:val="false"/>
          <w:bCs w:val="false"/>
          <w:i w:val="false"/>
          <w:iCs w:val="false"/>
          <w:sz w:val="18"/>
          <w:szCs w:val="18"/>
        </w:rPr>
        <w:t xml:space="preserve">La perte de rendement annuelle des modules.</w:t>
      </w:r>
    </w:p>
    <w:p>
      <w:pPr>
        <w:spacing w:after="60"/>
        <w:ind w:left="220"/>
        <w:jc w:val="both"/>
      </w:pPr>
      <w:r>
        <w:rPr>
          <w:rFonts w:ascii="Arial" w:cs="Arial" w:eastAsia="Arial" w:hAnsi="Arial"/>
          <w:b/>
          <w:bCs/>
          <w:color w:val="595959"/>
          <w:sz w:val="18"/>
          <w:szCs w:val="18"/>
        </w:rPr>
        <w:t xml:space="preserve">Comment le régler. </w:t>
      </w:r>
      <w:r>
        <w:rPr>
          <w:rFonts w:ascii="Arial" w:cs="Arial" w:eastAsia="Arial" w:hAnsi="Arial"/>
          <w:b w:val="false"/>
          <w:bCs w:val="false"/>
          <w:i w:val="false"/>
          <w:iCs w:val="false"/>
          <w:sz w:val="18"/>
          <w:szCs w:val="18"/>
        </w:rPr>
        <w:t xml:space="preserve">Fiche technique du module : 0,4 à 0,55 %/an pour du silicium cristallin récent.</w:t>
      </w:r>
    </w:p>
    <w:p>
      <w:pPr>
        <w:spacing w:after="60"/>
        <w:ind w:left="220"/>
        <w:jc w:val="both"/>
      </w:pPr>
      <w:r>
        <w:rPr>
          <w:rFonts w:ascii="Arial" w:cs="Arial" w:eastAsia="Arial" w:hAnsi="Arial"/>
          <w:b/>
          <w:bCs/>
          <w:color w:val="595959"/>
          <w:sz w:val="18"/>
          <w:szCs w:val="18"/>
        </w:rPr>
        <w:t xml:space="preserve">Effet sur le résultat. </w:t>
      </w:r>
      <w:r>
        <w:rPr>
          <w:rFonts w:ascii="Arial" w:cs="Arial" w:eastAsia="Arial" w:hAnsi="Arial"/>
          <w:b w:val="false"/>
          <w:bCs w:val="false"/>
          <w:i w:val="false"/>
          <w:iCs w:val="false"/>
          <w:sz w:val="18"/>
          <w:szCs w:val="18"/>
        </w:rPr>
        <w:t xml:space="preserve">Réduit progressivement la production, donc l'énergie affectée et les recettes.</w:t>
      </w:r>
    </w:p>
    <w:p>
      <w:pPr>
        <w:spacing w:after="40" w:before="120"/>
      </w:pPr>
      <w:r>
        <w:rPr>
          <w:rFonts w:ascii="Arial" w:cs="Arial" w:eastAsia="Arial" w:hAnsi="Arial"/>
          <w:b/>
          <w:bCs/>
          <w:color w:val="0F4761"/>
          <w:sz w:val="19"/>
          <w:szCs w:val="19"/>
        </w:rPr>
        <w:t xml:space="preserve">Durée d'analyse</w:t>
      </w:r>
      <w:r>
        <w:rPr>
          <w:rFonts w:ascii="Arial" w:cs="Arial" w:eastAsia="Arial" w:hAnsi="Arial"/>
          <w:color w:val="595959"/>
          <w:sz w:val="17"/>
          <w:szCs w:val="17"/>
        </w:rPr>
        <w:t xml:space="preserve">  (ans)</w:t>
      </w:r>
      <w:r>
        <w:rPr>
          <w:rFonts w:ascii="Arial" w:cs="Arial" w:eastAsia="Arial" w:hAnsi="Arial"/>
          <w:b/>
          <w:bCs/>
          <w:color w:val="9C5A00"/>
          <w:sz w:val="16"/>
          <w:szCs w:val="16"/>
        </w:rPr>
        <w:t xml:space="preserve">  ·  Hypothèse</w:t>
      </w:r>
    </w:p>
    <w:p>
      <w:pPr>
        <w:spacing w:after="60"/>
        <w:ind w:left="220"/>
        <w:jc w:val="both"/>
      </w:pPr>
      <w:r>
        <w:rPr>
          <w:rFonts w:ascii="Arial" w:cs="Arial" w:eastAsia="Arial" w:hAnsi="Arial"/>
          <w:b/>
          <w:bCs/>
          <w:color w:val="595959"/>
          <w:sz w:val="18"/>
          <w:szCs w:val="18"/>
        </w:rPr>
        <w:t xml:space="preserve">Ce que c'est. </w:t>
      </w:r>
      <w:r>
        <w:rPr>
          <w:rFonts w:ascii="Arial" w:cs="Arial" w:eastAsia="Arial" w:hAnsi="Arial"/>
          <w:b w:val="false"/>
          <w:bCs w:val="false"/>
          <w:i w:val="false"/>
          <w:iCs w:val="false"/>
          <w:sz w:val="18"/>
          <w:szCs w:val="18"/>
        </w:rPr>
        <w:t xml:space="preserve">L'horizon du calcul.</w:t>
      </w:r>
    </w:p>
    <w:p>
      <w:pPr>
        <w:spacing w:after="60"/>
        <w:ind w:left="220"/>
        <w:jc w:val="both"/>
      </w:pPr>
      <w:r>
        <w:rPr>
          <w:rFonts w:ascii="Arial" w:cs="Arial" w:eastAsia="Arial" w:hAnsi="Arial"/>
          <w:b/>
          <w:bCs/>
          <w:color w:val="595959"/>
          <w:sz w:val="18"/>
          <w:szCs w:val="18"/>
        </w:rPr>
        <w:t xml:space="preserve">Comment le régler. </w:t>
      </w:r>
      <w:r>
        <w:rPr>
          <w:rFonts w:ascii="Arial" w:cs="Arial" w:eastAsia="Arial" w:hAnsi="Arial"/>
          <w:b w:val="false"/>
          <w:bCs w:val="false"/>
          <w:i w:val="false"/>
          <w:iCs w:val="false"/>
          <w:sz w:val="18"/>
          <w:szCs w:val="18"/>
        </w:rPr>
        <w:t xml:space="preserve">Généralement alignée sur la durée de vie des modules. À rapprocher toutefois de la durée des conventions signées avec les participants, souvent bien plus courte — un point de fragilité propre à l'ACC.</w:t>
      </w:r>
    </w:p>
    <w:p>
      <w:pPr>
        <w:spacing w:after="60"/>
        <w:ind w:left="220"/>
        <w:jc w:val="both"/>
      </w:pPr>
      <w:r>
        <w:rPr>
          <w:rFonts w:ascii="Arial" w:cs="Arial" w:eastAsia="Arial" w:hAnsi="Arial"/>
          <w:b/>
          <w:bCs/>
          <w:color w:val="595959"/>
          <w:sz w:val="18"/>
          <w:szCs w:val="18"/>
        </w:rPr>
        <w:t xml:space="preserve">Effet sur le résultat. </w:t>
      </w:r>
      <w:r>
        <w:rPr>
          <w:rFonts w:ascii="Arial" w:cs="Arial" w:eastAsia="Arial" w:hAnsi="Arial"/>
          <w:b w:val="false"/>
          <w:bCs w:val="false"/>
          <w:i w:val="false"/>
          <w:iCs w:val="false"/>
          <w:sz w:val="18"/>
          <w:szCs w:val="18"/>
        </w:rPr>
        <w:t xml:space="preserve">Allonger la durée améliore la VAN, mais suppose que les participants restent engagés, ce qui n'est jamais garanti sur 25 ans.</w:t>
      </w:r>
    </w:p>
    <w:p>
      <w:pPr>
        <w:spacing w:after="40" w:before="120"/>
      </w:pPr>
      <w:r>
        <w:rPr>
          <w:rFonts w:ascii="Arial" w:cs="Arial" w:eastAsia="Arial" w:hAnsi="Arial"/>
          <w:b/>
          <w:bCs/>
          <w:color w:val="0F4761"/>
          <w:sz w:val="19"/>
          <w:szCs w:val="19"/>
        </w:rPr>
        <w:t xml:space="preserve">Taux d'actualisation</w:t>
      </w:r>
      <w:r>
        <w:rPr>
          <w:rFonts w:ascii="Arial" w:cs="Arial" w:eastAsia="Arial" w:hAnsi="Arial"/>
          <w:color w:val="595959"/>
          <w:sz w:val="17"/>
          <w:szCs w:val="17"/>
        </w:rPr>
        <w:t xml:space="preserve">  (%)</w:t>
      </w:r>
      <w:r>
        <w:rPr>
          <w:rFonts w:ascii="Arial" w:cs="Arial" w:eastAsia="Arial" w:hAnsi="Arial"/>
          <w:b/>
          <w:bCs/>
          <w:color w:val="9C5A00"/>
          <w:sz w:val="16"/>
          <w:szCs w:val="16"/>
        </w:rPr>
        <w:t xml:space="preserve">  ·  Hypothèse</w:t>
      </w:r>
    </w:p>
    <w:p>
      <w:pPr>
        <w:spacing w:after="60"/>
        <w:ind w:left="220"/>
        <w:jc w:val="both"/>
      </w:pPr>
      <w:r>
        <w:rPr>
          <w:rFonts w:ascii="Arial" w:cs="Arial" w:eastAsia="Arial" w:hAnsi="Arial"/>
          <w:b/>
          <w:bCs/>
          <w:color w:val="595959"/>
          <w:sz w:val="18"/>
          <w:szCs w:val="18"/>
        </w:rPr>
        <w:t xml:space="preserve">Ce que c'est. </w:t>
      </w:r>
      <w:r>
        <w:rPr>
          <w:rFonts w:ascii="Arial" w:cs="Arial" w:eastAsia="Arial" w:hAnsi="Arial"/>
          <w:b w:val="false"/>
          <w:bCs w:val="false"/>
          <w:i w:val="false"/>
          <w:iCs w:val="false"/>
          <w:sz w:val="18"/>
          <w:szCs w:val="18"/>
        </w:rPr>
        <w:t xml:space="preserve">Le taux ramenant les flux futurs à leur valeur présente, pour la VAN, et servant de seuil au TRI.</w:t>
      </w:r>
    </w:p>
    <w:p>
      <w:pPr>
        <w:spacing w:after="60"/>
        <w:ind w:left="220"/>
        <w:jc w:val="both"/>
      </w:pPr>
      <w:r>
        <w:rPr>
          <w:rFonts w:ascii="Arial" w:cs="Arial" w:eastAsia="Arial" w:hAnsi="Arial"/>
          <w:b/>
          <w:bCs/>
          <w:color w:val="595959"/>
          <w:sz w:val="18"/>
          <w:szCs w:val="18"/>
        </w:rPr>
        <w:t xml:space="preserve">Comment le régler. </w:t>
      </w:r>
      <w:r>
        <w:rPr>
          <w:rFonts w:ascii="Arial" w:cs="Arial" w:eastAsia="Arial" w:hAnsi="Arial"/>
          <w:b w:val="false"/>
          <w:bCs w:val="false"/>
          <w:i w:val="false"/>
          <w:iCs w:val="false"/>
          <w:sz w:val="18"/>
          <w:szCs w:val="18"/>
        </w:rPr>
        <w:t xml:space="preserve">Coût du financement pour une société de projet, taux sans risque pour une collectivité ou un collectif citoyen.</w:t>
      </w:r>
    </w:p>
    <w:p>
      <w:pPr>
        <w:spacing w:after="60"/>
        <w:ind w:left="220"/>
        <w:jc w:val="both"/>
      </w:pPr>
      <w:r>
        <w:rPr>
          <w:rFonts w:ascii="Arial" w:cs="Arial" w:eastAsia="Arial" w:hAnsi="Arial"/>
          <w:b/>
          <w:bCs/>
          <w:color w:val="595959"/>
          <w:sz w:val="18"/>
          <w:szCs w:val="18"/>
        </w:rPr>
        <w:t xml:space="preserve">Effet sur le résultat. </w:t>
      </w:r>
      <w:r>
        <w:rPr>
          <w:rFonts w:ascii="Arial" w:cs="Arial" w:eastAsia="Arial" w:hAnsi="Arial"/>
          <w:b w:val="false"/>
          <w:bCs w:val="false"/>
          <w:i w:val="false"/>
          <w:iCs w:val="false"/>
          <w:sz w:val="18"/>
          <w:szCs w:val="18"/>
        </w:rPr>
        <w:t xml:space="preserve">Un taux élevé pénalise fortement les projets à retour long, ce qui est le cas de la plupart des opérations ACC.</w:t>
      </w:r>
    </w:p>
    <w:p>
      <w:pPr>
        <w:pBdr>
          <w:top w:val="single" w:color="0F4761" w:sz="12"/>
          <w:bottom w:val="single" w:color="0F4761" w:sz="12"/>
          <w:left w:val="single" w:color="0F4761" w:sz="12"/>
          <w:right w:val="single" w:color="0F4761" w:sz="12"/>
        </w:pBdr>
        <w:shd w:fill="FFF8E1" w:val="clear"/>
        <w:spacing w:after="120" w:before="80"/>
        <w:jc w:val="both"/>
      </w:pPr>
      <w:r>
        <w:rPr>
          <w:rFonts w:ascii="Arial" w:cs="Arial" w:eastAsia="Arial" w:hAnsi="Arial"/>
          <w:b/>
          <w:bCs/>
          <w:color w:val="0F4761"/>
          <w:sz w:val="18"/>
          <w:szCs w:val="18"/>
        </w:rPr>
        <w:t xml:space="preserve">Statut des valeurs. </w:t>
      </w:r>
      <w:r>
        <w:rPr>
          <w:rFonts w:ascii="Arial" w:cs="Arial" w:eastAsia="Arial" w:hAnsi="Arial"/>
          <w:sz w:val="18"/>
          <w:szCs w:val="18"/>
        </w:rPr>
        <w:t xml:space="preserve">Seuls le prix réseau et le productible sont des données sourcées. Toutes les autres valeurs sont des hypothèses de travail, à confirmer auprès du gestionnaire de réseau, des fournisseurs et des textes en vigueur avant toute décision d'investissement.</w:t>
      </w:r>
    </w:p>
    <w:p>
      <w:pPr>
        <w:pStyle w:val="Heading2"/>
        <w:spacing w:after="100" w:before="260"/>
      </w:pPr>
      <w:r>
        <w:rPr>
          <w:rFonts w:ascii="Arial" w:cs="Arial" w:eastAsia="Arial" w:hAnsi="Arial"/>
          <w:b/>
          <w:bCs/>
          <w:color w:val="0F4761"/>
          <w:sz w:val="22"/>
          <w:szCs w:val="22"/>
        </w:rPr>
        <w:t xml:space="preserve">4. Composition du collectif</w:t>
      </w:r>
    </w:p>
    <w:tbl>
      <w:tblPr>
        <w:tblW w:type="dxa" w:w="10426"/>
        <w:tblBorders>
          <w:top w:val="single" w:color="9DB8C9" w:sz="4"/>
          <w:left w:val="single" w:color="9DB8C9" w:sz="4"/>
          <w:bottom w:val="single" w:color="9DB8C9" w:sz="4"/>
          <w:right w:val="single" w:color="9DB8C9" w:sz="4"/>
          <w:insideH w:val="single" w:color="9DB8C9" w:sz="4"/>
          <w:insideV w:val="single" w:color="9DB8C9" w:sz="4"/>
        </w:tblBorders>
      </w:tblPr>
      <w:tblGrid>
        <w:gridCol w:w="3074"/>
        <w:gridCol w:w="1894"/>
        <w:gridCol w:w="1671"/>
        <w:gridCol w:w="1671"/>
        <w:gridCol w:w="2116"/>
      </w:tblGrid>
      <w:tr>
        <w:trPr>
          <w:tblHeader/>
        </w:trPr>
        <w:tc>
          <w:tcPr>
            <w:tcW w:type="dxa" w:w="3074"/>
            <w:shd w:fill="DEEBF7" w:val="clear"/>
            <w:tcMar>
              <w:top w:type="dxa" w:w="40"/>
              <w:left w:type="dxa" w:w="80"/>
              <w:bottom w:type="dxa" w:w="40"/>
              <w:right w:type="dxa" w:w="80"/>
            </w:tcMar>
          </w:tcPr>
          <w:p>
            <w:pPr>
              <w:spacing w:after="0"/>
              <w:jc w:val="left"/>
            </w:pPr>
            <w:r>
              <w:rPr>
                <w:rFonts w:ascii="Arial" w:cs="Arial" w:eastAsia="Arial" w:hAnsi="Arial"/>
                <w:b/>
                <w:bCs/>
                <w:color w:val="0F4761"/>
                <w:sz w:val="17"/>
                <w:szCs w:val="17"/>
              </w:rPr>
              <w:t xml:space="preserve">Participant</w:t>
            </w:r>
          </w:p>
        </w:tc>
        <w:tc>
          <w:tcPr>
            <w:tcW w:type="dxa" w:w="1894"/>
            <w:shd w:fill="DEEBF7" w:val="clear"/>
            <w:tcMar>
              <w:top w:type="dxa" w:w="40"/>
              <w:left w:type="dxa" w:w="80"/>
              <w:bottom w:type="dxa" w:w="40"/>
              <w:right w:type="dxa" w:w="80"/>
            </w:tcMar>
          </w:tcPr>
          <w:p>
            <w:pPr>
              <w:spacing w:after="0"/>
              <w:jc w:val="center"/>
            </w:pPr>
            <w:r>
              <w:rPr>
                <w:rFonts w:ascii="Arial" w:cs="Arial" w:eastAsia="Arial" w:hAnsi="Arial"/>
                <w:b/>
                <w:bCs/>
                <w:color w:val="0F4761"/>
                <w:sz w:val="17"/>
                <w:szCs w:val="17"/>
              </w:rPr>
              <w:t xml:space="preserve">Consommation</w:t>
            </w:r>
          </w:p>
        </w:tc>
        <w:tc>
          <w:tcPr>
            <w:tcW w:type="dxa" w:w="1671"/>
            <w:shd w:fill="DEEBF7" w:val="clear"/>
            <w:tcMar>
              <w:top w:type="dxa" w:w="40"/>
              <w:left w:type="dxa" w:w="80"/>
              <w:bottom w:type="dxa" w:w="40"/>
              <w:right w:type="dxa" w:w="80"/>
            </w:tcMar>
          </w:tcPr>
          <w:p>
            <w:pPr>
              <w:spacing w:after="0"/>
              <w:jc w:val="center"/>
            </w:pPr>
            <w:r>
              <w:rPr>
                <w:rFonts w:ascii="Arial" w:cs="Arial" w:eastAsia="Arial" w:hAnsi="Arial"/>
                <w:b/>
                <w:bCs/>
                <w:color w:val="0F4761"/>
                <w:sz w:val="17"/>
                <w:szCs w:val="17"/>
              </w:rPr>
              <w:t xml:space="preserve">Clé statique</w:t>
            </w:r>
          </w:p>
        </w:tc>
        <w:tc>
          <w:tcPr>
            <w:tcW w:type="dxa" w:w="1671"/>
            <w:shd w:fill="DEEBF7" w:val="clear"/>
            <w:tcMar>
              <w:top w:type="dxa" w:w="40"/>
              <w:left w:type="dxa" w:w="80"/>
              <w:bottom w:type="dxa" w:w="40"/>
              <w:right w:type="dxa" w:w="80"/>
            </w:tcMar>
          </w:tcPr>
          <w:p>
            <w:pPr>
              <w:spacing w:after="0"/>
              <w:jc w:val="center"/>
            </w:pPr>
            <w:r>
              <w:rPr>
                <w:rFonts w:ascii="Arial" w:cs="Arial" w:eastAsia="Arial" w:hAnsi="Arial"/>
                <w:b/>
                <w:bCs/>
                <w:color w:val="0F4761"/>
                <w:sz w:val="17"/>
                <w:szCs w:val="17"/>
              </w:rPr>
              <w:t xml:space="preserve">Simultanéité</w:t>
            </w:r>
          </w:p>
        </w:tc>
        <w:tc>
          <w:tcPr>
            <w:tcW w:type="dxa" w:w="2116"/>
            <w:shd w:fill="DEEBF7" w:val="clear"/>
            <w:tcMar>
              <w:top w:type="dxa" w:w="40"/>
              <w:left w:type="dxa" w:w="80"/>
              <w:bottom w:type="dxa" w:w="40"/>
              <w:right w:type="dxa" w:w="80"/>
            </w:tcMar>
          </w:tcPr>
          <w:p>
            <w:pPr>
              <w:spacing w:after="0"/>
              <w:jc w:val="center"/>
            </w:pPr>
            <w:r>
              <w:rPr>
                <w:rFonts w:ascii="Arial" w:cs="Arial" w:eastAsia="Arial" w:hAnsi="Arial"/>
                <w:b/>
                <w:bCs/>
                <w:color w:val="0F4761"/>
                <w:sz w:val="17"/>
                <w:szCs w:val="17"/>
              </w:rPr>
              <w:t xml:space="preserve">Capacité d'absorption</w:t>
            </w:r>
          </w:p>
        </w:tc>
      </w:tr>
      <w:tr>
        <w:tc>
          <w:tcPr>
            <w:tcW w:type="dxa" w:w="3074"/>
            <w:tcMar>
              <w:top w:type="dxa" w:w="40"/>
              <w:left w:type="dxa" w:w="80"/>
              <w:bottom w:type="dxa" w:w="40"/>
              <w:right w:type="dxa" w:w="80"/>
            </w:tcMar>
          </w:tcPr>
          <w:p>
            <w:pPr>
              <w:spacing w:after="0"/>
              <w:jc w:val="left"/>
            </w:pPr>
            <w:r>
              <w:rPr>
                <w:rFonts w:ascii="Arial" w:cs="Arial" w:eastAsia="Arial" w:hAnsi="Arial"/>
                <w:b/>
                <w:bCs/>
                <w:sz w:val="17"/>
                <w:szCs w:val="17"/>
              </w:rPr>
              <w:t xml:space="preserve">1. Mairie</w:t>
            </w:r>
          </w:p>
        </w:tc>
        <w:tc>
          <w:tcPr>
            <w:tcW w:type="dxa" w:w="1894"/>
            <w:tcMar>
              <w:top w:type="dxa" w:w="40"/>
              <w:left w:type="dxa" w:w="80"/>
              <w:bottom w:type="dxa" w:w="40"/>
              <w:right w:type="dxa" w:w="80"/>
            </w:tcMar>
          </w:tcPr>
          <w:p>
            <w:pPr>
              <w:spacing w:after="0"/>
              <w:jc w:val="center"/>
            </w:pPr>
            <w:r>
              <w:rPr>
                <w:rFonts w:ascii="Arial" w:cs="Arial" w:eastAsia="Arial" w:hAnsi="Arial"/>
                <w:b/>
                <w:bCs/>
                <w:sz w:val="17"/>
                <w:szCs w:val="17"/>
              </w:rPr>
              <w:t xml:space="preserve">12 000 kWh</w:t>
            </w:r>
          </w:p>
        </w:tc>
        <w:tc>
          <w:tcPr>
            <w:tcW w:type="dxa" w:w="1671"/>
            <w:tcMar>
              <w:top w:type="dxa" w:w="40"/>
              <w:left w:type="dxa" w:w="80"/>
              <w:bottom w:type="dxa" w:w="40"/>
              <w:right w:type="dxa" w:w="80"/>
            </w:tcMar>
          </w:tcPr>
          <w:p>
            <w:pPr>
              <w:spacing w:after="0"/>
              <w:jc w:val="center"/>
            </w:pPr>
            <w:r>
              <w:rPr>
                <w:rFonts w:ascii="Arial" w:cs="Arial" w:eastAsia="Arial" w:hAnsi="Arial"/>
                <w:b/>
                <w:bCs/>
                <w:sz w:val="17"/>
                <w:szCs w:val="17"/>
              </w:rPr>
              <w:t xml:space="preserve">20,0 %</w:t>
            </w:r>
          </w:p>
        </w:tc>
        <w:tc>
          <w:tcPr>
            <w:tcW w:type="dxa" w:w="1671"/>
            <w:tcMar>
              <w:top w:type="dxa" w:w="40"/>
              <w:left w:type="dxa" w:w="80"/>
              <w:bottom w:type="dxa" w:w="40"/>
              <w:right w:type="dxa" w:w="80"/>
            </w:tcMar>
          </w:tcPr>
          <w:p>
            <w:pPr>
              <w:spacing w:after="0"/>
              <w:jc w:val="center"/>
            </w:pPr>
            <w:r>
              <w:rPr>
                <w:rFonts w:ascii="Arial" w:cs="Arial" w:eastAsia="Arial" w:hAnsi="Arial"/>
                <w:b/>
                <w:bCs/>
                <w:sz w:val="17"/>
                <w:szCs w:val="17"/>
              </w:rPr>
              <w:t xml:space="preserve">70 %</w:t>
            </w:r>
          </w:p>
        </w:tc>
        <w:tc>
          <w:tcPr>
            <w:tcW w:type="dxa" w:w="2116"/>
            <w:tcMar>
              <w:top w:type="dxa" w:w="40"/>
              <w:left w:type="dxa" w:w="80"/>
              <w:bottom w:type="dxa" w:w="40"/>
              <w:right w:type="dxa" w:w="80"/>
            </w:tcMar>
          </w:tcPr>
          <w:p>
            <w:pPr>
              <w:spacing w:after="0"/>
              <w:jc w:val="center"/>
            </w:pPr>
            <w:r>
              <w:rPr>
                <w:rFonts w:ascii="Arial" w:cs="Arial" w:eastAsia="Arial" w:hAnsi="Arial"/>
                <w:b/>
                <w:bCs/>
                <w:sz w:val="17"/>
                <w:szCs w:val="17"/>
              </w:rPr>
              <w:t xml:space="preserve">8 400 kWh</w:t>
            </w:r>
          </w:p>
        </w:tc>
      </w:tr>
      <w:tr>
        <w:tc>
          <w:tcPr>
            <w:tcW w:type="dxa" w:w="3074"/>
            <w:shd w:fill="F4F9FC" w:val="clear"/>
            <w:tcMar>
              <w:top w:type="dxa" w:w="40"/>
              <w:left w:type="dxa" w:w="80"/>
              <w:bottom w:type="dxa" w:w="40"/>
              <w:right w:type="dxa" w:w="80"/>
            </w:tcMar>
          </w:tcPr>
          <w:p>
            <w:pPr>
              <w:spacing w:after="0"/>
              <w:jc w:val="left"/>
            </w:pPr>
            <w:r>
              <w:rPr>
                <w:rFonts w:ascii="Arial" w:cs="Arial" w:eastAsia="Arial" w:hAnsi="Arial"/>
                <w:b/>
                <w:bCs/>
                <w:sz w:val="17"/>
                <w:szCs w:val="17"/>
              </w:rPr>
              <w:t xml:space="preserve">2. École</w:t>
            </w:r>
          </w:p>
        </w:tc>
        <w:tc>
          <w:tcPr>
            <w:tcW w:type="dxa" w:w="1894"/>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15 000 kWh</w:t>
            </w:r>
          </w:p>
        </w:tc>
        <w:tc>
          <w:tcPr>
            <w:tcW w:type="dxa" w:w="1671"/>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20,0 %</w:t>
            </w:r>
          </w:p>
        </w:tc>
        <w:tc>
          <w:tcPr>
            <w:tcW w:type="dxa" w:w="1671"/>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70 %</w:t>
            </w:r>
          </w:p>
        </w:tc>
        <w:tc>
          <w:tcPr>
            <w:tcW w:type="dxa" w:w="2116"/>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10 500 kWh</w:t>
            </w:r>
          </w:p>
        </w:tc>
      </w:tr>
      <w:tr>
        <w:tc>
          <w:tcPr>
            <w:tcW w:type="dxa" w:w="3074"/>
            <w:tcMar>
              <w:top w:type="dxa" w:w="40"/>
              <w:left w:type="dxa" w:w="80"/>
              <w:bottom w:type="dxa" w:w="40"/>
              <w:right w:type="dxa" w:w="80"/>
            </w:tcMar>
          </w:tcPr>
          <w:p>
            <w:pPr>
              <w:spacing w:after="0"/>
              <w:jc w:val="left"/>
            </w:pPr>
            <w:r>
              <w:rPr>
                <w:rFonts w:ascii="Arial" w:cs="Arial" w:eastAsia="Arial" w:hAnsi="Arial"/>
                <w:b/>
                <w:bCs/>
                <w:sz w:val="17"/>
                <w:szCs w:val="17"/>
              </w:rPr>
              <w:t xml:space="preserve">3. Salle des fêtes</w:t>
            </w:r>
          </w:p>
        </w:tc>
        <w:tc>
          <w:tcPr>
            <w:tcW w:type="dxa" w:w="1894"/>
            <w:tcMar>
              <w:top w:type="dxa" w:w="40"/>
              <w:left w:type="dxa" w:w="80"/>
              <w:bottom w:type="dxa" w:w="40"/>
              <w:right w:type="dxa" w:w="80"/>
            </w:tcMar>
          </w:tcPr>
          <w:p>
            <w:pPr>
              <w:spacing w:after="0"/>
              <w:jc w:val="center"/>
            </w:pPr>
            <w:r>
              <w:rPr>
                <w:rFonts w:ascii="Arial" w:cs="Arial" w:eastAsia="Arial" w:hAnsi="Arial"/>
                <w:b/>
                <w:bCs/>
                <w:sz w:val="17"/>
                <w:szCs w:val="17"/>
              </w:rPr>
              <w:t xml:space="preserve">6 000 kWh</w:t>
            </w:r>
          </w:p>
        </w:tc>
        <w:tc>
          <w:tcPr>
            <w:tcW w:type="dxa" w:w="1671"/>
            <w:tcMar>
              <w:top w:type="dxa" w:w="40"/>
              <w:left w:type="dxa" w:w="80"/>
              <w:bottom w:type="dxa" w:w="40"/>
              <w:right w:type="dxa" w:w="80"/>
            </w:tcMar>
          </w:tcPr>
          <w:p>
            <w:pPr>
              <w:spacing w:after="0"/>
              <w:jc w:val="center"/>
            </w:pPr>
            <w:r>
              <w:rPr>
                <w:rFonts w:ascii="Arial" w:cs="Arial" w:eastAsia="Arial" w:hAnsi="Arial"/>
                <w:b/>
                <w:bCs/>
                <w:sz w:val="17"/>
                <w:szCs w:val="17"/>
              </w:rPr>
              <w:t xml:space="preserve">20,0 %</w:t>
            </w:r>
          </w:p>
        </w:tc>
        <w:tc>
          <w:tcPr>
            <w:tcW w:type="dxa" w:w="1671"/>
            <w:tcMar>
              <w:top w:type="dxa" w:w="40"/>
              <w:left w:type="dxa" w:w="80"/>
              <w:bottom w:type="dxa" w:w="40"/>
              <w:right w:type="dxa" w:w="80"/>
            </w:tcMar>
          </w:tcPr>
          <w:p>
            <w:pPr>
              <w:spacing w:after="0"/>
              <w:jc w:val="center"/>
            </w:pPr>
            <w:r>
              <w:rPr>
                <w:rFonts w:ascii="Arial" w:cs="Arial" w:eastAsia="Arial" w:hAnsi="Arial"/>
                <w:b/>
                <w:bCs/>
                <w:sz w:val="17"/>
                <w:szCs w:val="17"/>
              </w:rPr>
              <w:t xml:space="preserve">55 %</w:t>
            </w:r>
          </w:p>
        </w:tc>
        <w:tc>
          <w:tcPr>
            <w:tcW w:type="dxa" w:w="2116"/>
            <w:tcMar>
              <w:top w:type="dxa" w:w="40"/>
              <w:left w:type="dxa" w:w="80"/>
              <w:bottom w:type="dxa" w:w="40"/>
              <w:right w:type="dxa" w:w="80"/>
            </w:tcMar>
          </w:tcPr>
          <w:p>
            <w:pPr>
              <w:spacing w:after="0"/>
              <w:jc w:val="center"/>
            </w:pPr>
            <w:r>
              <w:rPr>
                <w:rFonts w:ascii="Arial" w:cs="Arial" w:eastAsia="Arial" w:hAnsi="Arial"/>
                <w:b/>
                <w:bCs/>
                <w:sz w:val="17"/>
                <w:szCs w:val="17"/>
              </w:rPr>
              <w:t xml:space="preserve">3 300 kWh</w:t>
            </w:r>
          </w:p>
        </w:tc>
      </w:tr>
      <w:tr>
        <w:tc>
          <w:tcPr>
            <w:tcW w:type="dxa" w:w="3074"/>
            <w:shd w:fill="F4F9FC" w:val="clear"/>
            <w:tcMar>
              <w:top w:type="dxa" w:w="40"/>
              <w:left w:type="dxa" w:w="80"/>
              <w:bottom w:type="dxa" w:w="40"/>
              <w:right w:type="dxa" w:w="80"/>
            </w:tcMar>
          </w:tcPr>
          <w:p>
            <w:pPr>
              <w:spacing w:after="0"/>
              <w:jc w:val="left"/>
            </w:pPr>
            <w:r>
              <w:rPr>
                <w:rFonts w:ascii="Arial" w:cs="Arial" w:eastAsia="Arial" w:hAnsi="Arial"/>
                <w:b/>
                <w:bCs/>
                <w:sz w:val="17"/>
                <w:szCs w:val="17"/>
              </w:rPr>
              <w:t xml:space="preserve">4. Foyer 1</w:t>
            </w:r>
          </w:p>
        </w:tc>
        <w:tc>
          <w:tcPr>
            <w:tcW w:type="dxa" w:w="1894"/>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4 500 kWh</w:t>
            </w:r>
          </w:p>
        </w:tc>
        <w:tc>
          <w:tcPr>
            <w:tcW w:type="dxa" w:w="1671"/>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20,0 %</w:t>
            </w:r>
          </w:p>
        </w:tc>
        <w:tc>
          <w:tcPr>
            <w:tcW w:type="dxa" w:w="1671"/>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35 %</w:t>
            </w:r>
          </w:p>
        </w:tc>
        <w:tc>
          <w:tcPr>
            <w:tcW w:type="dxa" w:w="2116"/>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1 575 kWh</w:t>
            </w:r>
          </w:p>
        </w:tc>
      </w:tr>
      <w:tr>
        <w:tc>
          <w:tcPr>
            <w:tcW w:type="dxa" w:w="3074"/>
            <w:tcMar>
              <w:top w:type="dxa" w:w="40"/>
              <w:left w:type="dxa" w:w="80"/>
              <w:bottom w:type="dxa" w:w="40"/>
              <w:right w:type="dxa" w:w="80"/>
            </w:tcMar>
          </w:tcPr>
          <w:p>
            <w:pPr>
              <w:spacing w:after="0"/>
              <w:jc w:val="left"/>
            </w:pPr>
            <w:r>
              <w:rPr>
                <w:rFonts w:ascii="Arial" w:cs="Arial" w:eastAsia="Arial" w:hAnsi="Arial"/>
                <w:b/>
                <w:bCs/>
                <w:sz w:val="17"/>
                <w:szCs w:val="17"/>
              </w:rPr>
              <w:t xml:space="preserve">5. Foyer 2</w:t>
            </w:r>
          </w:p>
        </w:tc>
        <w:tc>
          <w:tcPr>
            <w:tcW w:type="dxa" w:w="1894"/>
            <w:tcMar>
              <w:top w:type="dxa" w:w="40"/>
              <w:left w:type="dxa" w:w="80"/>
              <w:bottom w:type="dxa" w:w="40"/>
              <w:right w:type="dxa" w:w="80"/>
            </w:tcMar>
          </w:tcPr>
          <w:p>
            <w:pPr>
              <w:spacing w:after="0"/>
              <w:jc w:val="center"/>
            </w:pPr>
            <w:r>
              <w:rPr>
                <w:rFonts w:ascii="Arial" w:cs="Arial" w:eastAsia="Arial" w:hAnsi="Arial"/>
                <w:b/>
                <w:bCs/>
                <w:sz w:val="17"/>
                <w:szCs w:val="17"/>
              </w:rPr>
              <w:t xml:space="preserve">4 500 kWh</w:t>
            </w:r>
          </w:p>
        </w:tc>
        <w:tc>
          <w:tcPr>
            <w:tcW w:type="dxa" w:w="1671"/>
            <w:tcMar>
              <w:top w:type="dxa" w:w="40"/>
              <w:left w:type="dxa" w:w="80"/>
              <w:bottom w:type="dxa" w:w="40"/>
              <w:right w:type="dxa" w:w="80"/>
            </w:tcMar>
          </w:tcPr>
          <w:p>
            <w:pPr>
              <w:spacing w:after="0"/>
              <w:jc w:val="center"/>
            </w:pPr>
            <w:r>
              <w:rPr>
                <w:rFonts w:ascii="Arial" w:cs="Arial" w:eastAsia="Arial" w:hAnsi="Arial"/>
                <w:b/>
                <w:bCs/>
                <w:sz w:val="17"/>
                <w:szCs w:val="17"/>
              </w:rPr>
              <w:t xml:space="preserve">20,0 %</w:t>
            </w:r>
          </w:p>
        </w:tc>
        <w:tc>
          <w:tcPr>
            <w:tcW w:type="dxa" w:w="1671"/>
            <w:tcMar>
              <w:top w:type="dxa" w:w="40"/>
              <w:left w:type="dxa" w:w="80"/>
              <w:bottom w:type="dxa" w:w="40"/>
              <w:right w:type="dxa" w:w="80"/>
            </w:tcMar>
          </w:tcPr>
          <w:p>
            <w:pPr>
              <w:spacing w:after="0"/>
              <w:jc w:val="center"/>
            </w:pPr>
            <w:r>
              <w:rPr>
                <w:rFonts w:ascii="Arial" w:cs="Arial" w:eastAsia="Arial" w:hAnsi="Arial"/>
                <w:b/>
                <w:bCs/>
                <w:sz w:val="17"/>
                <w:szCs w:val="17"/>
              </w:rPr>
              <w:t xml:space="preserve">35 %</w:t>
            </w:r>
          </w:p>
        </w:tc>
        <w:tc>
          <w:tcPr>
            <w:tcW w:type="dxa" w:w="2116"/>
            <w:tcMar>
              <w:top w:type="dxa" w:w="40"/>
              <w:left w:type="dxa" w:w="80"/>
              <w:bottom w:type="dxa" w:w="40"/>
              <w:right w:type="dxa" w:w="80"/>
            </w:tcMar>
          </w:tcPr>
          <w:p>
            <w:pPr>
              <w:spacing w:after="0"/>
              <w:jc w:val="center"/>
            </w:pPr>
            <w:r>
              <w:rPr>
                <w:rFonts w:ascii="Arial" w:cs="Arial" w:eastAsia="Arial" w:hAnsi="Arial"/>
                <w:b/>
                <w:bCs/>
                <w:sz w:val="17"/>
                <w:szCs w:val="17"/>
              </w:rPr>
              <w:t xml:space="preserve">1 575 kWh</w:t>
            </w:r>
          </w:p>
        </w:tc>
      </w:tr>
      <w:tr>
        <w:tc>
          <w:tcPr>
            <w:tcW w:type="dxa" w:w="3074"/>
            <w:shd w:fill="DEEBF7" w:val="clear"/>
            <w:tcMar>
              <w:top w:type="dxa" w:w="40"/>
              <w:left w:type="dxa" w:w="80"/>
              <w:bottom w:type="dxa" w:w="40"/>
              <w:right w:type="dxa" w:w="80"/>
            </w:tcMar>
          </w:tcPr>
          <w:p>
            <w:pPr>
              <w:spacing w:after="0"/>
              <w:jc w:val="left"/>
            </w:pPr>
            <w:r>
              <w:rPr>
                <w:rFonts w:ascii="Arial" w:cs="Arial" w:eastAsia="Arial" w:hAnsi="Arial"/>
                <w:b/>
                <w:bCs/>
                <w:sz w:val="17"/>
                <w:szCs w:val="17"/>
              </w:rPr>
              <w:t xml:space="preserve">Total</w:t>
            </w:r>
          </w:p>
        </w:tc>
        <w:tc>
          <w:tcPr>
            <w:tcW w:type="dxa" w:w="1894"/>
            <w:shd w:fill="DEEBF7" w:val="clear"/>
            <w:tcMar>
              <w:top w:type="dxa" w:w="40"/>
              <w:left w:type="dxa" w:w="80"/>
              <w:bottom w:type="dxa" w:w="40"/>
              <w:right w:type="dxa" w:w="80"/>
            </w:tcMar>
          </w:tcPr>
          <w:p>
            <w:pPr>
              <w:spacing w:after="0"/>
              <w:jc w:val="center"/>
            </w:pPr>
            <w:r>
              <w:rPr>
                <w:rFonts w:ascii="Arial" w:cs="Arial" w:eastAsia="Arial" w:hAnsi="Arial"/>
                <w:b/>
                <w:bCs/>
                <w:sz w:val="17"/>
                <w:szCs w:val="17"/>
              </w:rPr>
              <w:t xml:space="preserve">42 000 kWh</w:t>
            </w:r>
          </w:p>
        </w:tc>
        <w:tc>
          <w:tcPr>
            <w:tcW w:type="dxa" w:w="1671"/>
            <w:shd w:fill="DEEBF7" w:val="clear"/>
            <w:tcMar>
              <w:top w:type="dxa" w:w="40"/>
              <w:left w:type="dxa" w:w="80"/>
              <w:bottom w:type="dxa" w:w="40"/>
              <w:right w:type="dxa" w:w="80"/>
            </w:tcMar>
          </w:tcPr>
          <w:p>
            <w:pPr>
              <w:spacing w:after="0"/>
              <w:jc w:val="center"/>
            </w:pPr>
            <w:r>
              <w:rPr>
                <w:rFonts w:ascii="Arial" w:cs="Arial" w:eastAsia="Arial" w:hAnsi="Arial"/>
                <w:b/>
                <w:bCs/>
                <w:sz w:val="17"/>
                <w:szCs w:val="17"/>
              </w:rPr>
              <w:t xml:space="preserve">100,0 %</w:t>
            </w:r>
          </w:p>
        </w:tc>
        <w:tc>
          <w:tcPr>
            <w:tcW w:type="dxa" w:w="1671"/>
            <w:shd w:fill="DEEBF7" w:val="clear"/>
            <w:tcMar>
              <w:top w:type="dxa" w:w="40"/>
              <w:left w:type="dxa" w:w="80"/>
              <w:bottom w:type="dxa" w:w="40"/>
              <w:right w:type="dxa" w:w="80"/>
            </w:tcMar>
          </w:tcPr>
          <w:p>
            <w:pPr>
              <w:spacing w:after="0"/>
              <w:jc w:val="center"/>
            </w:pPr>
            <w:r>
              <w:rPr>
                <w:rFonts w:ascii="Arial" w:cs="Arial" w:eastAsia="Arial" w:hAnsi="Arial"/>
                <w:sz w:val="17"/>
                <w:szCs w:val="17"/>
              </w:rPr>
              <w:t xml:space="preserve">—</w:t>
            </w:r>
          </w:p>
        </w:tc>
        <w:tc>
          <w:tcPr>
            <w:tcW w:type="dxa" w:w="2116"/>
            <w:shd w:fill="DEEBF7" w:val="clear"/>
            <w:tcMar>
              <w:top w:type="dxa" w:w="40"/>
              <w:left w:type="dxa" w:w="80"/>
              <w:bottom w:type="dxa" w:w="40"/>
              <w:right w:type="dxa" w:w="80"/>
            </w:tcMar>
          </w:tcPr>
          <w:p>
            <w:pPr>
              <w:spacing w:after="0"/>
              <w:jc w:val="center"/>
            </w:pPr>
            <w:r>
              <w:rPr>
                <w:rFonts w:ascii="Arial" w:cs="Arial" w:eastAsia="Arial" w:hAnsi="Arial"/>
                <w:b/>
                <w:bCs/>
                <w:sz w:val="17"/>
                <w:szCs w:val="17"/>
              </w:rPr>
              <w:t xml:space="preserve">25 350 kWh</w:t>
            </w:r>
          </w:p>
        </w:tc>
      </w:tr>
    </w:tbl>
    <w:p>
      <w:pPr>
        <w:pStyle w:val="Heading3"/>
        <w:spacing w:after="70" w:before="160"/>
      </w:pPr>
      <w:r>
        <w:rPr>
          <w:rFonts w:ascii="Arial" w:cs="Arial" w:eastAsia="Arial" w:hAnsi="Arial"/>
          <w:b/>
          <w:bCs/>
          <w:color w:val="0F4761"/>
          <w:sz w:val="20"/>
          <w:szCs w:val="20"/>
        </w:rPr>
        <w:t xml:space="preserve">4.1 Ce que signifie chaque colonne</w:t>
      </w:r>
    </w:p>
    <w:p>
      <w:pPr>
        <w:pStyle w:val="ListParagraph"/>
        <w:numPr>
          <w:ilvl w:val="0"/>
          <w:numId w:val="1"/>
        </w:numPr>
        <w:spacing w:after="70"/>
        <w:jc w:val="both"/>
      </w:pPr>
      <w:r>
        <w:rPr>
          <w:rFonts w:ascii="Arial" w:cs="Arial" w:eastAsia="Arial" w:hAnsi="Arial"/>
          <w:b/>
          <w:bCs/>
          <w:sz w:val="18"/>
          <w:szCs w:val="18"/>
        </w:rPr>
        <w:t xml:space="preserve">Ordre</w:t>
      </w:r>
      <w:r>
        <w:rPr>
          <w:rFonts w:ascii="Arial" w:cs="Arial" w:eastAsia="Arial" w:hAnsi="Arial"/>
          <w:sz w:val="18"/>
          <w:szCs w:val="18"/>
        </w:rPr>
        <w:t xml:space="preserve"> — le rang du participant dans la cascade d'affectation. Il ne compte qu'en mode « Ordre de priorité » : les premiers servis prennent tout ce qu'ils peuvent absorber avant de laisser la place aux suivants. C'est un choix de gouvernance, pas un paramètre technique.</w:t>
      </w:r>
    </w:p>
    <w:p>
      <w:pPr>
        <w:pStyle w:val="ListParagraph"/>
        <w:numPr>
          <w:ilvl w:val="0"/>
          <w:numId w:val="1"/>
        </w:numPr>
        <w:spacing w:after="70"/>
        <w:jc w:val="both"/>
      </w:pPr>
      <w:r>
        <w:rPr>
          <w:rFonts w:ascii="Arial" w:cs="Arial" w:eastAsia="Arial" w:hAnsi="Arial"/>
          <w:b/>
          <w:bCs/>
          <w:sz w:val="18"/>
          <w:szCs w:val="18"/>
        </w:rPr>
        <w:t xml:space="preserve">Consommation</w:t>
      </w:r>
      <w:r>
        <w:rPr>
          <w:rFonts w:ascii="Arial" w:cs="Arial" w:eastAsia="Arial" w:hAnsi="Arial"/>
          <w:sz w:val="18"/>
          <w:szCs w:val="18"/>
        </w:rPr>
        <w:t xml:space="preserve"> — la consommation électrique annuelle du participant, tous usages confondus, relevée sur sa facture. Chaque participant doit disposer d'un contrat de fourniture actif, chez le fournisseur de son choix.</w:t>
      </w:r>
    </w:p>
    <w:p>
      <w:pPr>
        <w:pStyle w:val="ListParagraph"/>
        <w:numPr>
          <w:ilvl w:val="0"/>
          <w:numId w:val="1"/>
        </w:numPr>
        <w:spacing w:after="70"/>
        <w:jc w:val="both"/>
      </w:pPr>
      <w:r>
        <w:rPr>
          <w:rFonts w:ascii="Arial" w:cs="Arial" w:eastAsia="Arial" w:hAnsi="Arial"/>
          <w:b/>
          <w:bCs/>
          <w:sz w:val="18"/>
          <w:szCs w:val="18"/>
        </w:rPr>
        <w:t xml:space="preserve">Clé statique</w:t>
      </w:r>
      <w:r>
        <w:rPr>
          <w:rFonts w:ascii="Arial" w:cs="Arial" w:eastAsia="Arial" w:hAnsi="Arial"/>
          <w:sz w:val="18"/>
          <w:szCs w:val="18"/>
        </w:rPr>
        <w:t xml:space="preserve"> — le coefficient de répartition fixe attribué au participant et transmis au gestionnaire de réseau par la PMO. La somme doit valoir 100 %. Au-delà, les clés sont normalisées ; en deçà, la production non affectée part en surplus. Cette colonne n'est utilisée qu'en mode « Clé statique ».</w:t>
      </w:r>
    </w:p>
    <w:p>
      <w:pPr>
        <w:pStyle w:val="ListParagraph"/>
        <w:numPr>
          <w:ilvl w:val="0"/>
          <w:numId w:val="1"/>
        </w:numPr>
        <w:spacing w:after="70"/>
        <w:jc w:val="both"/>
      </w:pPr>
      <w:r>
        <w:rPr>
          <w:rFonts w:ascii="Arial" w:cs="Arial" w:eastAsia="Arial" w:hAnsi="Arial"/>
          <w:b/>
          <w:bCs/>
          <w:sz w:val="18"/>
          <w:szCs w:val="18"/>
        </w:rPr>
        <w:t xml:space="preserve">Simultanéité</w:t>
      </w:r>
      <w:r>
        <w:rPr>
          <w:rFonts w:ascii="Arial" w:cs="Arial" w:eastAsia="Arial" w:hAnsi="Arial"/>
          <w:sz w:val="18"/>
          <w:szCs w:val="18"/>
        </w:rPr>
        <w:t xml:space="preserve"> — la part de la consommation annuelle qui a lieu pendant les heures de production. Un bâtiment tertiaire occupé en journée — mairie, école, commerce — se situe plutôt entre 60 et 75 % ; un logement occupé en soirée descend à 25-35 %. Seules des courbes de charge réelles permettent de trancher.</w:t>
      </w:r>
    </w:p>
    <w:p>
      <w:pPr>
        <w:pStyle w:val="ListParagraph"/>
        <w:numPr>
          <w:ilvl w:val="0"/>
          <w:numId w:val="1"/>
        </w:numPr>
        <w:spacing w:after="70"/>
        <w:jc w:val="both"/>
      </w:pPr>
      <w:r>
        <w:rPr>
          <w:rFonts w:ascii="Arial" w:cs="Arial" w:eastAsia="Arial" w:hAnsi="Arial"/>
          <w:b/>
          <w:bCs/>
          <w:sz w:val="18"/>
          <w:szCs w:val="18"/>
        </w:rPr>
        <w:t xml:space="preserve">Capacité d'absorption</w:t>
      </w:r>
      <w:r>
        <w:rPr>
          <w:rFonts w:ascii="Arial" w:cs="Arial" w:eastAsia="Arial" w:hAnsi="Arial"/>
          <w:sz w:val="18"/>
          <w:szCs w:val="18"/>
        </w:rPr>
        <w:t xml:space="preserve"> — consommation multipliée par simultanéité. C'est le plafond de ce que le participant peut recevoir sur l'année. Une clé généreuse attribuée à un participant peu simultané ne produit aucun bénéfice : l'énergie part en surplus.</w:t>
      </w:r>
    </w:p>
    <w:p>
      <w:pPr>
        <w:spacing w:after="120" w:line="264"/>
        <w:jc w:val="both"/>
      </w:pPr>
      <w:r>
        <w:rPr>
          <w:rFonts w:ascii="Arial" w:cs="Arial" w:eastAsia="Arial" w:hAnsi="Arial"/>
          <w:sz w:val="20"/>
          <w:szCs w:val="20"/>
        </w:rPr>
        <w:t xml:space="preserve">La simultanéité désigne la part de la consommation annuelle qui a lieu pendant les heures de production. Multipliée par la consommation, elle donne la capacité d'absorption : le plafond physique de ce qu'un participant peut recevoir sur l'année, quelle que soit la clé qui lui est attribuée. C'est la traduction annuelle de la règle de l'article D. 315-4, selon laquelle l'énergie affectée ne peut excéder la consommation mesurée. C'est aussi le paramètre le plus sensible de toute la simulation : sans courbes de charge réelles, il s'agit d'une estimation.</w:t>
      </w:r>
    </w:p>
    <w:p>
      <w:r>
        <w:br w:type="page"/>
      </w:r>
    </w:p>
    <w:p>
      <w:pPr>
        <w:pStyle w:val="Heading2"/>
        <w:spacing w:after="100" w:before="260"/>
      </w:pPr>
      <w:r>
        <w:rPr>
          <w:rFonts w:ascii="Arial" w:cs="Arial" w:eastAsia="Arial" w:hAnsi="Arial"/>
          <w:b/>
          <w:bCs/>
          <w:color w:val="0F4761"/>
          <w:sz w:val="22"/>
          <w:szCs w:val="22"/>
        </w:rPr>
        <w:t xml:space="preserve">5. Résultats de la simulation</w:t>
      </w:r>
    </w:p>
    <w:tbl>
      <w:tblPr>
        <w:tblW w:type="dxa" w:w="10426"/>
        <w:tblBorders>
          <w:top w:val="single" w:color="9DB8C9" w:sz="4"/>
          <w:left w:val="single" w:color="9DB8C9" w:sz="4"/>
          <w:bottom w:val="single" w:color="9DB8C9" w:sz="4"/>
          <w:right w:val="single" w:color="9DB8C9" w:sz="4"/>
          <w:insideH w:val="single" w:color="9DB8C9" w:sz="4"/>
          <w:insideV w:val="single" w:color="9DB8C9" w:sz="4"/>
        </w:tblBorders>
      </w:tblPr>
      <w:tblGrid>
        <w:gridCol w:w="7307"/>
        <w:gridCol w:w="3119"/>
      </w:tblGrid>
      <w:tr>
        <w:trPr>
          <w:tblHeader/>
        </w:trPr>
        <w:tc>
          <w:tcPr>
            <w:tcW w:type="dxa" w:w="7307"/>
            <w:shd w:fill="DEEBF7" w:val="clear"/>
            <w:tcMar>
              <w:top w:type="dxa" w:w="40"/>
              <w:left w:type="dxa" w:w="80"/>
              <w:bottom w:type="dxa" w:w="40"/>
              <w:right w:type="dxa" w:w="80"/>
            </w:tcMar>
          </w:tcPr>
          <w:p>
            <w:pPr>
              <w:spacing w:after="0"/>
              <w:jc w:val="left"/>
            </w:pPr>
            <w:r>
              <w:rPr>
                <w:rFonts w:ascii="Arial" w:cs="Arial" w:eastAsia="Arial" w:hAnsi="Arial"/>
                <w:b/>
                <w:bCs/>
                <w:color w:val="0F4761"/>
                <w:sz w:val="17"/>
                <w:szCs w:val="17"/>
              </w:rPr>
              <w:t xml:space="preserve">Indicateur</w:t>
            </w:r>
          </w:p>
        </w:tc>
        <w:tc>
          <w:tcPr>
            <w:tcW w:type="dxa" w:w="3119"/>
            <w:shd w:fill="DEEBF7" w:val="clear"/>
            <w:tcMar>
              <w:top w:type="dxa" w:w="40"/>
              <w:left w:type="dxa" w:w="80"/>
              <w:bottom w:type="dxa" w:w="40"/>
              <w:right w:type="dxa" w:w="80"/>
            </w:tcMar>
          </w:tcPr>
          <w:p>
            <w:pPr>
              <w:spacing w:after="0"/>
              <w:jc w:val="center"/>
            </w:pPr>
            <w:r>
              <w:rPr>
                <w:rFonts w:ascii="Arial" w:cs="Arial" w:eastAsia="Arial" w:hAnsi="Arial"/>
                <w:b/>
                <w:bCs/>
                <w:color w:val="0F4761"/>
                <w:sz w:val="17"/>
                <w:szCs w:val="17"/>
              </w:rPr>
              <w:t xml:space="preserve">Valeur</w:t>
            </w:r>
          </w:p>
        </w:tc>
      </w:tr>
      <w:tr>
        <w:tc>
          <w:tcPr>
            <w:tcW w:type="dxa" w:w="7307"/>
            <w:tcMar>
              <w:top w:type="dxa" w:w="40"/>
              <w:left w:type="dxa" w:w="80"/>
              <w:bottom w:type="dxa" w:w="40"/>
              <w:right w:type="dxa" w:w="80"/>
            </w:tcMar>
          </w:tcPr>
          <w:p>
            <w:pPr>
              <w:spacing w:after="0"/>
              <w:jc w:val="left"/>
            </w:pPr>
            <w:r>
              <w:rPr>
                <w:rFonts w:ascii="Arial" w:cs="Arial" w:eastAsia="Arial" w:hAnsi="Arial"/>
                <w:b w:val="false"/>
                <w:bCs w:val="false"/>
                <w:sz w:val="17"/>
                <w:szCs w:val="17"/>
              </w:rPr>
              <w:t xml:space="preserve">Production année 1</w:t>
            </w:r>
          </w:p>
        </w:tc>
        <w:tc>
          <w:tcPr>
            <w:tcW w:type="dxa" w:w="3119"/>
            <w:tcMar>
              <w:top w:type="dxa" w:w="40"/>
              <w:left w:type="dxa" w:w="80"/>
              <w:bottom w:type="dxa" w:w="40"/>
              <w:right w:type="dxa" w:w="80"/>
            </w:tcMar>
          </w:tcPr>
          <w:p>
            <w:pPr>
              <w:spacing w:after="0"/>
              <w:jc w:val="center"/>
            </w:pPr>
            <w:r>
              <w:rPr>
                <w:rFonts w:ascii="Arial" w:cs="Arial" w:eastAsia="Arial" w:hAnsi="Arial"/>
                <w:b/>
                <w:bCs/>
                <w:sz w:val="17"/>
                <w:szCs w:val="17"/>
              </w:rPr>
              <w:t xml:space="preserve">26 400 kWh</w:t>
            </w:r>
          </w:p>
        </w:tc>
      </w:tr>
      <w:tr>
        <w:tc>
          <w:tcPr>
            <w:tcW w:type="dxa" w:w="7307"/>
            <w:shd w:fill="F4F9FC" w:val="clear"/>
            <w:tcMar>
              <w:top w:type="dxa" w:w="40"/>
              <w:left w:type="dxa" w:w="80"/>
              <w:bottom w:type="dxa" w:w="40"/>
              <w:right w:type="dxa" w:w="80"/>
            </w:tcMar>
          </w:tcPr>
          <w:p>
            <w:pPr>
              <w:spacing w:after="0"/>
              <w:jc w:val="left"/>
            </w:pPr>
            <w:r>
              <w:rPr>
                <w:rFonts w:ascii="Arial" w:cs="Arial" w:eastAsia="Arial" w:hAnsi="Arial"/>
                <w:b w:val="false"/>
                <w:bCs w:val="false"/>
                <w:sz w:val="17"/>
                <w:szCs w:val="17"/>
              </w:rPr>
              <w:t xml:space="preserve">Capacité d'absorption du collectif</w:t>
            </w:r>
          </w:p>
        </w:tc>
        <w:tc>
          <w:tcPr>
            <w:tcW w:type="dxa" w:w="3119"/>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25 350 kWh</w:t>
            </w:r>
          </w:p>
        </w:tc>
      </w:tr>
      <w:tr>
        <w:tc>
          <w:tcPr>
            <w:tcW w:type="dxa" w:w="7307"/>
            <w:tcMar>
              <w:top w:type="dxa" w:w="40"/>
              <w:left w:type="dxa" w:w="80"/>
              <w:bottom w:type="dxa" w:w="40"/>
              <w:right w:type="dxa" w:w="80"/>
            </w:tcMar>
          </w:tcPr>
          <w:p>
            <w:pPr>
              <w:spacing w:after="0"/>
              <w:jc w:val="left"/>
            </w:pPr>
            <w:r>
              <w:rPr>
                <w:rFonts w:ascii="Arial" w:cs="Arial" w:eastAsia="Arial" w:hAnsi="Arial"/>
                <w:b w:val="false"/>
                <w:bCs w:val="false"/>
                <w:sz w:val="17"/>
                <w:szCs w:val="17"/>
              </w:rPr>
              <w:t xml:space="preserve">Énergie partagée en ACC (an 1)</w:t>
            </w:r>
          </w:p>
        </w:tc>
        <w:tc>
          <w:tcPr>
            <w:tcW w:type="dxa" w:w="3119"/>
            <w:tcMar>
              <w:top w:type="dxa" w:w="40"/>
              <w:left w:type="dxa" w:w="80"/>
              <w:bottom w:type="dxa" w:w="40"/>
              <w:right w:type="dxa" w:w="80"/>
            </w:tcMar>
          </w:tcPr>
          <w:p>
            <w:pPr>
              <w:spacing w:after="0"/>
              <w:jc w:val="center"/>
            </w:pPr>
            <w:r>
              <w:rPr>
                <w:rFonts w:ascii="Arial" w:cs="Arial" w:eastAsia="Arial" w:hAnsi="Arial"/>
                <w:b/>
                <w:bCs/>
                <w:sz w:val="17"/>
                <w:szCs w:val="17"/>
              </w:rPr>
              <w:t xml:space="preserve">17 010 kWh</w:t>
            </w:r>
          </w:p>
        </w:tc>
      </w:tr>
      <w:tr>
        <w:tc>
          <w:tcPr>
            <w:tcW w:type="dxa" w:w="7307"/>
            <w:shd w:fill="F4F9FC" w:val="clear"/>
            <w:tcMar>
              <w:top w:type="dxa" w:w="40"/>
              <w:left w:type="dxa" w:w="80"/>
              <w:bottom w:type="dxa" w:w="40"/>
              <w:right w:type="dxa" w:w="80"/>
            </w:tcMar>
          </w:tcPr>
          <w:p>
            <w:pPr>
              <w:spacing w:after="0"/>
              <w:jc w:val="left"/>
            </w:pPr>
            <w:r>
              <w:rPr>
                <w:rFonts w:ascii="Arial" w:cs="Arial" w:eastAsia="Arial" w:hAnsi="Arial"/>
                <w:b w:val="false"/>
                <w:bCs w:val="false"/>
                <w:sz w:val="17"/>
                <w:szCs w:val="17"/>
              </w:rPr>
              <w:t xml:space="preserve">Surplus collectif (an 1)</w:t>
            </w:r>
          </w:p>
        </w:tc>
        <w:tc>
          <w:tcPr>
            <w:tcW w:type="dxa" w:w="3119"/>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9 390 kWh</w:t>
            </w:r>
          </w:p>
        </w:tc>
      </w:tr>
      <w:tr>
        <w:tc>
          <w:tcPr>
            <w:tcW w:type="dxa" w:w="7307"/>
            <w:shd w:fill="DEEBF7" w:val="clear"/>
            <w:tcMar>
              <w:top w:type="dxa" w:w="40"/>
              <w:left w:type="dxa" w:w="80"/>
              <w:bottom w:type="dxa" w:w="40"/>
              <w:right w:type="dxa" w:w="80"/>
            </w:tcMar>
          </w:tcPr>
          <w:p>
            <w:pPr>
              <w:spacing w:after="0"/>
              <w:jc w:val="left"/>
            </w:pPr>
            <w:r>
              <w:rPr>
                <w:rFonts w:ascii="Arial" w:cs="Arial" w:eastAsia="Arial" w:hAnsi="Arial"/>
                <w:b/>
                <w:bCs/>
                <w:sz w:val="17"/>
                <w:szCs w:val="17"/>
              </w:rPr>
              <w:t xml:space="preserve">Taux d'autoconsommation collective</w:t>
            </w:r>
          </w:p>
        </w:tc>
        <w:tc>
          <w:tcPr>
            <w:tcW w:type="dxa" w:w="3119"/>
            <w:shd w:fill="DEEBF7" w:val="clear"/>
            <w:tcMar>
              <w:top w:type="dxa" w:w="40"/>
              <w:left w:type="dxa" w:w="80"/>
              <w:bottom w:type="dxa" w:w="40"/>
              <w:right w:type="dxa" w:w="80"/>
            </w:tcMar>
          </w:tcPr>
          <w:p>
            <w:pPr>
              <w:spacing w:after="0"/>
              <w:jc w:val="center"/>
            </w:pPr>
            <w:r>
              <w:rPr>
                <w:rFonts w:ascii="Arial" w:cs="Arial" w:eastAsia="Arial" w:hAnsi="Arial"/>
                <w:b/>
                <w:bCs/>
                <w:sz w:val="17"/>
                <w:szCs w:val="17"/>
              </w:rPr>
              <w:t xml:space="preserve">64,4 %</w:t>
            </w:r>
          </w:p>
        </w:tc>
      </w:tr>
      <w:tr>
        <w:tc>
          <w:tcPr>
            <w:tcW w:type="dxa" w:w="7307"/>
            <w:shd w:fill="DEEBF7" w:val="clear"/>
            <w:tcMar>
              <w:top w:type="dxa" w:w="40"/>
              <w:left w:type="dxa" w:w="80"/>
              <w:bottom w:type="dxa" w:w="40"/>
              <w:right w:type="dxa" w:w="80"/>
            </w:tcMar>
          </w:tcPr>
          <w:p>
            <w:pPr>
              <w:spacing w:after="0"/>
              <w:jc w:val="left"/>
            </w:pPr>
            <w:r>
              <w:rPr>
                <w:rFonts w:ascii="Arial" w:cs="Arial" w:eastAsia="Arial" w:hAnsi="Arial"/>
                <w:b/>
                <w:bCs/>
                <w:sz w:val="17"/>
                <w:szCs w:val="17"/>
              </w:rPr>
              <w:t xml:space="preserve">Couverture des besoins du collectif</w:t>
            </w:r>
          </w:p>
        </w:tc>
        <w:tc>
          <w:tcPr>
            <w:tcW w:type="dxa" w:w="3119"/>
            <w:shd w:fill="DEEBF7" w:val="clear"/>
            <w:tcMar>
              <w:top w:type="dxa" w:w="40"/>
              <w:left w:type="dxa" w:w="80"/>
              <w:bottom w:type="dxa" w:w="40"/>
              <w:right w:type="dxa" w:w="80"/>
            </w:tcMar>
          </w:tcPr>
          <w:p>
            <w:pPr>
              <w:spacing w:after="0"/>
              <w:jc w:val="center"/>
            </w:pPr>
            <w:r>
              <w:rPr>
                <w:rFonts w:ascii="Arial" w:cs="Arial" w:eastAsia="Arial" w:hAnsi="Arial"/>
                <w:b/>
                <w:bCs/>
                <w:sz w:val="17"/>
                <w:szCs w:val="17"/>
              </w:rPr>
              <w:t xml:space="preserve">40,5 %</w:t>
            </w:r>
          </w:p>
        </w:tc>
      </w:tr>
      <w:tr>
        <w:tc>
          <w:tcPr>
            <w:tcW w:type="dxa" w:w="7307"/>
            <w:tcMar>
              <w:top w:type="dxa" w:w="40"/>
              <w:left w:type="dxa" w:w="80"/>
              <w:bottom w:type="dxa" w:w="40"/>
              <w:right w:type="dxa" w:w="80"/>
            </w:tcMar>
          </w:tcPr>
          <w:p>
            <w:pPr>
              <w:spacing w:after="0"/>
              <w:jc w:val="left"/>
            </w:pPr>
            <w:r>
              <w:rPr>
                <w:rFonts w:ascii="Arial" w:cs="Arial" w:eastAsia="Arial" w:hAnsi="Arial"/>
                <w:b w:val="false"/>
                <w:bCs w:val="false"/>
                <w:sz w:val="17"/>
                <w:szCs w:val="17"/>
              </w:rPr>
              <w:t xml:space="preserve">Recettes producteur (an 1)</w:t>
            </w:r>
          </w:p>
        </w:tc>
        <w:tc>
          <w:tcPr>
            <w:tcW w:type="dxa" w:w="3119"/>
            <w:tcMar>
              <w:top w:type="dxa" w:w="40"/>
              <w:left w:type="dxa" w:w="80"/>
              <w:bottom w:type="dxa" w:w="40"/>
              <w:right w:type="dxa" w:w="80"/>
            </w:tcMar>
          </w:tcPr>
          <w:p>
            <w:pPr>
              <w:spacing w:after="0"/>
              <w:jc w:val="center"/>
            </w:pPr>
            <w:r>
              <w:rPr>
                <w:rFonts w:ascii="Arial" w:cs="Arial" w:eastAsia="Arial" w:hAnsi="Arial"/>
                <w:b/>
                <w:bCs/>
                <w:sz w:val="17"/>
                <w:szCs w:val="17"/>
              </w:rPr>
              <w:t xml:space="preserve">2 417 €</w:t>
            </w:r>
          </w:p>
        </w:tc>
      </w:tr>
      <w:tr>
        <w:tc>
          <w:tcPr>
            <w:tcW w:type="dxa" w:w="7307"/>
            <w:shd w:fill="F4F9FC" w:val="clear"/>
            <w:tcMar>
              <w:top w:type="dxa" w:w="40"/>
              <w:left w:type="dxa" w:w="80"/>
              <w:bottom w:type="dxa" w:w="40"/>
              <w:right w:type="dxa" w:w="80"/>
            </w:tcMar>
          </w:tcPr>
          <w:p>
            <w:pPr>
              <w:spacing w:after="0"/>
              <w:jc w:val="left"/>
            </w:pPr>
            <w:r>
              <w:rPr>
                <w:rFonts w:ascii="Arial" w:cs="Arial" w:eastAsia="Arial" w:hAnsi="Arial"/>
                <w:b w:val="false"/>
                <w:bCs w:val="false"/>
                <w:sz w:val="17"/>
                <w:szCs w:val="17"/>
              </w:rPr>
              <w:t xml:space="preserve">Flux net producteur (an 1)</w:t>
            </w:r>
          </w:p>
        </w:tc>
        <w:tc>
          <w:tcPr>
            <w:tcW w:type="dxa" w:w="3119"/>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837 €</w:t>
            </w:r>
          </w:p>
        </w:tc>
      </w:tr>
      <w:tr>
        <w:tc>
          <w:tcPr>
            <w:tcW w:type="dxa" w:w="7307"/>
            <w:shd w:fill="DEEBF7" w:val="clear"/>
            <w:tcMar>
              <w:top w:type="dxa" w:w="40"/>
              <w:left w:type="dxa" w:w="80"/>
              <w:bottom w:type="dxa" w:w="40"/>
              <w:right w:type="dxa" w:w="80"/>
            </w:tcMar>
          </w:tcPr>
          <w:p>
            <w:pPr>
              <w:spacing w:after="0"/>
              <w:jc w:val="left"/>
            </w:pPr>
            <w:r>
              <w:rPr>
                <w:rFonts w:ascii="Arial" w:cs="Arial" w:eastAsia="Arial" w:hAnsi="Arial"/>
                <w:b/>
                <w:bCs/>
                <w:sz w:val="17"/>
                <w:szCs w:val="17"/>
              </w:rPr>
              <w:t xml:space="preserve">Valeur actuelle nette producteur</w:t>
            </w:r>
          </w:p>
        </w:tc>
        <w:tc>
          <w:tcPr>
            <w:tcW w:type="dxa" w:w="3119"/>
            <w:shd w:fill="DEEBF7" w:val="clear"/>
            <w:tcMar>
              <w:top w:type="dxa" w:w="40"/>
              <w:left w:type="dxa" w:w="80"/>
              <w:bottom w:type="dxa" w:w="40"/>
              <w:right w:type="dxa" w:w="80"/>
            </w:tcMar>
          </w:tcPr>
          <w:p>
            <w:pPr>
              <w:spacing w:after="0"/>
              <w:jc w:val="center"/>
            </w:pPr>
            <w:r>
              <w:rPr>
                <w:rFonts w:ascii="Arial" w:cs="Arial" w:eastAsia="Arial" w:hAnsi="Arial"/>
                <w:b/>
                <w:bCs/>
                <w:sz w:val="17"/>
                <w:szCs w:val="17"/>
              </w:rPr>
              <w:t xml:space="preserve">66 €</w:t>
            </w:r>
          </w:p>
        </w:tc>
      </w:tr>
      <w:tr>
        <w:tc>
          <w:tcPr>
            <w:tcW w:type="dxa" w:w="7307"/>
            <w:shd w:fill="F4F9FC" w:val="clear"/>
            <w:tcMar>
              <w:top w:type="dxa" w:w="40"/>
              <w:left w:type="dxa" w:w="80"/>
              <w:bottom w:type="dxa" w:w="40"/>
              <w:right w:type="dxa" w:w="80"/>
            </w:tcMar>
          </w:tcPr>
          <w:p>
            <w:pPr>
              <w:spacing w:after="0"/>
              <w:jc w:val="left"/>
            </w:pPr>
            <w:r>
              <w:rPr>
                <w:rFonts w:ascii="Arial" w:cs="Arial" w:eastAsia="Arial" w:hAnsi="Arial"/>
                <w:b w:val="false"/>
                <w:bCs w:val="false"/>
                <w:sz w:val="17"/>
                <w:szCs w:val="17"/>
              </w:rPr>
              <w:t xml:space="preserve">Taux de rendement interne</w:t>
            </w:r>
          </w:p>
        </w:tc>
        <w:tc>
          <w:tcPr>
            <w:tcW w:type="dxa" w:w="3119"/>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4,0 %</w:t>
            </w:r>
          </w:p>
        </w:tc>
      </w:tr>
      <w:tr>
        <w:tc>
          <w:tcPr>
            <w:tcW w:type="dxa" w:w="7307"/>
            <w:tcMar>
              <w:top w:type="dxa" w:w="40"/>
              <w:left w:type="dxa" w:w="80"/>
              <w:bottom w:type="dxa" w:w="40"/>
              <w:right w:type="dxa" w:w="80"/>
            </w:tcMar>
          </w:tcPr>
          <w:p>
            <w:pPr>
              <w:spacing w:after="0"/>
              <w:jc w:val="left"/>
            </w:pPr>
            <w:r>
              <w:rPr>
                <w:rFonts w:ascii="Arial" w:cs="Arial" w:eastAsia="Arial" w:hAnsi="Arial"/>
                <w:b w:val="false"/>
                <w:bCs w:val="false"/>
                <w:sz w:val="17"/>
                <w:szCs w:val="17"/>
              </w:rPr>
              <w:t xml:space="preserve">Temps de retour brut</w:t>
            </w:r>
          </w:p>
        </w:tc>
        <w:tc>
          <w:tcPr>
            <w:tcW w:type="dxa" w:w="3119"/>
            <w:tcMar>
              <w:top w:type="dxa" w:w="40"/>
              <w:left w:type="dxa" w:w="80"/>
              <w:bottom w:type="dxa" w:w="40"/>
              <w:right w:type="dxa" w:w="80"/>
            </w:tcMar>
          </w:tcPr>
          <w:p>
            <w:pPr>
              <w:spacing w:after="0"/>
              <w:jc w:val="center"/>
            </w:pPr>
            <w:r>
              <w:rPr>
                <w:rFonts w:ascii="Arial" w:cs="Arial" w:eastAsia="Arial" w:hAnsi="Arial"/>
                <w:b/>
                <w:bCs/>
                <w:sz w:val="17"/>
                <w:szCs w:val="17"/>
              </w:rPr>
              <w:t xml:space="preserve">16,8 ans</w:t>
            </w:r>
          </w:p>
        </w:tc>
      </w:tr>
      <w:tr>
        <w:tc>
          <w:tcPr>
            <w:tcW w:type="dxa" w:w="7307"/>
            <w:shd w:fill="F4F9FC" w:val="clear"/>
            <w:tcMar>
              <w:top w:type="dxa" w:w="40"/>
              <w:left w:type="dxa" w:w="80"/>
              <w:bottom w:type="dxa" w:w="40"/>
              <w:right w:type="dxa" w:w="80"/>
            </w:tcMar>
          </w:tcPr>
          <w:p>
            <w:pPr>
              <w:spacing w:after="0"/>
              <w:jc w:val="left"/>
            </w:pPr>
            <w:r>
              <w:rPr>
                <w:rFonts w:ascii="Arial" w:cs="Arial" w:eastAsia="Arial" w:hAnsi="Arial"/>
                <w:b w:val="false"/>
                <w:bCs w:val="false"/>
                <w:sz w:val="17"/>
                <w:szCs w:val="17"/>
              </w:rPr>
              <w:t xml:space="preserve">Temps de retour actualisé</w:t>
            </w:r>
          </w:p>
        </w:tc>
        <w:tc>
          <w:tcPr>
            <w:tcW w:type="dxa" w:w="3119"/>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24,9 ans</w:t>
            </w:r>
          </w:p>
        </w:tc>
      </w:tr>
      <w:tr>
        <w:tc>
          <w:tcPr>
            <w:tcW w:type="dxa" w:w="7307"/>
            <w:shd w:fill="DEEBF7" w:val="clear"/>
            <w:tcMar>
              <w:top w:type="dxa" w:w="40"/>
              <w:left w:type="dxa" w:w="80"/>
              <w:bottom w:type="dxa" w:w="40"/>
              <w:right w:type="dxa" w:w="80"/>
            </w:tcMar>
          </w:tcPr>
          <w:p>
            <w:pPr>
              <w:spacing w:after="0"/>
              <w:jc w:val="left"/>
            </w:pPr>
            <w:r>
              <w:rPr>
                <w:rFonts w:ascii="Arial" w:cs="Arial" w:eastAsia="Arial" w:hAnsi="Arial"/>
                <w:b/>
                <w:bCs/>
                <w:sz w:val="17"/>
                <w:szCs w:val="17"/>
              </w:rPr>
              <w:t xml:space="preserve">Économies consommateurs (an 1)</w:t>
            </w:r>
          </w:p>
        </w:tc>
        <w:tc>
          <w:tcPr>
            <w:tcW w:type="dxa" w:w="3119"/>
            <w:shd w:fill="DEEBF7" w:val="clear"/>
            <w:tcMar>
              <w:top w:type="dxa" w:w="40"/>
              <w:left w:type="dxa" w:w="80"/>
              <w:bottom w:type="dxa" w:w="40"/>
              <w:right w:type="dxa" w:w="80"/>
            </w:tcMar>
          </w:tcPr>
          <w:p>
            <w:pPr>
              <w:spacing w:after="0"/>
              <w:jc w:val="center"/>
            </w:pPr>
            <w:r>
              <w:rPr>
                <w:rFonts w:ascii="Arial" w:cs="Arial" w:eastAsia="Arial" w:hAnsi="Arial"/>
                <w:b/>
                <w:bCs/>
                <w:sz w:val="17"/>
                <w:szCs w:val="17"/>
              </w:rPr>
              <w:t xml:space="preserve">340 €</w:t>
            </w:r>
          </w:p>
        </w:tc>
      </w:tr>
      <w:tr>
        <w:tc>
          <w:tcPr>
            <w:tcW w:type="dxa" w:w="7307"/>
            <w:shd w:fill="F4F9FC" w:val="clear"/>
            <w:tcMar>
              <w:top w:type="dxa" w:w="40"/>
              <w:left w:type="dxa" w:w="80"/>
              <w:bottom w:type="dxa" w:w="40"/>
              <w:right w:type="dxa" w:w="80"/>
            </w:tcMar>
          </w:tcPr>
          <w:p>
            <w:pPr>
              <w:spacing w:after="0"/>
              <w:jc w:val="left"/>
            </w:pPr>
            <w:r>
              <w:rPr>
                <w:rFonts w:ascii="Arial" w:cs="Arial" w:eastAsia="Arial" w:hAnsi="Arial"/>
                <w:b w:val="false"/>
                <w:bCs w:val="false"/>
                <w:sz w:val="17"/>
                <w:szCs w:val="17"/>
              </w:rPr>
              <w:t xml:space="preserve">Économies consommateurs cumulées</w:t>
            </w:r>
          </w:p>
        </w:tc>
        <w:tc>
          <w:tcPr>
            <w:tcW w:type="dxa" w:w="3119"/>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30 483 €</w:t>
            </w:r>
          </w:p>
        </w:tc>
      </w:tr>
    </w:tbl>
    <w:p>
      <w:pPr>
        <w:pStyle w:val="Heading3"/>
        <w:spacing w:after="70" w:before="160"/>
      </w:pPr>
      <w:r>
        <w:rPr>
          <w:rFonts w:ascii="Arial" w:cs="Arial" w:eastAsia="Arial" w:hAnsi="Arial"/>
          <w:b/>
          <w:bCs/>
          <w:color w:val="0F4761"/>
          <w:sz w:val="20"/>
          <w:szCs w:val="20"/>
        </w:rPr>
        <w:t xml:space="preserve">5.1 Comment lire chaque indicateur</w:t>
      </w:r>
    </w:p>
    <w:p>
      <w:pPr>
        <w:pStyle w:val="ListParagraph"/>
        <w:numPr>
          <w:ilvl w:val="0"/>
          <w:numId w:val="1"/>
        </w:numPr>
        <w:spacing w:after="70"/>
        <w:jc w:val="both"/>
      </w:pPr>
      <w:r>
        <w:rPr>
          <w:rFonts w:ascii="Arial" w:cs="Arial" w:eastAsia="Arial" w:hAnsi="Arial"/>
          <w:b/>
          <w:bCs/>
          <w:sz w:val="18"/>
          <w:szCs w:val="18"/>
        </w:rPr>
        <w:t xml:space="preserve">Production année 1</w:t>
      </w:r>
      <w:r>
        <w:rPr>
          <w:rFonts w:ascii="Arial" w:cs="Arial" w:eastAsia="Arial" w:hAnsi="Arial"/>
          <w:sz w:val="18"/>
          <w:szCs w:val="18"/>
        </w:rPr>
        <w:t xml:space="preserve"> — puissance multipliée par productible. À comparer à la capacité d'absorption du collectif, juste en dessous : le rapport entre les deux dit immédiatement si l'installation est bien dimensionnée.</w:t>
      </w:r>
    </w:p>
    <w:p>
      <w:pPr>
        <w:pStyle w:val="ListParagraph"/>
        <w:numPr>
          <w:ilvl w:val="0"/>
          <w:numId w:val="1"/>
        </w:numPr>
        <w:spacing w:after="70"/>
        <w:jc w:val="both"/>
      </w:pPr>
      <w:r>
        <w:rPr>
          <w:rFonts w:ascii="Arial" w:cs="Arial" w:eastAsia="Arial" w:hAnsi="Arial"/>
          <w:b/>
          <w:bCs/>
          <w:sz w:val="18"/>
          <w:szCs w:val="18"/>
        </w:rPr>
        <w:t xml:space="preserve">Taux d'autoconsommation collective</w:t>
      </w:r>
      <w:r>
        <w:rPr>
          <w:rFonts w:ascii="Arial" w:cs="Arial" w:eastAsia="Arial" w:hAnsi="Arial"/>
          <w:sz w:val="18"/>
          <w:szCs w:val="18"/>
        </w:rPr>
        <w:t xml:space="preserve"> — part de la production effectivement partagée localement. Le complément part en surplus, valorisé à un tarif bien inférieur.</w:t>
      </w:r>
    </w:p>
    <w:p>
      <w:pPr>
        <w:pStyle w:val="ListParagraph"/>
        <w:numPr>
          <w:ilvl w:val="0"/>
          <w:numId w:val="1"/>
        </w:numPr>
        <w:spacing w:after="70"/>
        <w:jc w:val="both"/>
      </w:pPr>
      <w:r>
        <w:rPr>
          <w:rFonts w:ascii="Arial" w:cs="Arial" w:eastAsia="Arial" w:hAnsi="Arial"/>
          <w:b/>
          <w:bCs/>
          <w:sz w:val="18"/>
          <w:szCs w:val="18"/>
        </w:rPr>
        <w:t xml:space="preserve">Couverture des besoins</w:t>
      </w:r>
      <w:r>
        <w:rPr>
          <w:rFonts w:ascii="Arial" w:cs="Arial" w:eastAsia="Arial" w:hAnsi="Arial"/>
          <w:sz w:val="18"/>
          <w:szCs w:val="18"/>
        </w:rPr>
        <w:t xml:space="preserve"> — part de la consommation totale des participants couverte par l'ACC. À ne pas confondre avec le taux d'ACC : on peut avoir un taux élevé et une couverture faible si l'installation est petite devant les besoins.</w:t>
      </w:r>
    </w:p>
    <w:p>
      <w:pPr>
        <w:pStyle w:val="ListParagraph"/>
        <w:numPr>
          <w:ilvl w:val="0"/>
          <w:numId w:val="1"/>
        </w:numPr>
        <w:spacing w:after="70"/>
        <w:jc w:val="both"/>
      </w:pPr>
      <w:r>
        <w:rPr>
          <w:rFonts w:ascii="Arial" w:cs="Arial" w:eastAsia="Arial" w:hAnsi="Arial"/>
          <w:b/>
          <w:bCs/>
          <w:sz w:val="18"/>
          <w:szCs w:val="18"/>
        </w:rPr>
        <w:t xml:space="preserve">Valeur actuelle nette</w:t>
      </w:r>
      <w:r>
        <w:rPr>
          <w:rFonts w:ascii="Arial" w:cs="Arial" w:eastAsia="Arial" w:hAnsi="Arial"/>
          <w:sz w:val="18"/>
          <w:szCs w:val="18"/>
        </w:rPr>
        <w:t xml:space="preserve"> — la somme des flux futurs ramenés à leur valeur d'aujourd'hui, moins l'investissement net. Positive, le projet crée de la valeur par rapport à un placement au taux d'actualisation retenu ; négative, il en détruit.</w:t>
      </w:r>
    </w:p>
    <w:p>
      <w:pPr>
        <w:pStyle w:val="ListParagraph"/>
        <w:numPr>
          <w:ilvl w:val="0"/>
          <w:numId w:val="1"/>
        </w:numPr>
        <w:spacing w:after="70"/>
        <w:jc w:val="both"/>
      </w:pPr>
      <w:r>
        <w:rPr>
          <w:rFonts w:ascii="Arial" w:cs="Arial" w:eastAsia="Arial" w:hAnsi="Arial"/>
          <w:b/>
          <w:bCs/>
          <w:sz w:val="18"/>
          <w:szCs w:val="18"/>
        </w:rPr>
        <w:t xml:space="preserve">Taux de rendement interne</w:t>
      </w:r>
      <w:r>
        <w:rPr>
          <w:rFonts w:ascii="Arial" w:cs="Arial" w:eastAsia="Arial" w:hAnsi="Arial"/>
          <w:sz w:val="18"/>
          <w:szCs w:val="18"/>
        </w:rPr>
        <w:t xml:space="preserve"> — le taux d'actualisation qui annulerait la VAN. Il se compare au taux d'actualisation retenu : au-dessus, le projet est créateur de valeur. Il affiche « — » lorsque les flux ne remboursent jamais l'investissement.</w:t>
      </w:r>
    </w:p>
    <w:p>
      <w:pPr>
        <w:pStyle w:val="ListParagraph"/>
        <w:numPr>
          <w:ilvl w:val="0"/>
          <w:numId w:val="1"/>
        </w:numPr>
        <w:spacing w:after="70"/>
        <w:jc w:val="both"/>
      </w:pPr>
      <w:r>
        <w:rPr>
          <w:rFonts w:ascii="Arial" w:cs="Arial" w:eastAsia="Arial" w:hAnsi="Arial"/>
          <w:b/>
          <w:bCs/>
          <w:sz w:val="18"/>
          <w:szCs w:val="18"/>
        </w:rPr>
        <w:t xml:space="preserve">Temps de retour</w:t>
      </w:r>
      <w:r>
        <w:rPr>
          <w:rFonts w:ascii="Arial" w:cs="Arial" w:eastAsia="Arial" w:hAnsi="Arial"/>
          <w:sz w:val="18"/>
          <w:szCs w:val="18"/>
        </w:rPr>
        <w:t xml:space="preserve"> — l'année où la trésorerie cumulée franchit zéro, par interpolation linéaire, d'où la décimale. La version actualisée, plus sévère, tient compte du coût du temps.</w:t>
      </w:r>
    </w:p>
    <w:p>
      <w:pPr>
        <w:pStyle w:val="ListParagraph"/>
        <w:numPr>
          <w:ilvl w:val="0"/>
          <w:numId w:val="1"/>
        </w:numPr>
        <w:spacing w:after="70"/>
        <w:jc w:val="both"/>
      </w:pPr>
      <w:r>
        <w:rPr>
          <w:rFonts w:ascii="Arial" w:cs="Arial" w:eastAsia="Arial" w:hAnsi="Arial"/>
          <w:b/>
          <w:bCs/>
          <w:sz w:val="18"/>
          <w:szCs w:val="18"/>
        </w:rPr>
        <w:t xml:space="preserve">Économies consommateurs</w:t>
      </w:r>
      <w:r>
        <w:rPr>
          <w:rFonts w:ascii="Arial" w:cs="Arial" w:eastAsia="Arial" w:hAnsi="Arial"/>
          <w:sz w:val="18"/>
          <w:szCs w:val="18"/>
        </w:rPr>
        <w:t xml:space="preserve"> — le gain des participants sur leur facture. Si ce montant est négatif, le prix de vente ACC est trop élevé : les participants paieraient plus cher qu'au réseau et l'opération n'a pas de sens pour eux.</w:t>
      </w:r>
    </w:p>
    <w:p>
      <w:pPr>
        <w:spacing w:after="40" w:before="120"/>
      </w:pPr>
      <w:r>
        <w:drawing>
          <wp:inline distT="0" distB="0" distL="0" distR="0">
            <wp:extent cx="6619875"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19875" cy="2571750"/>
                    </a:xfrm>
                    <a:prstGeom prst="rect">
                      <a:avLst/>
                    </a:prstGeom>
                  </pic:spPr>
                </pic:pic>
              </a:graphicData>
            </a:graphic>
          </wp:inline>
        </w:drawing>
      </w:r>
    </w:p>
    <w:p>
      <w:pPr>
        <w:spacing w:after="160"/>
      </w:pPr>
      <w:r>
        <w:rPr>
          <w:rFonts w:ascii="Arial" w:cs="Arial" w:eastAsia="Arial" w:hAnsi="Arial"/>
          <w:i/>
          <w:iCs/>
          <w:color w:val="595959"/>
          <w:sz w:val="16"/>
          <w:szCs w:val="16"/>
        </w:rPr>
        <w:t xml:space="preserve">Trésorerie cumulée du producteur (non actualisée et actualisée) et économies cumulées des consommateurs.</w:t>
      </w:r>
    </w:p>
    <w:p>
      <w:pPr>
        <w:spacing w:after="40" w:before="120"/>
      </w:pPr>
      <w:r>
        <w:drawing>
          <wp:inline distT="0" distB="0" distL="0" distR="0">
            <wp:extent cx="6619875"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19875" cy="2571750"/>
                    </a:xfrm>
                    <a:prstGeom prst="rect">
                      <a:avLst/>
                    </a:prstGeom>
                  </pic:spPr>
                </pic:pic>
              </a:graphicData>
            </a:graphic>
          </wp:inline>
        </w:drawing>
      </w:r>
    </w:p>
    <w:p>
      <w:pPr>
        <w:spacing w:after="160"/>
      </w:pPr>
      <w:r>
        <w:rPr>
          <w:rFonts w:ascii="Arial" w:cs="Arial" w:eastAsia="Arial" w:hAnsi="Arial"/>
          <w:i/>
          <w:iCs/>
          <w:color w:val="595959"/>
          <w:sz w:val="16"/>
          <w:szCs w:val="16"/>
        </w:rPr>
        <w:t xml:space="preserve">Consommation, capacité d'absorption et énergie effectivement affectée, par participant, la première année.</w:t>
      </w:r>
    </w:p>
    <w:p>
      <w:pPr>
        <w:pStyle w:val="Heading2"/>
        <w:spacing w:after="100" w:before="260"/>
      </w:pPr>
      <w:r>
        <w:rPr>
          <w:rFonts w:ascii="Arial" w:cs="Arial" w:eastAsia="Arial" w:hAnsi="Arial"/>
          <w:b/>
          <w:bCs/>
          <w:color w:val="0F4761"/>
          <w:sz w:val="22"/>
          <w:szCs w:val="22"/>
        </w:rPr>
        <w:t xml:space="preserve">6. Bilan par participant (année 1)</w:t>
      </w:r>
    </w:p>
    <w:tbl>
      <w:tblPr>
        <w:tblW w:type="dxa" w:w="10426"/>
        <w:tblBorders>
          <w:top w:val="single" w:color="9DB8C9" w:sz="4"/>
          <w:left w:val="single" w:color="9DB8C9" w:sz="4"/>
          <w:bottom w:val="single" w:color="9DB8C9" w:sz="4"/>
          <w:right w:val="single" w:color="9DB8C9" w:sz="4"/>
          <w:insideH w:val="single" w:color="9DB8C9" w:sz="4"/>
          <w:insideV w:val="single" w:color="9DB8C9" w:sz="4"/>
        </w:tblBorders>
      </w:tblPr>
      <w:tblGrid>
        <w:gridCol w:w="2183"/>
        <w:gridCol w:w="1392"/>
        <w:gridCol w:w="1392"/>
        <w:gridCol w:w="1504"/>
        <w:gridCol w:w="1314"/>
        <w:gridCol w:w="1392"/>
        <w:gridCol w:w="1249"/>
      </w:tblGrid>
      <w:tr>
        <w:trPr>
          <w:tblHeader/>
        </w:trPr>
        <w:tc>
          <w:tcPr>
            <w:tcW w:type="dxa" w:w="2183"/>
            <w:shd w:fill="DEEBF7" w:val="clear"/>
            <w:tcMar>
              <w:top w:type="dxa" w:w="40"/>
              <w:left w:type="dxa" w:w="80"/>
              <w:bottom w:type="dxa" w:w="40"/>
              <w:right w:type="dxa" w:w="80"/>
            </w:tcMar>
          </w:tcPr>
          <w:p>
            <w:pPr>
              <w:spacing w:after="0"/>
              <w:jc w:val="left"/>
            </w:pPr>
            <w:r>
              <w:rPr>
                <w:rFonts w:ascii="Arial" w:cs="Arial" w:eastAsia="Arial" w:hAnsi="Arial"/>
                <w:b/>
                <w:bCs/>
                <w:color w:val="0F4761"/>
                <w:sz w:val="17"/>
                <w:szCs w:val="17"/>
              </w:rPr>
              <w:t xml:space="preserve">Participant</w:t>
            </w:r>
          </w:p>
        </w:tc>
        <w:tc>
          <w:tcPr>
            <w:tcW w:type="dxa" w:w="1392"/>
            <w:shd w:fill="DEEBF7" w:val="clear"/>
            <w:tcMar>
              <w:top w:type="dxa" w:w="40"/>
              <w:left w:type="dxa" w:w="80"/>
              <w:bottom w:type="dxa" w:w="40"/>
              <w:right w:type="dxa" w:w="80"/>
            </w:tcMar>
          </w:tcPr>
          <w:p>
            <w:pPr>
              <w:spacing w:after="0"/>
              <w:jc w:val="center"/>
            </w:pPr>
            <w:r>
              <w:rPr>
                <w:rFonts w:ascii="Arial" w:cs="Arial" w:eastAsia="Arial" w:hAnsi="Arial"/>
                <w:b/>
                <w:bCs/>
                <w:color w:val="0F4761"/>
                <w:sz w:val="17"/>
                <w:szCs w:val="17"/>
              </w:rPr>
              <w:t xml:space="preserve">Conso.</w:t>
            </w:r>
          </w:p>
        </w:tc>
        <w:tc>
          <w:tcPr>
            <w:tcW w:type="dxa" w:w="1392"/>
            <w:shd w:fill="DEEBF7" w:val="clear"/>
            <w:tcMar>
              <w:top w:type="dxa" w:w="40"/>
              <w:left w:type="dxa" w:w="80"/>
              <w:bottom w:type="dxa" w:w="40"/>
              <w:right w:type="dxa" w:w="80"/>
            </w:tcMar>
          </w:tcPr>
          <w:p>
            <w:pPr>
              <w:spacing w:after="0"/>
              <w:jc w:val="center"/>
            </w:pPr>
            <w:r>
              <w:rPr>
                <w:rFonts w:ascii="Arial" w:cs="Arial" w:eastAsia="Arial" w:hAnsi="Arial"/>
                <w:b/>
                <w:bCs/>
                <w:color w:val="0F4761"/>
                <w:sz w:val="17"/>
                <w:szCs w:val="17"/>
              </w:rPr>
              <w:t xml:space="preserve">Capacité</w:t>
            </w:r>
          </w:p>
        </w:tc>
        <w:tc>
          <w:tcPr>
            <w:tcW w:type="dxa" w:w="1504"/>
            <w:shd w:fill="DEEBF7" w:val="clear"/>
            <w:tcMar>
              <w:top w:type="dxa" w:w="40"/>
              <w:left w:type="dxa" w:w="80"/>
              <w:bottom w:type="dxa" w:w="40"/>
              <w:right w:type="dxa" w:w="80"/>
            </w:tcMar>
          </w:tcPr>
          <w:p>
            <w:pPr>
              <w:spacing w:after="0"/>
              <w:jc w:val="center"/>
            </w:pPr>
            <w:r>
              <w:rPr>
                <w:rFonts w:ascii="Arial" w:cs="Arial" w:eastAsia="Arial" w:hAnsi="Arial"/>
                <w:b/>
                <w:bCs/>
                <w:color w:val="0F4761"/>
                <w:sz w:val="17"/>
                <w:szCs w:val="17"/>
              </w:rPr>
              <w:t xml:space="preserve">Énergie ACC</w:t>
            </w:r>
          </w:p>
        </w:tc>
        <w:tc>
          <w:tcPr>
            <w:tcW w:type="dxa" w:w="1314"/>
            <w:shd w:fill="DEEBF7" w:val="clear"/>
            <w:tcMar>
              <w:top w:type="dxa" w:w="40"/>
              <w:left w:type="dxa" w:w="80"/>
              <w:bottom w:type="dxa" w:w="40"/>
              <w:right w:type="dxa" w:w="80"/>
            </w:tcMar>
          </w:tcPr>
          <w:p>
            <w:pPr>
              <w:spacing w:after="0"/>
              <w:jc w:val="center"/>
            </w:pPr>
            <w:r>
              <w:rPr>
                <w:rFonts w:ascii="Arial" w:cs="Arial" w:eastAsia="Arial" w:hAnsi="Arial"/>
                <w:b/>
                <w:bCs/>
                <w:color w:val="0F4761"/>
                <w:sz w:val="17"/>
                <w:szCs w:val="17"/>
              </w:rPr>
              <w:t xml:space="preserve">Part prod.</w:t>
            </w:r>
          </w:p>
        </w:tc>
        <w:tc>
          <w:tcPr>
            <w:tcW w:type="dxa" w:w="1392"/>
            <w:shd w:fill="DEEBF7" w:val="clear"/>
            <w:tcMar>
              <w:top w:type="dxa" w:w="40"/>
              <w:left w:type="dxa" w:w="80"/>
              <w:bottom w:type="dxa" w:w="40"/>
              <w:right w:type="dxa" w:w="80"/>
            </w:tcMar>
          </w:tcPr>
          <w:p>
            <w:pPr>
              <w:spacing w:after="0"/>
              <w:jc w:val="center"/>
            </w:pPr>
            <w:r>
              <w:rPr>
                <w:rFonts w:ascii="Arial" w:cs="Arial" w:eastAsia="Arial" w:hAnsi="Arial"/>
                <w:b/>
                <w:bCs/>
                <w:color w:val="0F4761"/>
                <w:sz w:val="17"/>
                <w:szCs w:val="17"/>
              </w:rPr>
              <w:t xml:space="preserve">Couverture</w:t>
            </w:r>
          </w:p>
        </w:tc>
        <w:tc>
          <w:tcPr>
            <w:tcW w:type="dxa" w:w="1249"/>
            <w:shd w:fill="DEEBF7" w:val="clear"/>
            <w:tcMar>
              <w:top w:type="dxa" w:w="40"/>
              <w:left w:type="dxa" w:w="80"/>
              <w:bottom w:type="dxa" w:w="40"/>
              <w:right w:type="dxa" w:w="80"/>
            </w:tcMar>
          </w:tcPr>
          <w:p>
            <w:pPr>
              <w:spacing w:after="0"/>
              <w:jc w:val="center"/>
            </w:pPr>
            <w:r>
              <w:rPr>
                <w:rFonts w:ascii="Arial" w:cs="Arial" w:eastAsia="Arial" w:hAnsi="Arial"/>
                <w:b/>
                <w:bCs/>
                <w:color w:val="0F4761"/>
                <w:sz w:val="17"/>
                <w:szCs w:val="17"/>
              </w:rPr>
              <w:t xml:space="preserve">Économie</w:t>
            </w:r>
          </w:p>
        </w:tc>
      </w:tr>
      <w:tr>
        <w:tc>
          <w:tcPr>
            <w:tcW w:type="dxa" w:w="2183"/>
            <w:tcMar>
              <w:top w:type="dxa" w:w="40"/>
              <w:left w:type="dxa" w:w="80"/>
              <w:bottom w:type="dxa" w:w="40"/>
              <w:right w:type="dxa" w:w="80"/>
            </w:tcMar>
          </w:tcPr>
          <w:p>
            <w:pPr>
              <w:spacing w:after="0"/>
              <w:jc w:val="left"/>
            </w:pPr>
            <w:r>
              <w:rPr>
                <w:rFonts w:ascii="Arial" w:cs="Arial" w:eastAsia="Arial" w:hAnsi="Arial"/>
                <w:b/>
                <w:bCs/>
                <w:sz w:val="17"/>
                <w:szCs w:val="17"/>
              </w:rPr>
              <w:t xml:space="preserve">Mairie</w:t>
            </w:r>
          </w:p>
        </w:tc>
        <w:tc>
          <w:tcPr>
            <w:tcW w:type="dxa" w:w="1392"/>
            <w:tcMar>
              <w:top w:type="dxa" w:w="40"/>
              <w:left w:type="dxa" w:w="80"/>
              <w:bottom w:type="dxa" w:w="40"/>
              <w:right w:type="dxa" w:w="80"/>
            </w:tcMar>
          </w:tcPr>
          <w:p>
            <w:pPr>
              <w:spacing w:after="0"/>
              <w:jc w:val="center"/>
            </w:pPr>
            <w:r>
              <w:rPr>
                <w:rFonts w:ascii="Arial" w:cs="Arial" w:eastAsia="Arial" w:hAnsi="Arial"/>
                <w:b/>
                <w:bCs/>
                <w:sz w:val="17"/>
                <w:szCs w:val="17"/>
              </w:rPr>
              <w:t xml:space="preserve">12 000 kWh</w:t>
            </w:r>
          </w:p>
        </w:tc>
        <w:tc>
          <w:tcPr>
            <w:tcW w:type="dxa" w:w="1392"/>
            <w:tcMar>
              <w:top w:type="dxa" w:w="40"/>
              <w:left w:type="dxa" w:w="80"/>
              <w:bottom w:type="dxa" w:w="40"/>
              <w:right w:type="dxa" w:w="80"/>
            </w:tcMar>
          </w:tcPr>
          <w:p>
            <w:pPr>
              <w:spacing w:after="0"/>
              <w:jc w:val="center"/>
            </w:pPr>
            <w:r>
              <w:rPr>
                <w:rFonts w:ascii="Arial" w:cs="Arial" w:eastAsia="Arial" w:hAnsi="Arial"/>
                <w:b/>
                <w:bCs/>
                <w:sz w:val="17"/>
                <w:szCs w:val="17"/>
              </w:rPr>
              <w:t xml:space="preserve">8 400 kWh</w:t>
            </w:r>
          </w:p>
        </w:tc>
        <w:tc>
          <w:tcPr>
            <w:tcW w:type="dxa" w:w="1504"/>
            <w:tcMar>
              <w:top w:type="dxa" w:w="40"/>
              <w:left w:type="dxa" w:w="80"/>
              <w:bottom w:type="dxa" w:w="40"/>
              <w:right w:type="dxa" w:w="80"/>
            </w:tcMar>
          </w:tcPr>
          <w:p>
            <w:pPr>
              <w:spacing w:after="0"/>
              <w:jc w:val="center"/>
            </w:pPr>
            <w:r>
              <w:rPr>
                <w:rFonts w:ascii="Arial" w:cs="Arial" w:eastAsia="Arial" w:hAnsi="Arial"/>
                <w:b/>
                <w:bCs/>
                <w:sz w:val="17"/>
                <w:szCs w:val="17"/>
              </w:rPr>
              <w:t xml:space="preserve">5 280 kWh</w:t>
            </w:r>
          </w:p>
        </w:tc>
        <w:tc>
          <w:tcPr>
            <w:tcW w:type="dxa" w:w="1314"/>
            <w:tcMar>
              <w:top w:type="dxa" w:w="40"/>
              <w:left w:type="dxa" w:w="80"/>
              <w:bottom w:type="dxa" w:w="40"/>
              <w:right w:type="dxa" w:w="80"/>
            </w:tcMar>
          </w:tcPr>
          <w:p>
            <w:pPr>
              <w:spacing w:after="0"/>
              <w:jc w:val="center"/>
            </w:pPr>
            <w:r>
              <w:rPr>
                <w:rFonts w:ascii="Arial" w:cs="Arial" w:eastAsia="Arial" w:hAnsi="Arial"/>
                <w:b/>
                <w:bCs/>
                <w:sz w:val="17"/>
                <w:szCs w:val="17"/>
              </w:rPr>
              <w:t xml:space="preserve">20,0 %</w:t>
            </w:r>
          </w:p>
        </w:tc>
        <w:tc>
          <w:tcPr>
            <w:tcW w:type="dxa" w:w="1392"/>
            <w:tcMar>
              <w:top w:type="dxa" w:w="40"/>
              <w:left w:type="dxa" w:w="80"/>
              <w:bottom w:type="dxa" w:w="40"/>
              <w:right w:type="dxa" w:w="80"/>
            </w:tcMar>
          </w:tcPr>
          <w:p>
            <w:pPr>
              <w:spacing w:after="0"/>
              <w:jc w:val="center"/>
            </w:pPr>
            <w:r>
              <w:rPr>
                <w:rFonts w:ascii="Arial" w:cs="Arial" w:eastAsia="Arial" w:hAnsi="Arial"/>
                <w:b/>
                <w:bCs/>
                <w:sz w:val="17"/>
                <w:szCs w:val="17"/>
              </w:rPr>
              <w:t xml:space="preserve">44,0 %</w:t>
            </w:r>
          </w:p>
        </w:tc>
        <w:tc>
          <w:tcPr>
            <w:tcW w:type="dxa" w:w="1249"/>
            <w:tcMar>
              <w:top w:type="dxa" w:w="40"/>
              <w:left w:type="dxa" w:w="80"/>
              <w:bottom w:type="dxa" w:w="40"/>
              <w:right w:type="dxa" w:w="80"/>
            </w:tcMar>
          </w:tcPr>
          <w:p>
            <w:pPr>
              <w:spacing w:after="0"/>
              <w:jc w:val="center"/>
            </w:pPr>
            <w:r>
              <w:rPr>
                <w:rFonts w:ascii="Arial" w:cs="Arial" w:eastAsia="Arial" w:hAnsi="Arial"/>
                <w:b/>
                <w:bCs/>
                <w:sz w:val="17"/>
                <w:szCs w:val="17"/>
              </w:rPr>
              <w:t xml:space="preserve">106 €</w:t>
            </w:r>
          </w:p>
        </w:tc>
      </w:tr>
      <w:tr>
        <w:tc>
          <w:tcPr>
            <w:tcW w:type="dxa" w:w="2183"/>
            <w:shd w:fill="F4F9FC" w:val="clear"/>
            <w:tcMar>
              <w:top w:type="dxa" w:w="40"/>
              <w:left w:type="dxa" w:w="80"/>
              <w:bottom w:type="dxa" w:w="40"/>
              <w:right w:type="dxa" w:w="80"/>
            </w:tcMar>
          </w:tcPr>
          <w:p>
            <w:pPr>
              <w:spacing w:after="0"/>
              <w:jc w:val="left"/>
            </w:pPr>
            <w:r>
              <w:rPr>
                <w:rFonts w:ascii="Arial" w:cs="Arial" w:eastAsia="Arial" w:hAnsi="Arial"/>
                <w:b/>
                <w:bCs/>
                <w:sz w:val="17"/>
                <w:szCs w:val="17"/>
              </w:rPr>
              <w:t xml:space="preserve">École</w:t>
            </w:r>
          </w:p>
        </w:tc>
        <w:tc>
          <w:tcPr>
            <w:tcW w:type="dxa" w:w="1392"/>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15 000 kWh</w:t>
            </w:r>
          </w:p>
        </w:tc>
        <w:tc>
          <w:tcPr>
            <w:tcW w:type="dxa" w:w="1392"/>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10 500 kWh</w:t>
            </w:r>
          </w:p>
        </w:tc>
        <w:tc>
          <w:tcPr>
            <w:tcW w:type="dxa" w:w="1504"/>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5 280 kWh</w:t>
            </w:r>
          </w:p>
        </w:tc>
        <w:tc>
          <w:tcPr>
            <w:tcW w:type="dxa" w:w="1314"/>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20,0 %</w:t>
            </w:r>
          </w:p>
        </w:tc>
        <w:tc>
          <w:tcPr>
            <w:tcW w:type="dxa" w:w="1392"/>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35,2 %</w:t>
            </w:r>
          </w:p>
        </w:tc>
        <w:tc>
          <w:tcPr>
            <w:tcW w:type="dxa" w:w="1249"/>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106 €</w:t>
            </w:r>
          </w:p>
        </w:tc>
      </w:tr>
      <w:tr>
        <w:tc>
          <w:tcPr>
            <w:tcW w:type="dxa" w:w="2183"/>
            <w:tcMar>
              <w:top w:type="dxa" w:w="40"/>
              <w:left w:type="dxa" w:w="80"/>
              <w:bottom w:type="dxa" w:w="40"/>
              <w:right w:type="dxa" w:w="80"/>
            </w:tcMar>
          </w:tcPr>
          <w:p>
            <w:pPr>
              <w:spacing w:after="0"/>
              <w:jc w:val="left"/>
            </w:pPr>
            <w:r>
              <w:rPr>
                <w:rFonts w:ascii="Arial" w:cs="Arial" w:eastAsia="Arial" w:hAnsi="Arial"/>
                <w:b/>
                <w:bCs/>
                <w:sz w:val="17"/>
                <w:szCs w:val="17"/>
              </w:rPr>
              <w:t xml:space="preserve">Salle des fêtes</w:t>
            </w:r>
          </w:p>
        </w:tc>
        <w:tc>
          <w:tcPr>
            <w:tcW w:type="dxa" w:w="1392"/>
            <w:tcMar>
              <w:top w:type="dxa" w:w="40"/>
              <w:left w:type="dxa" w:w="80"/>
              <w:bottom w:type="dxa" w:w="40"/>
              <w:right w:type="dxa" w:w="80"/>
            </w:tcMar>
          </w:tcPr>
          <w:p>
            <w:pPr>
              <w:spacing w:after="0"/>
              <w:jc w:val="center"/>
            </w:pPr>
            <w:r>
              <w:rPr>
                <w:rFonts w:ascii="Arial" w:cs="Arial" w:eastAsia="Arial" w:hAnsi="Arial"/>
                <w:b/>
                <w:bCs/>
                <w:sz w:val="17"/>
                <w:szCs w:val="17"/>
              </w:rPr>
              <w:t xml:space="preserve">6 000 kWh</w:t>
            </w:r>
          </w:p>
        </w:tc>
        <w:tc>
          <w:tcPr>
            <w:tcW w:type="dxa" w:w="1392"/>
            <w:tcMar>
              <w:top w:type="dxa" w:w="40"/>
              <w:left w:type="dxa" w:w="80"/>
              <w:bottom w:type="dxa" w:w="40"/>
              <w:right w:type="dxa" w:w="80"/>
            </w:tcMar>
          </w:tcPr>
          <w:p>
            <w:pPr>
              <w:spacing w:after="0"/>
              <w:jc w:val="center"/>
            </w:pPr>
            <w:r>
              <w:rPr>
                <w:rFonts w:ascii="Arial" w:cs="Arial" w:eastAsia="Arial" w:hAnsi="Arial"/>
                <w:b/>
                <w:bCs/>
                <w:sz w:val="17"/>
                <w:szCs w:val="17"/>
              </w:rPr>
              <w:t xml:space="preserve">3 300 kWh</w:t>
            </w:r>
          </w:p>
        </w:tc>
        <w:tc>
          <w:tcPr>
            <w:tcW w:type="dxa" w:w="1504"/>
            <w:tcMar>
              <w:top w:type="dxa" w:w="40"/>
              <w:left w:type="dxa" w:w="80"/>
              <w:bottom w:type="dxa" w:w="40"/>
              <w:right w:type="dxa" w:w="80"/>
            </w:tcMar>
          </w:tcPr>
          <w:p>
            <w:pPr>
              <w:spacing w:after="0"/>
              <w:jc w:val="center"/>
            </w:pPr>
            <w:r>
              <w:rPr>
                <w:rFonts w:ascii="Arial" w:cs="Arial" w:eastAsia="Arial" w:hAnsi="Arial"/>
                <w:b/>
                <w:bCs/>
                <w:sz w:val="17"/>
                <w:szCs w:val="17"/>
              </w:rPr>
              <w:t xml:space="preserve">3 300 kWh</w:t>
            </w:r>
          </w:p>
        </w:tc>
        <w:tc>
          <w:tcPr>
            <w:tcW w:type="dxa" w:w="1314"/>
            <w:tcMar>
              <w:top w:type="dxa" w:w="40"/>
              <w:left w:type="dxa" w:w="80"/>
              <w:bottom w:type="dxa" w:w="40"/>
              <w:right w:type="dxa" w:w="80"/>
            </w:tcMar>
          </w:tcPr>
          <w:p>
            <w:pPr>
              <w:spacing w:after="0"/>
              <w:jc w:val="center"/>
            </w:pPr>
            <w:r>
              <w:rPr>
                <w:rFonts w:ascii="Arial" w:cs="Arial" w:eastAsia="Arial" w:hAnsi="Arial"/>
                <w:b/>
                <w:bCs/>
                <w:sz w:val="17"/>
                <w:szCs w:val="17"/>
              </w:rPr>
              <w:t xml:space="preserve">12,5 %</w:t>
            </w:r>
          </w:p>
        </w:tc>
        <w:tc>
          <w:tcPr>
            <w:tcW w:type="dxa" w:w="1392"/>
            <w:tcMar>
              <w:top w:type="dxa" w:w="40"/>
              <w:left w:type="dxa" w:w="80"/>
              <w:bottom w:type="dxa" w:w="40"/>
              <w:right w:type="dxa" w:w="80"/>
            </w:tcMar>
          </w:tcPr>
          <w:p>
            <w:pPr>
              <w:spacing w:after="0"/>
              <w:jc w:val="center"/>
            </w:pPr>
            <w:r>
              <w:rPr>
                <w:rFonts w:ascii="Arial" w:cs="Arial" w:eastAsia="Arial" w:hAnsi="Arial"/>
                <w:b/>
                <w:bCs/>
                <w:sz w:val="17"/>
                <w:szCs w:val="17"/>
              </w:rPr>
              <w:t xml:space="preserve">55,0 %</w:t>
            </w:r>
          </w:p>
        </w:tc>
        <w:tc>
          <w:tcPr>
            <w:tcW w:type="dxa" w:w="1249"/>
            <w:tcMar>
              <w:top w:type="dxa" w:w="40"/>
              <w:left w:type="dxa" w:w="80"/>
              <w:bottom w:type="dxa" w:w="40"/>
              <w:right w:type="dxa" w:w="80"/>
            </w:tcMar>
          </w:tcPr>
          <w:p>
            <w:pPr>
              <w:spacing w:after="0"/>
              <w:jc w:val="center"/>
            </w:pPr>
            <w:r>
              <w:rPr>
                <w:rFonts w:ascii="Arial" w:cs="Arial" w:eastAsia="Arial" w:hAnsi="Arial"/>
                <w:b/>
                <w:bCs/>
                <w:sz w:val="17"/>
                <w:szCs w:val="17"/>
              </w:rPr>
              <w:t xml:space="preserve">66 €</w:t>
            </w:r>
          </w:p>
        </w:tc>
      </w:tr>
      <w:tr>
        <w:tc>
          <w:tcPr>
            <w:tcW w:type="dxa" w:w="2183"/>
            <w:shd w:fill="F4F9FC" w:val="clear"/>
            <w:tcMar>
              <w:top w:type="dxa" w:w="40"/>
              <w:left w:type="dxa" w:w="80"/>
              <w:bottom w:type="dxa" w:w="40"/>
              <w:right w:type="dxa" w:w="80"/>
            </w:tcMar>
          </w:tcPr>
          <w:p>
            <w:pPr>
              <w:spacing w:after="0"/>
              <w:jc w:val="left"/>
            </w:pPr>
            <w:r>
              <w:rPr>
                <w:rFonts w:ascii="Arial" w:cs="Arial" w:eastAsia="Arial" w:hAnsi="Arial"/>
                <w:b/>
                <w:bCs/>
                <w:sz w:val="17"/>
                <w:szCs w:val="17"/>
              </w:rPr>
              <w:t xml:space="preserve">Foyer 1</w:t>
            </w:r>
          </w:p>
        </w:tc>
        <w:tc>
          <w:tcPr>
            <w:tcW w:type="dxa" w:w="1392"/>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4 500 kWh</w:t>
            </w:r>
          </w:p>
        </w:tc>
        <w:tc>
          <w:tcPr>
            <w:tcW w:type="dxa" w:w="1392"/>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1 575 kWh</w:t>
            </w:r>
          </w:p>
        </w:tc>
        <w:tc>
          <w:tcPr>
            <w:tcW w:type="dxa" w:w="1504"/>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1 575 kWh</w:t>
            </w:r>
          </w:p>
        </w:tc>
        <w:tc>
          <w:tcPr>
            <w:tcW w:type="dxa" w:w="1314"/>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6,0 %</w:t>
            </w:r>
          </w:p>
        </w:tc>
        <w:tc>
          <w:tcPr>
            <w:tcW w:type="dxa" w:w="1392"/>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35,0 %</w:t>
            </w:r>
          </w:p>
        </w:tc>
        <w:tc>
          <w:tcPr>
            <w:tcW w:type="dxa" w:w="1249"/>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32 €</w:t>
            </w:r>
          </w:p>
        </w:tc>
      </w:tr>
      <w:tr>
        <w:tc>
          <w:tcPr>
            <w:tcW w:type="dxa" w:w="2183"/>
            <w:tcMar>
              <w:top w:type="dxa" w:w="40"/>
              <w:left w:type="dxa" w:w="80"/>
              <w:bottom w:type="dxa" w:w="40"/>
              <w:right w:type="dxa" w:w="80"/>
            </w:tcMar>
          </w:tcPr>
          <w:p>
            <w:pPr>
              <w:spacing w:after="0"/>
              <w:jc w:val="left"/>
            </w:pPr>
            <w:r>
              <w:rPr>
                <w:rFonts w:ascii="Arial" w:cs="Arial" w:eastAsia="Arial" w:hAnsi="Arial"/>
                <w:b/>
                <w:bCs/>
                <w:sz w:val="17"/>
                <w:szCs w:val="17"/>
              </w:rPr>
              <w:t xml:space="preserve">Foyer 2</w:t>
            </w:r>
          </w:p>
        </w:tc>
        <w:tc>
          <w:tcPr>
            <w:tcW w:type="dxa" w:w="1392"/>
            <w:tcMar>
              <w:top w:type="dxa" w:w="40"/>
              <w:left w:type="dxa" w:w="80"/>
              <w:bottom w:type="dxa" w:w="40"/>
              <w:right w:type="dxa" w:w="80"/>
            </w:tcMar>
          </w:tcPr>
          <w:p>
            <w:pPr>
              <w:spacing w:after="0"/>
              <w:jc w:val="center"/>
            </w:pPr>
            <w:r>
              <w:rPr>
                <w:rFonts w:ascii="Arial" w:cs="Arial" w:eastAsia="Arial" w:hAnsi="Arial"/>
                <w:b/>
                <w:bCs/>
                <w:sz w:val="17"/>
                <w:szCs w:val="17"/>
              </w:rPr>
              <w:t xml:space="preserve">4 500 kWh</w:t>
            </w:r>
          </w:p>
        </w:tc>
        <w:tc>
          <w:tcPr>
            <w:tcW w:type="dxa" w:w="1392"/>
            <w:tcMar>
              <w:top w:type="dxa" w:w="40"/>
              <w:left w:type="dxa" w:w="80"/>
              <w:bottom w:type="dxa" w:w="40"/>
              <w:right w:type="dxa" w:w="80"/>
            </w:tcMar>
          </w:tcPr>
          <w:p>
            <w:pPr>
              <w:spacing w:after="0"/>
              <w:jc w:val="center"/>
            </w:pPr>
            <w:r>
              <w:rPr>
                <w:rFonts w:ascii="Arial" w:cs="Arial" w:eastAsia="Arial" w:hAnsi="Arial"/>
                <w:b/>
                <w:bCs/>
                <w:sz w:val="17"/>
                <w:szCs w:val="17"/>
              </w:rPr>
              <w:t xml:space="preserve">1 575 kWh</w:t>
            </w:r>
          </w:p>
        </w:tc>
        <w:tc>
          <w:tcPr>
            <w:tcW w:type="dxa" w:w="1504"/>
            <w:tcMar>
              <w:top w:type="dxa" w:w="40"/>
              <w:left w:type="dxa" w:w="80"/>
              <w:bottom w:type="dxa" w:w="40"/>
              <w:right w:type="dxa" w:w="80"/>
            </w:tcMar>
          </w:tcPr>
          <w:p>
            <w:pPr>
              <w:spacing w:after="0"/>
              <w:jc w:val="center"/>
            </w:pPr>
            <w:r>
              <w:rPr>
                <w:rFonts w:ascii="Arial" w:cs="Arial" w:eastAsia="Arial" w:hAnsi="Arial"/>
                <w:b/>
                <w:bCs/>
                <w:sz w:val="17"/>
                <w:szCs w:val="17"/>
              </w:rPr>
              <w:t xml:space="preserve">1 575 kWh</w:t>
            </w:r>
          </w:p>
        </w:tc>
        <w:tc>
          <w:tcPr>
            <w:tcW w:type="dxa" w:w="1314"/>
            <w:tcMar>
              <w:top w:type="dxa" w:w="40"/>
              <w:left w:type="dxa" w:w="80"/>
              <w:bottom w:type="dxa" w:w="40"/>
              <w:right w:type="dxa" w:w="80"/>
            </w:tcMar>
          </w:tcPr>
          <w:p>
            <w:pPr>
              <w:spacing w:after="0"/>
              <w:jc w:val="center"/>
            </w:pPr>
            <w:r>
              <w:rPr>
                <w:rFonts w:ascii="Arial" w:cs="Arial" w:eastAsia="Arial" w:hAnsi="Arial"/>
                <w:b/>
                <w:bCs/>
                <w:sz w:val="17"/>
                <w:szCs w:val="17"/>
              </w:rPr>
              <w:t xml:space="preserve">6,0 %</w:t>
            </w:r>
          </w:p>
        </w:tc>
        <w:tc>
          <w:tcPr>
            <w:tcW w:type="dxa" w:w="1392"/>
            <w:tcMar>
              <w:top w:type="dxa" w:w="40"/>
              <w:left w:type="dxa" w:w="80"/>
              <w:bottom w:type="dxa" w:w="40"/>
              <w:right w:type="dxa" w:w="80"/>
            </w:tcMar>
          </w:tcPr>
          <w:p>
            <w:pPr>
              <w:spacing w:after="0"/>
              <w:jc w:val="center"/>
            </w:pPr>
            <w:r>
              <w:rPr>
                <w:rFonts w:ascii="Arial" w:cs="Arial" w:eastAsia="Arial" w:hAnsi="Arial"/>
                <w:b/>
                <w:bCs/>
                <w:sz w:val="17"/>
                <w:szCs w:val="17"/>
              </w:rPr>
              <w:t xml:space="preserve">35,0 %</w:t>
            </w:r>
          </w:p>
        </w:tc>
        <w:tc>
          <w:tcPr>
            <w:tcW w:type="dxa" w:w="1249"/>
            <w:tcMar>
              <w:top w:type="dxa" w:w="40"/>
              <w:left w:type="dxa" w:w="80"/>
              <w:bottom w:type="dxa" w:w="40"/>
              <w:right w:type="dxa" w:w="80"/>
            </w:tcMar>
          </w:tcPr>
          <w:p>
            <w:pPr>
              <w:spacing w:after="0"/>
              <w:jc w:val="center"/>
            </w:pPr>
            <w:r>
              <w:rPr>
                <w:rFonts w:ascii="Arial" w:cs="Arial" w:eastAsia="Arial" w:hAnsi="Arial"/>
                <w:b/>
                <w:bCs/>
                <w:sz w:val="17"/>
                <w:szCs w:val="17"/>
              </w:rPr>
              <w:t xml:space="preserve">32 €</w:t>
            </w:r>
          </w:p>
        </w:tc>
      </w:tr>
      <w:tr>
        <w:tc>
          <w:tcPr>
            <w:tcW w:type="dxa" w:w="2183"/>
            <w:shd w:fill="DEEBF7" w:val="clear"/>
            <w:tcMar>
              <w:top w:type="dxa" w:w="40"/>
              <w:left w:type="dxa" w:w="80"/>
              <w:bottom w:type="dxa" w:w="40"/>
              <w:right w:type="dxa" w:w="80"/>
            </w:tcMar>
          </w:tcPr>
          <w:p>
            <w:pPr>
              <w:spacing w:after="0"/>
              <w:jc w:val="left"/>
            </w:pPr>
            <w:r>
              <w:rPr>
                <w:rFonts w:ascii="Arial" w:cs="Arial" w:eastAsia="Arial" w:hAnsi="Arial"/>
                <w:b/>
                <w:bCs/>
                <w:sz w:val="17"/>
                <w:szCs w:val="17"/>
              </w:rPr>
              <w:t xml:space="preserve">Total</w:t>
            </w:r>
          </w:p>
        </w:tc>
        <w:tc>
          <w:tcPr>
            <w:tcW w:type="dxa" w:w="1392"/>
            <w:shd w:fill="DEEBF7" w:val="clear"/>
            <w:tcMar>
              <w:top w:type="dxa" w:w="40"/>
              <w:left w:type="dxa" w:w="80"/>
              <w:bottom w:type="dxa" w:w="40"/>
              <w:right w:type="dxa" w:w="80"/>
            </w:tcMar>
          </w:tcPr>
          <w:p>
            <w:pPr>
              <w:spacing w:after="0"/>
              <w:jc w:val="center"/>
            </w:pPr>
            <w:r>
              <w:rPr>
                <w:rFonts w:ascii="Arial" w:cs="Arial" w:eastAsia="Arial" w:hAnsi="Arial"/>
                <w:b/>
                <w:bCs/>
                <w:sz w:val="17"/>
                <w:szCs w:val="17"/>
              </w:rPr>
              <w:t xml:space="preserve">42 000 kWh</w:t>
            </w:r>
          </w:p>
        </w:tc>
        <w:tc>
          <w:tcPr>
            <w:tcW w:type="dxa" w:w="1392"/>
            <w:shd w:fill="DEEBF7" w:val="clear"/>
            <w:tcMar>
              <w:top w:type="dxa" w:w="40"/>
              <w:left w:type="dxa" w:w="80"/>
              <w:bottom w:type="dxa" w:w="40"/>
              <w:right w:type="dxa" w:w="80"/>
            </w:tcMar>
          </w:tcPr>
          <w:p>
            <w:pPr>
              <w:spacing w:after="0"/>
              <w:jc w:val="center"/>
            </w:pPr>
            <w:r>
              <w:rPr>
                <w:rFonts w:ascii="Arial" w:cs="Arial" w:eastAsia="Arial" w:hAnsi="Arial"/>
                <w:b/>
                <w:bCs/>
                <w:sz w:val="17"/>
                <w:szCs w:val="17"/>
              </w:rPr>
              <w:t xml:space="preserve">25 350 kWh</w:t>
            </w:r>
          </w:p>
        </w:tc>
        <w:tc>
          <w:tcPr>
            <w:tcW w:type="dxa" w:w="1504"/>
            <w:shd w:fill="DEEBF7" w:val="clear"/>
            <w:tcMar>
              <w:top w:type="dxa" w:w="40"/>
              <w:left w:type="dxa" w:w="80"/>
              <w:bottom w:type="dxa" w:w="40"/>
              <w:right w:type="dxa" w:w="80"/>
            </w:tcMar>
          </w:tcPr>
          <w:p>
            <w:pPr>
              <w:spacing w:after="0"/>
              <w:jc w:val="center"/>
            </w:pPr>
            <w:r>
              <w:rPr>
                <w:rFonts w:ascii="Arial" w:cs="Arial" w:eastAsia="Arial" w:hAnsi="Arial"/>
                <w:b/>
                <w:bCs/>
                <w:sz w:val="17"/>
                <w:szCs w:val="17"/>
              </w:rPr>
              <w:t xml:space="preserve">17 010 kWh</w:t>
            </w:r>
          </w:p>
        </w:tc>
        <w:tc>
          <w:tcPr>
            <w:tcW w:type="dxa" w:w="1314"/>
            <w:shd w:fill="DEEBF7" w:val="clear"/>
            <w:tcMar>
              <w:top w:type="dxa" w:w="40"/>
              <w:left w:type="dxa" w:w="80"/>
              <w:bottom w:type="dxa" w:w="40"/>
              <w:right w:type="dxa" w:w="80"/>
            </w:tcMar>
          </w:tcPr>
          <w:p>
            <w:pPr>
              <w:spacing w:after="0"/>
              <w:jc w:val="center"/>
            </w:pPr>
            <w:r>
              <w:rPr>
                <w:rFonts w:ascii="Arial" w:cs="Arial" w:eastAsia="Arial" w:hAnsi="Arial"/>
                <w:b/>
                <w:bCs/>
                <w:sz w:val="17"/>
                <w:szCs w:val="17"/>
              </w:rPr>
              <w:t xml:space="preserve">64,4 %</w:t>
            </w:r>
          </w:p>
        </w:tc>
        <w:tc>
          <w:tcPr>
            <w:tcW w:type="dxa" w:w="1392"/>
            <w:shd w:fill="DEEBF7" w:val="clear"/>
            <w:tcMar>
              <w:top w:type="dxa" w:w="40"/>
              <w:left w:type="dxa" w:w="80"/>
              <w:bottom w:type="dxa" w:w="40"/>
              <w:right w:type="dxa" w:w="80"/>
            </w:tcMar>
          </w:tcPr>
          <w:p>
            <w:pPr>
              <w:spacing w:after="0"/>
              <w:jc w:val="center"/>
            </w:pPr>
            <w:r>
              <w:rPr>
                <w:rFonts w:ascii="Arial" w:cs="Arial" w:eastAsia="Arial" w:hAnsi="Arial"/>
                <w:b/>
                <w:bCs/>
                <w:sz w:val="17"/>
                <w:szCs w:val="17"/>
              </w:rPr>
              <w:t xml:space="preserve">40,5 %</w:t>
            </w:r>
          </w:p>
        </w:tc>
        <w:tc>
          <w:tcPr>
            <w:tcW w:type="dxa" w:w="1249"/>
            <w:shd w:fill="DEEBF7" w:val="clear"/>
            <w:tcMar>
              <w:top w:type="dxa" w:w="40"/>
              <w:left w:type="dxa" w:w="80"/>
              <w:bottom w:type="dxa" w:w="40"/>
              <w:right w:type="dxa" w:w="80"/>
            </w:tcMar>
          </w:tcPr>
          <w:p>
            <w:pPr>
              <w:spacing w:after="0"/>
              <w:jc w:val="center"/>
            </w:pPr>
            <w:r>
              <w:rPr>
                <w:rFonts w:ascii="Arial" w:cs="Arial" w:eastAsia="Arial" w:hAnsi="Arial"/>
                <w:b/>
                <w:bCs/>
                <w:sz w:val="17"/>
                <w:szCs w:val="17"/>
              </w:rPr>
              <w:t xml:space="preserve">340 €</w:t>
            </w:r>
          </w:p>
        </w:tc>
      </w:tr>
    </w:tbl>
    <w:p>
      <w:r>
        <w:br w:type="page"/>
      </w:r>
    </w:p>
    <w:p>
      <w:pPr>
        <w:pStyle w:val="Heading2"/>
        <w:spacing w:after="100" w:before="260"/>
      </w:pPr>
      <w:r>
        <w:rPr>
          <w:rFonts w:ascii="Arial" w:cs="Arial" w:eastAsia="Arial" w:hAnsi="Arial"/>
          <w:b/>
          <w:bCs/>
          <w:color w:val="0F4761"/>
          <w:sz w:val="22"/>
          <w:szCs w:val="22"/>
        </w:rPr>
        <w:t xml:space="preserve">7. Comparaison des clés de répartition</w:t>
      </w:r>
    </w:p>
    <w:p>
      <w:pPr>
        <w:spacing w:after="120" w:line="264"/>
        <w:jc w:val="both"/>
      </w:pPr>
      <w:r>
        <w:rPr>
          <w:rFonts w:ascii="Arial" w:cs="Arial" w:eastAsia="Arial" w:hAnsi="Arial"/>
          <w:sz w:val="20"/>
          <w:szCs w:val="20"/>
        </w:rPr>
        <w:t xml:space="preserve">Trois modes d'affectation sont comparés ci-dessous. Ils partagent exactement la même production : seule change la manière de l'attribuer, et donc la part qui finit en surplus.</w:t>
      </w:r>
    </w:p>
    <w:tbl>
      <w:tblPr>
        <w:tblW w:type="dxa" w:w="10426"/>
        <w:tblBorders>
          <w:top w:val="single" w:color="9DB8C9" w:sz="4"/>
          <w:left w:val="single" w:color="9DB8C9" w:sz="4"/>
          <w:bottom w:val="single" w:color="9DB8C9" w:sz="4"/>
          <w:right w:val="single" w:color="9DB8C9" w:sz="4"/>
          <w:insideH w:val="single" w:color="9DB8C9" w:sz="4"/>
          <w:insideV w:val="single" w:color="9DB8C9" w:sz="4"/>
        </w:tblBorders>
      </w:tblPr>
      <w:tblGrid>
        <w:gridCol w:w="2451"/>
        <w:gridCol w:w="1448"/>
        <w:gridCol w:w="1170"/>
        <w:gridCol w:w="1392"/>
        <w:gridCol w:w="1448"/>
        <w:gridCol w:w="1448"/>
        <w:gridCol w:w="1069"/>
      </w:tblGrid>
      <w:tr>
        <w:trPr>
          <w:tblHeader/>
        </w:trPr>
        <w:tc>
          <w:tcPr>
            <w:tcW w:type="dxa" w:w="2451"/>
            <w:shd w:fill="DEEBF7" w:val="clear"/>
            <w:tcMar>
              <w:top w:type="dxa" w:w="40"/>
              <w:left w:type="dxa" w:w="80"/>
              <w:bottom w:type="dxa" w:w="40"/>
              <w:right w:type="dxa" w:w="80"/>
            </w:tcMar>
          </w:tcPr>
          <w:p>
            <w:pPr>
              <w:spacing w:after="0"/>
              <w:jc w:val="left"/>
            </w:pPr>
            <w:r>
              <w:rPr>
                <w:rFonts w:ascii="Arial" w:cs="Arial" w:eastAsia="Arial" w:hAnsi="Arial"/>
                <w:b/>
                <w:bCs/>
                <w:color w:val="0F4761"/>
                <w:sz w:val="17"/>
                <w:szCs w:val="17"/>
              </w:rPr>
              <w:t xml:space="preserve">Mode d'affectation</w:t>
            </w:r>
          </w:p>
        </w:tc>
        <w:tc>
          <w:tcPr>
            <w:tcW w:type="dxa" w:w="1448"/>
            <w:shd w:fill="DEEBF7" w:val="clear"/>
            <w:tcMar>
              <w:top w:type="dxa" w:w="40"/>
              <w:left w:type="dxa" w:w="80"/>
              <w:bottom w:type="dxa" w:w="40"/>
              <w:right w:type="dxa" w:w="80"/>
            </w:tcMar>
          </w:tcPr>
          <w:p>
            <w:pPr>
              <w:spacing w:after="0"/>
              <w:jc w:val="center"/>
            </w:pPr>
            <w:r>
              <w:rPr>
                <w:rFonts w:ascii="Arial" w:cs="Arial" w:eastAsia="Arial" w:hAnsi="Arial"/>
                <w:b/>
                <w:bCs/>
                <w:color w:val="0F4761"/>
                <w:sz w:val="17"/>
                <w:szCs w:val="17"/>
              </w:rPr>
              <w:t xml:space="preserve">Énergie ACC</w:t>
            </w:r>
          </w:p>
        </w:tc>
        <w:tc>
          <w:tcPr>
            <w:tcW w:type="dxa" w:w="1170"/>
            <w:shd w:fill="DEEBF7" w:val="clear"/>
            <w:tcMar>
              <w:top w:type="dxa" w:w="40"/>
              <w:left w:type="dxa" w:w="80"/>
              <w:bottom w:type="dxa" w:w="40"/>
              <w:right w:type="dxa" w:w="80"/>
            </w:tcMar>
          </w:tcPr>
          <w:p>
            <w:pPr>
              <w:spacing w:after="0"/>
              <w:jc w:val="center"/>
            </w:pPr>
            <w:r>
              <w:rPr>
                <w:rFonts w:ascii="Arial" w:cs="Arial" w:eastAsia="Arial" w:hAnsi="Arial"/>
                <w:b/>
                <w:bCs/>
                <w:color w:val="0F4761"/>
                <w:sz w:val="17"/>
                <w:szCs w:val="17"/>
              </w:rPr>
              <w:t xml:space="preserve">Taux d'ACC</w:t>
            </w:r>
          </w:p>
        </w:tc>
        <w:tc>
          <w:tcPr>
            <w:tcW w:type="dxa" w:w="1392"/>
            <w:shd w:fill="DEEBF7" w:val="clear"/>
            <w:tcMar>
              <w:top w:type="dxa" w:w="40"/>
              <w:left w:type="dxa" w:w="80"/>
              <w:bottom w:type="dxa" w:w="40"/>
              <w:right w:type="dxa" w:w="80"/>
            </w:tcMar>
          </w:tcPr>
          <w:p>
            <w:pPr>
              <w:spacing w:after="0"/>
              <w:jc w:val="center"/>
            </w:pPr>
            <w:r>
              <w:rPr>
                <w:rFonts w:ascii="Arial" w:cs="Arial" w:eastAsia="Arial" w:hAnsi="Arial"/>
                <w:b/>
                <w:bCs/>
                <w:color w:val="0F4761"/>
                <w:sz w:val="17"/>
                <w:szCs w:val="17"/>
              </w:rPr>
              <w:t xml:space="preserve">Surplus</w:t>
            </w:r>
          </w:p>
        </w:tc>
        <w:tc>
          <w:tcPr>
            <w:tcW w:type="dxa" w:w="1448"/>
            <w:shd w:fill="DEEBF7" w:val="clear"/>
            <w:tcMar>
              <w:top w:type="dxa" w:w="40"/>
              <w:left w:type="dxa" w:w="80"/>
              <w:bottom w:type="dxa" w:w="40"/>
              <w:right w:type="dxa" w:w="80"/>
            </w:tcMar>
          </w:tcPr>
          <w:p>
            <w:pPr>
              <w:spacing w:after="0"/>
              <w:jc w:val="center"/>
            </w:pPr>
            <w:r>
              <w:rPr>
                <w:rFonts w:ascii="Arial" w:cs="Arial" w:eastAsia="Arial" w:hAnsi="Arial"/>
                <w:b/>
                <w:bCs/>
                <w:color w:val="0F4761"/>
                <w:sz w:val="17"/>
                <w:szCs w:val="17"/>
              </w:rPr>
              <w:t xml:space="preserve">Recettes prod.</w:t>
            </w:r>
          </w:p>
        </w:tc>
        <w:tc>
          <w:tcPr>
            <w:tcW w:type="dxa" w:w="1448"/>
            <w:shd w:fill="DEEBF7" w:val="clear"/>
            <w:tcMar>
              <w:top w:type="dxa" w:w="40"/>
              <w:left w:type="dxa" w:w="80"/>
              <w:bottom w:type="dxa" w:w="40"/>
              <w:right w:type="dxa" w:w="80"/>
            </w:tcMar>
          </w:tcPr>
          <w:p>
            <w:pPr>
              <w:spacing w:after="0"/>
              <w:jc w:val="center"/>
            </w:pPr>
            <w:r>
              <w:rPr>
                <w:rFonts w:ascii="Arial" w:cs="Arial" w:eastAsia="Arial" w:hAnsi="Arial"/>
                <w:b/>
                <w:bCs/>
                <w:color w:val="0F4761"/>
                <w:sz w:val="17"/>
                <w:szCs w:val="17"/>
              </w:rPr>
              <w:t xml:space="preserve">Économies conso.</w:t>
            </w:r>
          </w:p>
        </w:tc>
        <w:tc>
          <w:tcPr>
            <w:tcW w:type="dxa" w:w="1069"/>
            <w:shd w:fill="DEEBF7" w:val="clear"/>
            <w:tcMar>
              <w:top w:type="dxa" w:w="40"/>
              <w:left w:type="dxa" w:w="80"/>
              <w:bottom w:type="dxa" w:w="40"/>
              <w:right w:type="dxa" w:w="80"/>
            </w:tcMar>
          </w:tcPr>
          <w:p>
            <w:pPr>
              <w:spacing w:after="0"/>
              <w:jc w:val="center"/>
            </w:pPr>
            <w:r>
              <w:rPr>
                <w:rFonts w:ascii="Arial" w:cs="Arial" w:eastAsia="Arial" w:hAnsi="Arial"/>
                <w:b/>
                <w:bCs/>
                <w:color w:val="0F4761"/>
                <w:sz w:val="17"/>
                <w:szCs w:val="17"/>
              </w:rPr>
              <w:t xml:space="preserve">VAN prod.</w:t>
            </w:r>
          </w:p>
        </w:tc>
      </w:tr>
      <w:tr>
        <w:tc>
          <w:tcPr>
            <w:tcW w:type="dxa" w:w="2451"/>
            <w:shd w:fill="DEEBF7" w:val="clear"/>
            <w:tcMar>
              <w:top w:type="dxa" w:w="40"/>
              <w:left w:type="dxa" w:w="80"/>
              <w:bottom w:type="dxa" w:w="40"/>
              <w:right w:type="dxa" w:w="80"/>
            </w:tcMar>
          </w:tcPr>
          <w:p>
            <w:pPr>
              <w:spacing w:after="0"/>
              <w:jc w:val="left"/>
            </w:pPr>
            <w:r>
              <w:rPr>
                <w:rFonts w:ascii="Arial" w:cs="Arial" w:eastAsia="Arial" w:hAnsi="Arial"/>
                <w:b/>
                <w:bCs/>
                <w:sz w:val="17"/>
                <w:szCs w:val="17"/>
              </w:rPr>
              <w:t xml:space="preserve">Clé statique (retenu)</w:t>
            </w:r>
          </w:p>
        </w:tc>
        <w:tc>
          <w:tcPr>
            <w:tcW w:type="dxa" w:w="1448"/>
            <w:shd w:fill="DEEBF7" w:val="clear"/>
            <w:tcMar>
              <w:top w:type="dxa" w:w="40"/>
              <w:left w:type="dxa" w:w="80"/>
              <w:bottom w:type="dxa" w:w="40"/>
              <w:right w:type="dxa" w:w="80"/>
            </w:tcMar>
          </w:tcPr>
          <w:p>
            <w:pPr>
              <w:spacing w:after="0"/>
              <w:jc w:val="center"/>
            </w:pPr>
            <w:r>
              <w:rPr>
                <w:rFonts w:ascii="Arial" w:cs="Arial" w:eastAsia="Arial" w:hAnsi="Arial"/>
                <w:b/>
                <w:bCs/>
                <w:sz w:val="17"/>
                <w:szCs w:val="17"/>
              </w:rPr>
              <w:t xml:space="preserve">17 010 kWh</w:t>
            </w:r>
          </w:p>
        </w:tc>
        <w:tc>
          <w:tcPr>
            <w:tcW w:type="dxa" w:w="1170"/>
            <w:shd w:fill="DEEBF7" w:val="clear"/>
            <w:tcMar>
              <w:top w:type="dxa" w:w="40"/>
              <w:left w:type="dxa" w:w="80"/>
              <w:bottom w:type="dxa" w:w="40"/>
              <w:right w:type="dxa" w:w="80"/>
            </w:tcMar>
          </w:tcPr>
          <w:p>
            <w:pPr>
              <w:spacing w:after="0"/>
              <w:jc w:val="center"/>
            </w:pPr>
            <w:r>
              <w:rPr>
                <w:rFonts w:ascii="Arial" w:cs="Arial" w:eastAsia="Arial" w:hAnsi="Arial"/>
                <w:b/>
                <w:bCs/>
                <w:sz w:val="17"/>
                <w:szCs w:val="17"/>
              </w:rPr>
              <w:t xml:space="preserve">64,4 %</w:t>
            </w:r>
          </w:p>
        </w:tc>
        <w:tc>
          <w:tcPr>
            <w:tcW w:type="dxa" w:w="1392"/>
            <w:shd w:fill="DEEBF7" w:val="clear"/>
            <w:tcMar>
              <w:top w:type="dxa" w:w="40"/>
              <w:left w:type="dxa" w:w="80"/>
              <w:bottom w:type="dxa" w:w="40"/>
              <w:right w:type="dxa" w:w="80"/>
            </w:tcMar>
          </w:tcPr>
          <w:p>
            <w:pPr>
              <w:spacing w:after="0"/>
              <w:jc w:val="center"/>
            </w:pPr>
            <w:r>
              <w:rPr>
                <w:rFonts w:ascii="Arial" w:cs="Arial" w:eastAsia="Arial" w:hAnsi="Arial"/>
                <w:b/>
                <w:bCs/>
                <w:sz w:val="17"/>
                <w:szCs w:val="17"/>
              </w:rPr>
              <w:t xml:space="preserve">9 390 kWh</w:t>
            </w:r>
          </w:p>
        </w:tc>
        <w:tc>
          <w:tcPr>
            <w:tcW w:type="dxa" w:w="1448"/>
            <w:shd w:fill="DEEBF7" w:val="clear"/>
            <w:tcMar>
              <w:top w:type="dxa" w:w="40"/>
              <w:left w:type="dxa" w:w="80"/>
              <w:bottom w:type="dxa" w:w="40"/>
              <w:right w:type="dxa" w:w="80"/>
            </w:tcMar>
          </w:tcPr>
          <w:p>
            <w:pPr>
              <w:spacing w:after="0"/>
              <w:jc w:val="center"/>
            </w:pPr>
            <w:r>
              <w:rPr>
                <w:rFonts w:ascii="Arial" w:cs="Arial" w:eastAsia="Arial" w:hAnsi="Arial"/>
                <w:b/>
                <w:bCs/>
                <w:sz w:val="17"/>
                <w:szCs w:val="17"/>
              </w:rPr>
              <w:t xml:space="preserve">2 417 €</w:t>
            </w:r>
          </w:p>
        </w:tc>
        <w:tc>
          <w:tcPr>
            <w:tcW w:type="dxa" w:w="1448"/>
            <w:shd w:fill="DEEBF7" w:val="clear"/>
            <w:tcMar>
              <w:top w:type="dxa" w:w="40"/>
              <w:left w:type="dxa" w:w="80"/>
              <w:bottom w:type="dxa" w:w="40"/>
              <w:right w:type="dxa" w:w="80"/>
            </w:tcMar>
          </w:tcPr>
          <w:p>
            <w:pPr>
              <w:spacing w:after="0"/>
              <w:jc w:val="center"/>
            </w:pPr>
            <w:r>
              <w:rPr>
                <w:rFonts w:ascii="Arial" w:cs="Arial" w:eastAsia="Arial" w:hAnsi="Arial"/>
                <w:b/>
                <w:bCs/>
                <w:sz w:val="17"/>
                <w:szCs w:val="17"/>
              </w:rPr>
              <w:t xml:space="preserve">340 €</w:t>
            </w:r>
          </w:p>
        </w:tc>
        <w:tc>
          <w:tcPr>
            <w:tcW w:type="dxa" w:w="1069"/>
            <w:shd w:fill="DEEBF7" w:val="clear"/>
            <w:tcMar>
              <w:top w:type="dxa" w:w="40"/>
              <w:left w:type="dxa" w:w="80"/>
              <w:bottom w:type="dxa" w:w="40"/>
              <w:right w:type="dxa" w:w="80"/>
            </w:tcMar>
          </w:tcPr>
          <w:p>
            <w:pPr>
              <w:spacing w:after="0"/>
              <w:jc w:val="center"/>
            </w:pPr>
            <w:r>
              <w:rPr>
                <w:rFonts w:ascii="Arial" w:cs="Arial" w:eastAsia="Arial" w:hAnsi="Arial"/>
                <w:b/>
                <w:bCs/>
                <w:sz w:val="17"/>
                <w:szCs w:val="17"/>
              </w:rPr>
              <w:t xml:space="preserve">66 €</w:t>
            </w:r>
          </w:p>
        </w:tc>
      </w:tr>
      <w:tr>
        <w:tc>
          <w:tcPr>
            <w:tcW w:type="dxa" w:w="2451"/>
            <w:shd w:fill="F4F9FC" w:val="clear"/>
            <w:tcMar>
              <w:top w:type="dxa" w:w="40"/>
              <w:left w:type="dxa" w:w="80"/>
              <w:bottom w:type="dxa" w:w="40"/>
              <w:right w:type="dxa" w:w="80"/>
            </w:tcMar>
          </w:tcPr>
          <w:p>
            <w:pPr>
              <w:spacing w:after="0"/>
              <w:jc w:val="left"/>
            </w:pPr>
            <w:r>
              <w:rPr>
                <w:rFonts w:ascii="Arial" w:cs="Arial" w:eastAsia="Arial" w:hAnsi="Arial"/>
                <w:b w:val="false"/>
                <w:bCs w:val="false"/>
                <w:sz w:val="17"/>
                <w:szCs w:val="17"/>
              </w:rPr>
              <w:t xml:space="preserve">Clé au prorata des consommations</w:t>
            </w:r>
          </w:p>
        </w:tc>
        <w:tc>
          <w:tcPr>
            <w:tcW w:type="dxa" w:w="1448"/>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23 421 kWh</w:t>
            </w:r>
          </w:p>
        </w:tc>
        <w:tc>
          <w:tcPr>
            <w:tcW w:type="dxa" w:w="1170"/>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88,7 %</w:t>
            </w:r>
          </w:p>
        </w:tc>
        <w:tc>
          <w:tcPr>
            <w:tcW w:type="dxa" w:w="1392"/>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2 979 kWh</w:t>
            </w:r>
          </w:p>
        </w:tc>
        <w:tc>
          <w:tcPr>
            <w:tcW w:type="dxa" w:w="1448"/>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2 930 €</w:t>
            </w:r>
          </w:p>
        </w:tc>
        <w:tc>
          <w:tcPr>
            <w:tcW w:type="dxa" w:w="1448"/>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468 €</w:t>
            </w:r>
          </w:p>
        </w:tc>
        <w:tc>
          <w:tcPr>
            <w:tcW w:type="dxa" w:w="1069"/>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10 263 €</w:t>
            </w:r>
          </w:p>
        </w:tc>
      </w:tr>
      <w:tr>
        <w:tc>
          <w:tcPr>
            <w:tcW w:type="dxa" w:w="2451"/>
            <w:tcMar>
              <w:top w:type="dxa" w:w="40"/>
              <w:left w:type="dxa" w:w="80"/>
              <w:bottom w:type="dxa" w:w="40"/>
              <w:right w:type="dxa" w:w="80"/>
            </w:tcMar>
          </w:tcPr>
          <w:p>
            <w:pPr>
              <w:spacing w:after="0"/>
              <w:jc w:val="left"/>
            </w:pPr>
            <w:r>
              <w:rPr>
                <w:rFonts w:ascii="Arial" w:cs="Arial" w:eastAsia="Arial" w:hAnsi="Arial"/>
                <w:b w:val="false"/>
                <w:bCs w:val="false"/>
                <w:sz w:val="17"/>
                <w:szCs w:val="17"/>
              </w:rPr>
              <w:t xml:space="preserve">Ordre de priorité (maximisation)</w:t>
            </w:r>
          </w:p>
        </w:tc>
        <w:tc>
          <w:tcPr>
            <w:tcW w:type="dxa" w:w="1448"/>
            <w:tcMar>
              <w:top w:type="dxa" w:w="40"/>
              <w:left w:type="dxa" w:w="80"/>
              <w:bottom w:type="dxa" w:w="40"/>
              <w:right w:type="dxa" w:w="80"/>
            </w:tcMar>
          </w:tcPr>
          <w:p>
            <w:pPr>
              <w:spacing w:after="0"/>
              <w:jc w:val="center"/>
            </w:pPr>
            <w:r>
              <w:rPr>
                <w:rFonts w:ascii="Arial" w:cs="Arial" w:eastAsia="Arial" w:hAnsi="Arial"/>
                <w:b/>
                <w:bCs/>
                <w:sz w:val="17"/>
                <w:szCs w:val="17"/>
              </w:rPr>
              <w:t xml:space="preserve">25 350 kWh</w:t>
            </w:r>
          </w:p>
        </w:tc>
        <w:tc>
          <w:tcPr>
            <w:tcW w:type="dxa" w:w="1170"/>
            <w:tcMar>
              <w:top w:type="dxa" w:w="40"/>
              <w:left w:type="dxa" w:w="80"/>
              <w:bottom w:type="dxa" w:w="40"/>
              <w:right w:type="dxa" w:w="80"/>
            </w:tcMar>
          </w:tcPr>
          <w:p>
            <w:pPr>
              <w:spacing w:after="0"/>
              <w:jc w:val="center"/>
            </w:pPr>
            <w:r>
              <w:rPr>
                <w:rFonts w:ascii="Arial" w:cs="Arial" w:eastAsia="Arial" w:hAnsi="Arial"/>
                <w:b/>
                <w:bCs/>
                <w:sz w:val="17"/>
                <w:szCs w:val="17"/>
              </w:rPr>
              <w:t xml:space="preserve">96,0 %</w:t>
            </w:r>
          </w:p>
        </w:tc>
        <w:tc>
          <w:tcPr>
            <w:tcW w:type="dxa" w:w="1392"/>
            <w:tcMar>
              <w:top w:type="dxa" w:w="40"/>
              <w:left w:type="dxa" w:w="80"/>
              <w:bottom w:type="dxa" w:w="40"/>
              <w:right w:type="dxa" w:w="80"/>
            </w:tcMar>
          </w:tcPr>
          <w:p>
            <w:pPr>
              <w:spacing w:after="0"/>
              <w:jc w:val="center"/>
            </w:pPr>
            <w:r>
              <w:rPr>
                <w:rFonts w:ascii="Arial" w:cs="Arial" w:eastAsia="Arial" w:hAnsi="Arial"/>
                <w:b/>
                <w:bCs/>
                <w:sz w:val="17"/>
                <w:szCs w:val="17"/>
              </w:rPr>
              <w:t xml:space="preserve">1 050 kWh</w:t>
            </w:r>
          </w:p>
        </w:tc>
        <w:tc>
          <w:tcPr>
            <w:tcW w:type="dxa" w:w="1448"/>
            <w:tcMar>
              <w:top w:type="dxa" w:w="40"/>
              <w:left w:type="dxa" w:w="80"/>
              <w:bottom w:type="dxa" w:w="40"/>
              <w:right w:type="dxa" w:w="80"/>
            </w:tcMar>
          </w:tcPr>
          <w:p>
            <w:pPr>
              <w:spacing w:after="0"/>
              <w:jc w:val="center"/>
            </w:pPr>
            <w:r>
              <w:rPr>
                <w:rFonts w:ascii="Arial" w:cs="Arial" w:eastAsia="Arial" w:hAnsi="Arial"/>
                <w:b/>
                <w:bCs/>
                <w:sz w:val="17"/>
                <w:szCs w:val="17"/>
              </w:rPr>
              <w:t xml:space="preserve">3 084 €</w:t>
            </w:r>
          </w:p>
        </w:tc>
        <w:tc>
          <w:tcPr>
            <w:tcW w:type="dxa" w:w="1448"/>
            <w:tcMar>
              <w:top w:type="dxa" w:w="40"/>
              <w:left w:type="dxa" w:w="80"/>
              <w:bottom w:type="dxa" w:w="40"/>
              <w:right w:type="dxa" w:w="80"/>
            </w:tcMar>
          </w:tcPr>
          <w:p>
            <w:pPr>
              <w:spacing w:after="0"/>
              <w:jc w:val="center"/>
            </w:pPr>
            <w:r>
              <w:rPr>
                <w:rFonts w:ascii="Arial" w:cs="Arial" w:eastAsia="Arial" w:hAnsi="Arial"/>
                <w:b/>
                <w:bCs/>
                <w:sz w:val="17"/>
                <w:szCs w:val="17"/>
              </w:rPr>
              <w:t xml:space="preserve">507 €</w:t>
            </w:r>
          </w:p>
        </w:tc>
        <w:tc>
          <w:tcPr>
            <w:tcW w:type="dxa" w:w="1069"/>
            <w:tcMar>
              <w:top w:type="dxa" w:w="40"/>
              <w:left w:type="dxa" w:w="80"/>
              <w:bottom w:type="dxa" w:w="40"/>
              <w:right w:type="dxa" w:w="80"/>
            </w:tcMar>
          </w:tcPr>
          <w:p>
            <w:pPr>
              <w:spacing w:after="0"/>
              <w:jc w:val="center"/>
            </w:pPr>
            <w:r>
              <w:rPr>
                <w:rFonts w:ascii="Arial" w:cs="Arial" w:eastAsia="Arial" w:hAnsi="Arial"/>
                <w:b/>
                <w:bCs/>
                <w:sz w:val="17"/>
                <w:szCs w:val="17"/>
              </w:rPr>
              <w:t xml:space="preserve">14 049 €</w:t>
            </w:r>
          </w:p>
        </w:tc>
      </w:tr>
    </w:tbl>
    <w:p>
      <w:pPr>
        <w:spacing w:after="40" w:before="120"/>
      </w:pPr>
      <w:r>
        <w:drawing>
          <wp:inline distT="0" distB="0" distL="0" distR="0">
            <wp:extent cx="6619875"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619875" cy="2571750"/>
                    </a:xfrm>
                    <a:prstGeom prst="rect">
                      <a:avLst/>
                    </a:prstGeom>
                  </pic:spPr>
                </pic:pic>
              </a:graphicData>
            </a:graphic>
          </wp:inline>
        </w:drawing>
      </w:r>
    </w:p>
    <w:p>
      <w:pPr>
        <w:spacing w:after="160"/>
      </w:pPr>
      <w:r>
        <w:rPr>
          <w:rFonts w:ascii="Arial" w:cs="Arial" w:eastAsia="Arial" w:hAnsi="Arial"/>
          <w:i/>
          <w:iCs/>
          <w:color w:val="595959"/>
          <w:sz w:val="16"/>
          <w:szCs w:val="16"/>
        </w:rPr>
        <w:t xml:space="preserve">Production partagée ou perdue en surplus, selon le mode d'affectation retenu (année 1).</w:t>
      </w:r>
    </w:p>
    <w:p>
      <w:pPr>
        <w:pStyle w:val="ListParagraph"/>
        <w:numPr>
          <w:ilvl w:val="0"/>
          <w:numId w:val="1"/>
        </w:numPr>
        <w:spacing w:after="70"/>
        <w:jc w:val="both"/>
      </w:pPr>
      <w:r>
        <w:rPr>
          <w:rFonts w:ascii="Arial" w:cs="Arial" w:eastAsia="Arial" w:hAnsi="Arial"/>
          <w:b/>
          <w:bCs/>
          <w:sz w:val="18"/>
          <w:szCs w:val="18"/>
        </w:rPr>
        <w:t xml:space="preserve">Clé statique</w:t>
      </w:r>
      <w:r>
        <w:rPr>
          <w:rFonts w:ascii="Arial" w:cs="Arial" w:eastAsia="Arial" w:hAnsi="Arial"/>
          <w:sz w:val="18"/>
          <w:szCs w:val="18"/>
        </w:rPr>
        <w:t xml:space="preserve"> — des coefficients fixes, identiques à chaque pas de mesure. Simple et répandue, mais si un participant se voit affecter plus d'énergie qu'il ne peut absorber, le reliquat n'est pas réaffecté aux autres : il bascule en surplus collectif.</w:t>
      </w:r>
    </w:p>
    <w:p>
      <w:pPr>
        <w:pStyle w:val="ListParagraph"/>
        <w:numPr>
          <w:ilvl w:val="0"/>
          <w:numId w:val="1"/>
        </w:numPr>
        <w:spacing w:after="70"/>
        <w:jc w:val="both"/>
      </w:pPr>
      <w:r>
        <w:rPr>
          <w:rFonts w:ascii="Arial" w:cs="Arial" w:eastAsia="Arial" w:hAnsi="Arial"/>
          <w:b/>
          <w:bCs/>
          <w:sz w:val="18"/>
          <w:szCs w:val="18"/>
        </w:rPr>
        <w:t xml:space="preserve">Clé au prorata des consommations</w:t>
      </w:r>
      <w:r>
        <w:rPr>
          <w:rFonts w:ascii="Arial" w:cs="Arial" w:eastAsia="Arial" w:hAnsi="Arial"/>
          <w:sz w:val="18"/>
          <w:szCs w:val="18"/>
        </w:rPr>
        <w:t xml:space="preserve"> — fixe elle aussi, mais calculée au prorata des consommations annuelles. Elle épouse mieux le poids réel de chaque participant, sans s'adapter aux variations instantanées.</w:t>
      </w:r>
    </w:p>
    <w:p>
      <w:pPr>
        <w:pStyle w:val="ListParagraph"/>
        <w:numPr>
          <w:ilvl w:val="0"/>
          <w:numId w:val="1"/>
        </w:numPr>
        <w:spacing w:after="70"/>
        <w:jc w:val="both"/>
      </w:pPr>
      <w:r>
        <w:rPr>
          <w:rFonts w:ascii="Arial" w:cs="Arial" w:eastAsia="Arial" w:hAnsi="Arial"/>
          <w:b/>
          <w:bCs/>
          <w:sz w:val="18"/>
          <w:szCs w:val="18"/>
        </w:rPr>
        <w:t xml:space="preserve">Ordre de priorité (maximisation)</w:t>
      </w:r>
      <w:r>
        <w:rPr>
          <w:rFonts w:ascii="Arial" w:cs="Arial" w:eastAsia="Arial" w:hAnsi="Arial"/>
          <w:sz w:val="18"/>
          <w:szCs w:val="18"/>
        </w:rPr>
        <w:t xml:space="preserve"> — la production est affectée séquentiellement, chacun prenant ce qu'il peut absorber avant de laisser la place au suivant. C'est la logique de maximisation de l'autoconsommation introduite par le décret n° 2026-561 du 26 juin 2026, dont l'entrée en vigueur est prévue au 1er juillet 2027. Elle réduit le surplus, mais rend la répartition inégale : les derniers de la liste peuvent ne rien recevoir, ce qui pose une question d'équité relevant de la gouvernance de la PMO.</w:t>
      </w:r>
    </w:p>
    <w:p>
      <w:pPr>
        <w:pStyle w:val="Heading2"/>
        <w:spacing w:after="100" w:before="260"/>
      </w:pPr>
      <w:r>
        <w:rPr>
          <w:rFonts w:ascii="Arial" w:cs="Arial" w:eastAsia="Arial" w:hAnsi="Arial"/>
          <w:b/>
          <w:bCs/>
          <w:color w:val="0F4761"/>
          <w:sz w:val="22"/>
          <w:szCs w:val="22"/>
        </w:rPr>
        <w:t xml:space="preserve">8. Cadre réglementaire applicable</w:t>
      </w:r>
    </w:p>
    <w:p>
      <w:pPr>
        <w:pStyle w:val="ListParagraph"/>
        <w:numPr>
          <w:ilvl w:val="0"/>
          <w:numId w:val="1"/>
        </w:numPr>
        <w:spacing w:after="70"/>
        <w:jc w:val="both"/>
      </w:pPr>
      <w:r>
        <w:rPr>
          <w:rFonts w:ascii="Arial" w:cs="Arial" w:eastAsia="Arial" w:hAnsi="Arial"/>
          <w:b/>
          <w:bCs/>
          <w:sz w:val="18"/>
          <w:szCs w:val="18"/>
        </w:rPr>
        <w:t xml:space="preserve">Périmètre</w:t>
      </w:r>
      <w:r>
        <w:rPr>
          <w:rFonts w:ascii="Arial" w:cs="Arial" w:eastAsia="Arial" w:hAnsi="Arial"/>
          <w:sz w:val="18"/>
          <w:szCs w:val="18"/>
        </w:rPr>
        <w:t xml:space="preserve"> — 2 km au maximum entre les participants les plus éloignés. Dérogations : 10 km en communes rurales ou périurbaines, 20 km en communes rurales, 20 km si un participant est un service d'incendie et de secours, ou le territoire d'un EPCI à fiscalité propre.</w:t>
      </w:r>
    </w:p>
    <w:p>
      <w:pPr>
        <w:pStyle w:val="ListParagraph"/>
        <w:numPr>
          <w:ilvl w:val="0"/>
          <w:numId w:val="1"/>
        </w:numPr>
        <w:spacing w:after="70"/>
        <w:jc w:val="both"/>
      </w:pPr>
      <w:r>
        <w:rPr>
          <w:rFonts w:ascii="Arial" w:cs="Arial" w:eastAsia="Arial" w:hAnsi="Arial"/>
          <w:b/>
          <w:bCs/>
          <w:sz w:val="18"/>
          <w:szCs w:val="18"/>
        </w:rPr>
        <w:t xml:space="preserve">Puissance</w:t>
      </w:r>
      <w:r>
        <w:rPr>
          <w:rFonts w:ascii="Arial" w:cs="Arial" w:eastAsia="Arial" w:hAnsi="Arial"/>
          <w:sz w:val="18"/>
          <w:szCs w:val="18"/>
        </w:rPr>
        <w:t xml:space="preserve"> — inférieure à 5 MW pour une opération étendue, jusqu'à 10 MW pour certaines opérations à l'échelle d'un EPCI.</w:t>
      </w:r>
    </w:p>
    <w:p>
      <w:pPr>
        <w:pStyle w:val="ListParagraph"/>
        <w:numPr>
          <w:ilvl w:val="0"/>
          <w:numId w:val="1"/>
        </w:numPr>
        <w:spacing w:after="70"/>
        <w:jc w:val="both"/>
      </w:pPr>
      <w:r>
        <w:rPr>
          <w:rFonts w:ascii="Arial" w:cs="Arial" w:eastAsia="Arial" w:hAnsi="Arial"/>
          <w:b/>
          <w:bCs/>
          <w:sz w:val="18"/>
          <w:szCs w:val="18"/>
        </w:rPr>
        <w:t xml:space="preserve">Répartition</w:t>
      </w:r>
      <w:r>
        <w:rPr>
          <w:rFonts w:ascii="Arial" w:cs="Arial" w:eastAsia="Arial" w:hAnsi="Arial"/>
          <w:sz w:val="18"/>
          <w:szCs w:val="18"/>
        </w:rPr>
        <w:t xml:space="preserve"> — décret n° 2026-561 du 26 juin 2026, rectifié le 5 juillet 2026 : affectation prioritaire aux consommateurs dans la limite de leur consommation mesurée, encadrement du calendrier de transmission des coefficients. Application échelonnée entre le 1er juillet 2026 et le 1er juillet 2027.</w:t>
      </w:r>
    </w:p>
    <w:p>
      <w:pPr>
        <w:pStyle w:val="ListParagraph"/>
        <w:numPr>
          <w:ilvl w:val="0"/>
          <w:numId w:val="1"/>
        </w:numPr>
        <w:spacing w:after="70"/>
        <w:jc w:val="both"/>
      </w:pPr>
      <w:r>
        <w:rPr>
          <w:rFonts w:ascii="Arial" w:cs="Arial" w:eastAsia="Arial" w:hAnsi="Arial"/>
          <w:b/>
          <w:bCs/>
          <w:sz w:val="18"/>
          <w:szCs w:val="18"/>
        </w:rPr>
        <w:t xml:space="preserve">Accise sur l'électricité</w:t>
      </w:r>
      <w:r>
        <w:rPr>
          <w:rFonts w:ascii="Arial" w:cs="Arial" w:eastAsia="Arial" w:hAnsi="Arial"/>
          <w:sz w:val="18"/>
          <w:szCs w:val="18"/>
        </w:rPr>
        <w:t xml:space="preserve"> — tarif particulier de 0 €/MWh depuis le 1er mars 2025 pour les kWh affectés, pour une installation de moins de 1 MWc (articles L. 312-87 et L. 312-79 du CIBS). C'est aujourd'hui le principal moteur économique du modèle.</w:t>
      </w:r>
    </w:p>
    <w:p>
      <w:pPr>
        <w:pStyle w:val="ListParagraph"/>
        <w:numPr>
          <w:ilvl w:val="0"/>
          <w:numId w:val="1"/>
        </w:numPr>
        <w:spacing w:after="70"/>
        <w:jc w:val="both"/>
      </w:pPr>
      <w:r>
        <w:rPr>
          <w:rFonts w:ascii="Arial" w:cs="Arial" w:eastAsia="Arial" w:hAnsi="Arial"/>
          <w:b/>
          <w:bCs/>
          <w:sz w:val="18"/>
          <w:szCs w:val="18"/>
        </w:rPr>
        <w:t xml:space="preserve">TURPE</w:t>
      </w:r>
      <w:r>
        <w:rPr>
          <w:rFonts w:ascii="Arial" w:cs="Arial" w:eastAsia="Arial" w:hAnsi="Arial"/>
          <w:sz w:val="18"/>
          <w:szCs w:val="18"/>
        </w:rPr>
        <w:t xml:space="preserve"> — systématiquement prélevé sur tout kWh soutiré, y compris affecté, même cédé gratuitement. Une grille spécifique existe sur option (article L. 315-3), réservée sous le TURPE 7 aux opérations dont tous les participants sont raccordés en aval du même poste HTA/BT. Une composante de gestion majorée s'applique à tous les participants.</w:t>
      </w:r>
    </w:p>
    <w:p>
      <w:r>
        <w:br w:type="page"/>
      </w:r>
    </w:p>
    <w:p>
      <w:pPr>
        <w:pStyle w:val="Heading2"/>
        <w:spacing w:after="100" w:before="260"/>
      </w:pPr>
      <w:r>
        <w:rPr>
          <w:rFonts w:ascii="Arial" w:cs="Arial" w:eastAsia="Arial" w:hAnsi="Arial"/>
          <w:b/>
          <w:bCs/>
          <w:color w:val="0F4761"/>
          <w:sz w:val="22"/>
          <w:szCs w:val="22"/>
        </w:rPr>
        <w:t xml:space="preserve">9. Détail année par année</w:t>
      </w:r>
    </w:p>
    <w:tbl>
      <w:tblPr>
        <w:tblW w:type="dxa" w:w="10426"/>
        <w:tblBorders>
          <w:top w:val="single" w:color="9DB8C9" w:sz="4"/>
          <w:left w:val="single" w:color="9DB8C9" w:sz="4"/>
          <w:bottom w:val="single" w:color="9DB8C9" w:sz="4"/>
          <w:right w:val="single" w:color="9DB8C9" w:sz="4"/>
          <w:insideH w:val="single" w:color="9DB8C9" w:sz="4"/>
          <w:insideV w:val="single" w:color="9DB8C9" w:sz="4"/>
        </w:tblBorders>
      </w:tblPr>
      <w:tblGrid>
        <w:gridCol w:w="869"/>
        <w:gridCol w:w="1481"/>
        <w:gridCol w:w="1481"/>
        <w:gridCol w:w="1314"/>
        <w:gridCol w:w="1259"/>
        <w:gridCol w:w="1259"/>
        <w:gridCol w:w="1782"/>
        <w:gridCol w:w="981"/>
      </w:tblGrid>
      <w:tr>
        <w:trPr>
          <w:tblHeader/>
        </w:trPr>
        <w:tc>
          <w:tcPr>
            <w:tcW w:type="dxa" w:w="869"/>
            <w:shd w:fill="DEEBF7" w:val="clear"/>
            <w:tcMar>
              <w:top w:type="dxa" w:w="40"/>
              <w:left w:type="dxa" w:w="80"/>
              <w:bottom w:type="dxa" w:w="40"/>
              <w:right w:type="dxa" w:w="80"/>
            </w:tcMar>
          </w:tcPr>
          <w:p>
            <w:pPr>
              <w:spacing w:after="0"/>
              <w:jc w:val="center"/>
            </w:pPr>
            <w:r>
              <w:rPr>
                <w:rFonts w:ascii="Arial" w:cs="Arial" w:eastAsia="Arial" w:hAnsi="Arial"/>
                <w:b/>
                <w:bCs/>
                <w:color w:val="0F4761"/>
                <w:sz w:val="17"/>
                <w:szCs w:val="17"/>
              </w:rPr>
              <w:t xml:space="preserve">Année</w:t>
            </w:r>
          </w:p>
        </w:tc>
        <w:tc>
          <w:tcPr>
            <w:tcW w:type="dxa" w:w="1481"/>
            <w:shd w:fill="DEEBF7" w:val="clear"/>
            <w:tcMar>
              <w:top w:type="dxa" w:w="40"/>
              <w:left w:type="dxa" w:w="80"/>
              <w:bottom w:type="dxa" w:w="40"/>
              <w:right w:type="dxa" w:w="80"/>
            </w:tcMar>
          </w:tcPr>
          <w:p>
            <w:pPr>
              <w:spacing w:after="0"/>
              <w:jc w:val="center"/>
            </w:pPr>
            <w:r>
              <w:rPr>
                <w:rFonts w:ascii="Arial" w:cs="Arial" w:eastAsia="Arial" w:hAnsi="Arial"/>
                <w:b/>
                <w:bCs/>
                <w:color w:val="0F4761"/>
                <w:sz w:val="17"/>
                <w:szCs w:val="17"/>
              </w:rPr>
              <w:t xml:space="preserve">Production</w:t>
            </w:r>
          </w:p>
        </w:tc>
        <w:tc>
          <w:tcPr>
            <w:tcW w:type="dxa" w:w="1481"/>
            <w:shd w:fill="DEEBF7" w:val="clear"/>
            <w:tcMar>
              <w:top w:type="dxa" w:w="40"/>
              <w:left w:type="dxa" w:w="80"/>
              <w:bottom w:type="dxa" w:w="40"/>
              <w:right w:type="dxa" w:w="80"/>
            </w:tcMar>
          </w:tcPr>
          <w:p>
            <w:pPr>
              <w:spacing w:after="0"/>
              <w:jc w:val="center"/>
            </w:pPr>
            <w:r>
              <w:rPr>
                <w:rFonts w:ascii="Arial" w:cs="Arial" w:eastAsia="Arial" w:hAnsi="Arial"/>
                <w:b/>
                <w:bCs/>
                <w:color w:val="0F4761"/>
                <w:sz w:val="17"/>
                <w:szCs w:val="17"/>
              </w:rPr>
              <w:t xml:space="preserve">Énergie ACC</w:t>
            </w:r>
          </w:p>
        </w:tc>
        <w:tc>
          <w:tcPr>
            <w:tcW w:type="dxa" w:w="1314"/>
            <w:shd w:fill="DEEBF7" w:val="clear"/>
            <w:tcMar>
              <w:top w:type="dxa" w:w="40"/>
              <w:left w:type="dxa" w:w="80"/>
              <w:bottom w:type="dxa" w:w="40"/>
              <w:right w:type="dxa" w:w="80"/>
            </w:tcMar>
          </w:tcPr>
          <w:p>
            <w:pPr>
              <w:spacing w:after="0"/>
              <w:jc w:val="center"/>
            </w:pPr>
            <w:r>
              <w:rPr>
                <w:rFonts w:ascii="Arial" w:cs="Arial" w:eastAsia="Arial" w:hAnsi="Arial"/>
                <w:b/>
                <w:bCs/>
                <w:color w:val="0F4761"/>
                <w:sz w:val="17"/>
                <w:szCs w:val="17"/>
              </w:rPr>
              <w:t xml:space="preserve">Surplus</w:t>
            </w:r>
          </w:p>
        </w:tc>
        <w:tc>
          <w:tcPr>
            <w:tcW w:type="dxa" w:w="1259"/>
            <w:shd w:fill="DEEBF7" w:val="clear"/>
            <w:tcMar>
              <w:top w:type="dxa" w:w="40"/>
              <w:left w:type="dxa" w:w="80"/>
              <w:bottom w:type="dxa" w:w="40"/>
              <w:right w:type="dxa" w:w="80"/>
            </w:tcMar>
          </w:tcPr>
          <w:p>
            <w:pPr>
              <w:spacing w:after="0"/>
              <w:jc w:val="center"/>
            </w:pPr>
            <w:r>
              <w:rPr>
                <w:rFonts w:ascii="Arial" w:cs="Arial" w:eastAsia="Arial" w:hAnsi="Arial"/>
                <w:b/>
                <w:bCs/>
                <w:color w:val="0F4761"/>
                <w:sz w:val="17"/>
                <w:szCs w:val="17"/>
              </w:rPr>
              <w:t xml:space="preserve">Recettes</w:t>
            </w:r>
          </w:p>
        </w:tc>
        <w:tc>
          <w:tcPr>
            <w:tcW w:type="dxa" w:w="1259"/>
            <w:shd w:fill="DEEBF7" w:val="clear"/>
            <w:tcMar>
              <w:top w:type="dxa" w:w="40"/>
              <w:left w:type="dxa" w:w="80"/>
              <w:bottom w:type="dxa" w:w="40"/>
              <w:right w:type="dxa" w:w="80"/>
            </w:tcMar>
          </w:tcPr>
          <w:p>
            <w:pPr>
              <w:spacing w:after="0"/>
              <w:jc w:val="center"/>
            </w:pPr>
            <w:r>
              <w:rPr>
                <w:rFonts w:ascii="Arial" w:cs="Arial" w:eastAsia="Arial" w:hAnsi="Arial"/>
                <w:b/>
                <w:bCs/>
                <w:color w:val="0F4761"/>
                <w:sz w:val="17"/>
                <w:szCs w:val="17"/>
              </w:rPr>
              <w:t xml:space="preserve">Flux net</w:t>
            </w:r>
          </w:p>
        </w:tc>
        <w:tc>
          <w:tcPr>
            <w:tcW w:type="dxa" w:w="1782"/>
            <w:shd w:fill="DEEBF7" w:val="clear"/>
            <w:tcMar>
              <w:top w:type="dxa" w:w="40"/>
              <w:left w:type="dxa" w:w="80"/>
              <w:bottom w:type="dxa" w:w="40"/>
              <w:right w:type="dxa" w:w="80"/>
            </w:tcMar>
          </w:tcPr>
          <w:p>
            <w:pPr>
              <w:spacing w:after="0"/>
              <w:jc w:val="center"/>
            </w:pPr>
            <w:r>
              <w:rPr>
                <w:rFonts w:ascii="Arial" w:cs="Arial" w:eastAsia="Arial" w:hAnsi="Arial"/>
                <w:b/>
                <w:bCs/>
                <w:color w:val="0F4761"/>
                <w:sz w:val="17"/>
                <w:szCs w:val="17"/>
              </w:rPr>
              <w:t xml:space="preserve">Trésorerie cumulée</w:t>
            </w:r>
          </w:p>
        </w:tc>
        <w:tc>
          <w:tcPr>
            <w:tcW w:type="dxa" w:w="981"/>
            <w:shd w:fill="DEEBF7" w:val="clear"/>
            <w:tcMar>
              <w:top w:type="dxa" w:w="40"/>
              <w:left w:type="dxa" w:w="80"/>
              <w:bottom w:type="dxa" w:w="40"/>
              <w:right w:type="dxa" w:w="80"/>
            </w:tcMar>
          </w:tcPr>
          <w:p>
            <w:pPr>
              <w:spacing w:after="0"/>
              <w:jc w:val="center"/>
            </w:pPr>
            <w:r>
              <w:rPr>
                <w:rFonts w:ascii="Arial" w:cs="Arial" w:eastAsia="Arial" w:hAnsi="Arial"/>
                <w:b/>
                <w:bCs/>
                <w:color w:val="0F4761"/>
                <w:sz w:val="17"/>
                <w:szCs w:val="17"/>
              </w:rPr>
              <w:t xml:space="preserve">Écon. conso.</w:t>
            </w:r>
          </w:p>
        </w:tc>
      </w:tr>
      <w:tr>
        <w:tc>
          <w:tcPr>
            <w:tcW w:type="dxa" w:w="869"/>
            <w:tcMar>
              <w:top w:type="dxa" w:w="40"/>
              <w:left w:type="dxa" w:w="80"/>
              <w:bottom w:type="dxa" w:w="40"/>
              <w:right w:type="dxa" w:w="80"/>
            </w:tcMar>
          </w:tcPr>
          <w:p>
            <w:pPr>
              <w:spacing w:after="0"/>
              <w:jc w:val="center"/>
            </w:pPr>
            <w:r>
              <w:rPr>
                <w:rFonts w:ascii="Arial" w:cs="Arial" w:eastAsia="Arial" w:hAnsi="Arial"/>
                <w:b/>
                <w:bCs/>
                <w:sz w:val="17"/>
                <w:szCs w:val="17"/>
              </w:rPr>
              <w:t xml:space="preserve">1</w:t>
            </w:r>
          </w:p>
        </w:tc>
        <w:tc>
          <w:tcPr>
            <w:tcW w:type="dxa" w:w="1481"/>
            <w:tcMar>
              <w:top w:type="dxa" w:w="40"/>
              <w:left w:type="dxa" w:w="80"/>
              <w:bottom w:type="dxa" w:w="40"/>
              <w:right w:type="dxa" w:w="80"/>
            </w:tcMar>
          </w:tcPr>
          <w:p>
            <w:pPr>
              <w:spacing w:after="0"/>
              <w:jc w:val="center"/>
            </w:pPr>
            <w:r>
              <w:rPr>
                <w:rFonts w:ascii="Arial" w:cs="Arial" w:eastAsia="Arial" w:hAnsi="Arial"/>
                <w:b/>
                <w:bCs/>
                <w:sz w:val="17"/>
                <w:szCs w:val="17"/>
              </w:rPr>
              <w:t xml:space="preserve">26 400 kWh</w:t>
            </w:r>
          </w:p>
        </w:tc>
        <w:tc>
          <w:tcPr>
            <w:tcW w:type="dxa" w:w="1481"/>
            <w:tcMar>
              <w:top w:type="dxa" w:w="40"/>
              <w:left w:type="dxa" w:w="80"/>
              <w:bottom w:type="dxa" w:w="40"/>
              <w:right w:type="dxa" w:w="80"/>
            </w:tcMar>
          </w:tcPr>
          <w:p>
            <w:pPr>
              <w:spacing w:after="0"/>
              <w:jc w:val="center"/>
            </w:pPr>
            <w:r>
              <w:rPr>
                <w:rFonts w:ascii="Arial" w:cs="Arial" w:eastAsia="Arial" w:hAnsi="Arial"/>
                <w:b/>
                <w:bCs/>
                <w:sz w:val="17"/>
                <w:szCs w:val="17"/>
              </w:rPr>
              <w:t xml:space="preserve">17 010 kWh</w:t>
            </w:r>
          </w:p>
        </w:tc>
        <w:tc>
          <w:tcPr>
            <w:tcW w:type="dxa" w:w="1314"/>
            <w:tcMar>
              <w:top w:type="dxa" w:w="40"/>
              <w:left w:type="dxa" w:w="80"/>
              <w:bottom w:type="dxa" w:w="40"/>
              <w:right w:type="dxa" w:w="80"/>
            </w:tcMar>
          </w:tcPr>
          <w:p>
            <w:pPr>
              <w:spacing w:after="0"/>
              <w:jc w:val="center"/>
            </w:pPr>
            <w:r>
              <w:rPr>
                <w:rFonts w:ascii="Arial" w:cs="Arial" w:eastAsia="Arial" w:hAnsi="Arial"/>
                <w:b/>
                <w:bCs/>
                <w:sz w:val="17"/>
                <w:szCs w:val="17"/>
              </w:rPr>
              <w:t xml:space="preserve">9 390 kWh</w:t>
            </w:r>
          </w:p>
        </w:tc>
        <w:tc>
          <w:tcPr>
            <w:tcW w:type="dxa" w:w="1259"/>
            <w:tcMar>
              <w:top w:type="dxa" w:w="40"/>
              <w:left w:type="dxa" w:w="80"/>
              <w:bottom w:type="dxa" w:w="40"/>
              <w:right w:type="dxa" w:w="80"/>
            </w:tcMar>
          </w:tcPr>
          <w:p>
            <w:pPr>
              <w:spacing w:after="0"/>
              <w:jc w:val="center"/>
            </w:pPr>
            <w:r>
              <w:rPr>
                <w:rFonts w:ascii="Arial" w:cs="Arial" w:eastAsia="Arial" w:hAnsi="Arial"/>
                <w:b/>
                <w:bCs/>
                <w:sz w:val="17"/>
                <w:szCs w:val="17"/>
              </w:rPr>
              <w:t xml:space="preserve">2 417 €</w:t>
            </w:r>
          </w:p>
        </w:tc>
        <w:tc>
          <w:tcPr>
            <w:tcW w:type="dxa" w:w="1259"/>
            <w:tcMar>
              <w:top w:type="dxa" w:w="40"/>
              <w:left w:type="dxa" w:w="80"/>
              <w:bottom w:type="dxa" w:w="40"/>
              <w:right w:type="dxa" w:w="80"/>
            </w:tcMar>
          </w:tcPr>
          <w:p>
            <w:pPr>
              <w:spacing w:after="0"/>
              <w:jc w:val="center"/>
            </w:pPr>
            <w:r>
              <w:rPr>
                <w:rFonts w:ascii="Arial" w:cs="Arial" w:eastAsia="Arial" w:hAnsi="Arial"/>
                <w:b/>
                <w:bCs/>
                <w:sz w:val="17"/>
                <w:szCs w:val="17"/>
              </w:rPr>
              <w:t xml:space="preserve">837 €</w:t>
            </w:r>
          </w:p>
        </w:tc>
        <w:tc>
          <w:tcPr>
            <w:tcW w:type="dxa" w:w="1782"/>
            <w:tcMar>
              <w:top w:type="dxa" w:w="40"/>
              <w:left w:type="dxa" w:w="80"/>
              <w:bottom w:type="dxa" w:w="40"/>
              <w:right w:type="dxa" w:w="80"/>
            </w:tcMar>
          </w:tcPr>
          <w:p>
            <w:pPr>
              <w:spacing w:after="0"/>
              <w:jc w:val="center"/>
            </w:pPr>
            <w:r>
              <w:rPr>
                <w:rFonts w:ascii="Arial" w:cs="Arial" w:eastAsia="Arial" w:hAnsi="Arial"/>
                <w:b/>
                <w:bCs/>
                <w:sz w:val="17"/>
                <w:szCs w:val="17"/>
              </w:rPr>
              <w:t xml:space="preserve">-17 763 €</w:t>
            </w:r>
          </w:p>
        </w:tc>
        <w:tc>
          <w:tcPr>
            <w:tcW w:type="dxa" w:w="981"/>
            <w:tcMar>
              <w:top w:type="dxa" w:w="40"/>
              <w:left w:type="dxa" w:w="80"/>
              <w:bottom w:type="dxa" w:w="40"/>
              <w:right w:type="dxa" w:w="80"/>
            </w:tcMar>
          </w:tcPr>
          <w:p>
            <w:pPr>
              <w:spacing w:after="0"/>
              <w:jc w:val="center"/>
            </w:pPr>
            <w:r>
              <w:rPr>
                <w:rFonts w:ascii="Arial" w:cs="Arial" w:eastAsia="Arial" w:hAnsi="Arial"/>
                <w:b/>
                <w:bCs/>
                <w:sz w:val="17"/>
                <w:szCs w:val="17"/>
              </w:rPr>
              <w:t xml:space="preserve">340 €</w:t>
            </w:r>
          </w:p>
        </w:tc>
      </w:tr>
      <w:tr>
        <w:tc>
          <w:tcPr>
            <w:tcW w:type="dxa" w:w="869"/>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2</w:t>
            </w:r>
          </w:p>
        </w:tc>
        <w:tc>
          <w:tcPr>
            <w:tcW w:type="dxa" w:w="1481"/>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26 268 kWh</w:t>
            </w:r>
          </w:p>
        </w:tc>
        <w:tc>
          <w:tcPr>
            <w:tcW w:type="dxa" w:w="1481"/>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16 957 kWh</w:t>
            </w:r>
          </w:p>
        </w:tc>
        <w:tc>
          <w:tcPr>
            <w:tcW w:type="dxa" w:w="1314"/>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9 311 kWh</w:t>
            </w:r>
          </w:p>
        </w:tc>
        <w:tc>
          <w:tcPr>
            <w:tcW w:type="dxa" w:w="1259"/>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2 448 €</w:t>
            </w:r>
          </w:p>
        </w:tc>
        <w:tc>
          <w:tcPr>
            <w:tcW w:type="dxa" w:w="1259"/>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868 €</w:t>
            </w:r>
          </w:p>
        </w:tc>
        <w:tc>
          <w:tcPr>
            <w:tcW w:type="dxa" w:w="1782"/>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-16 895 €</w:t>
            </w:r>
          </w:p>
        </w:tc>
        <w:tc>
          <w:tcPr>
            <w:tcW w:type="dxa" w:w="981"/>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397 €</w:t>
            </w:r>
          </w:p>
        </w:tc>
      </w:tr>
      <w:tr>
        <w:tc>
          <w:tcPr>
            <w:tcW w:type="dxa" w:w="869"/>
            <w:tcMar>
              <w:top w:type="dxa" w:w="40"/>
              <w:left w:type="dxa" w:w="80"/>
              <w:bottom w:type="dxa" w:w="40"/>
              <w:right w:type="dxa" w:w="80"/>
            </w:tcMar>
          </w:tcPr>
          <w:p>
            <w:pPr>
              <w:spacing w:after="0"/>
              <w:jc w:val="center"/>
            </w:pPr>
            <w:r>
              <w:rPr>
                <w:rFonts w:ascii="Arial" w:cs="Arial" w:eastAsia="Arial" w:hAnsi="Arial"/>
                <w:b/>
                <w:bCs/>
                <w:sz w:val="17"/>
                <w:szCs w:val="17"/>
              </w:rPr>
              <w:t xml:space="preserve">3</w:t>
            </w:r>
          </w:p>
        </w:tc>
        <w:tc>
          <w:tcPr>
            <w:tcW w:type="dxa" w:w="1481"/>
            <w:tcMar>
              <w:top w:type="dxa" w:w="40"/>
              <w:left w:type="dxa" w:w="80"/>
              <w:bottom w:type="dxa" w:w="40"/>
              <w:right w:type="dxa" w:w="80"/>
            </w:tcMar>
          </w:tcPr>
          <w:p>
            <w:pPr>
              <w:spacing w:after="0"/>
              <w:jc w:val="center"/>
            </w:pPr>
            <w:r>
              <w:rPr>
                <w:rFonts w:ascii="Arial" w:cs="Arial" w:eastAsia="Arial" w:hAnsi="Arial"/>
                <w:b/>
                <w:bCs/>
                <w:sz w:val="17"/>
                <w:szCs w:val="17"/>
              </w:rPr>
              <w:t xml:space="preserve">26 137 kWh</w:t>
            </w:r>
          </w:p>
        </w:tc>
        <w:tc>
          <w:tcPr>
            <w:tcW w:type="dxa" w:w="1481"/>
            <w:tcMar>
              <w:top w:type="dxa" w:w="40"/>
              <w:left w:type="dxa" w:w="80"/>
              <w:bottom w:type="dxa" w:w="40"/>
              <w:right w:type="dxa" w:w="80"/>
            </w:tcMar>
          </w:tcPr>
          <w:p>
            <w:pPr>
              <w:spacing w:after="0"/>
              <w:jc w:val="center"/>
            </w:pPr>
            <w:r>
              <w:rPr>
                <w:rFonts w:ascii="Arial" w:cs="Arial" w:eastAsia="Arial" w:hAnsi="Arial"/>
                <w:b/>
                <w:bCs/>
                <w:sz w:val="17"/>
                <w:szCs w:val="17"/>
              </w:rPr>
              <w:t xml:space="preserve">16 905 kWh</w:t>
            </w:r>
          </w:p>
        </w:tc>
        <w:tc>
          <w:tcPr>
            <w:tcW w:type="dxa" w:w="1314"/>
            <w:tcMar>
              <w:top w:type="dxa" w:w="40"/>
              <w:left w:type="dxa" w:w="80"/>
              <w:bottom w:type="dxa" w:w="40"/>
              <w:right w:type="dxa" w:w="80"/>
            </w:tcMar>
          </w:tcPr>
          <w:p>
            <w:pPr>
              <w:spacing w:after="0"/>
              <w:jc w:val="center"/>
            </w:pPr>
            <w:r>
              <w:rPr>
                <w:rFonts w:ascii="Arial" w:cs="Arial" w:eastAsia="Arial" w:hAnsi="Arial"/>
                <w:b/>
                <w:bCs/>
                <w:sz w:val="17"/>
                <w:szCs w:val="17"/>
              </w:rPr>
              <w:t xml:space="preserve">9 232 kWh</w:t>
            </w:r>
          </w:p>
        </w:tc>
        <w:tc>
          <w:tcPr>
            <w:tcW w:type="dxa" w:w="1259"/>
            <w:tcMar>
              <w:top w:type="dxa" w:w="40"/>
              <w:left w:type="dxa" w:w="80"/>
              <w:bottom w:type="dxa" w:w="40"/>
              <w:right w:type="dxa" w:w="80"/>
            </w:tcMar>
          </w:tcPr>
          <w:p>
            <w:pPr>
              <w:spacing w:after="0"/>
              <w:jc w:val="center"/>
            </w:pPr>
            <w:r>
              <w:rPr>
                <w:rFonts w:ascii="Arial" w:cs="Arial" w:eastAsia="Arial" w:hAnsi="Arial"/>
                <w:b/>
                <w:bCs/>
                <w:sz w:val="17"/>
                <w:szCs w:val="17"/>
              </w:rPr>
              <w:t xml:space="preserve">2 480 €</w:t>
            </w:r>
          </w:p>
        </w:tc>
        <w:tc>
          <w:tcPr>
            <w:tcW w:type="dxa" w:w="1259"/>
            <w:tcMar>
              <w:top w:type="dxa" w:w="40"/>
              <w:left w:type="dxa" w:w="80"/>
              <w:bottom w:type="dxa" w:w="40"/>
              <w:right w:type="dxa" w:w="80"/>
            </w:tcMar>
          </w:tcPr>
          <w:p>
            <w:pPr>
              <w:spacing w:after="0"/>
              <w:jc w:val="center"/>
            </w:pPr>
            <w:r>
              <w:rPr>
                <w:rFonts w:ascii="Arial" w:cs="Arial" w:eastAsia="Arial" w:hAnsi="Arial"/>
                <w:b/>
                <w:bCs/>
                <w:sz w:val="17"/>
                <w:szCs w:val="17"/>
              </w:rPr>
              <w:t xml:space="preserve">900 €</w:t>
            </w:r>
          </w:p>
        </w:tc>
        <w:tc>
          <w:tcPr>
            <w:tcW w:type="dxa" w:w="1782"/>
            <w:tcMar>
              <w:top w:type="dxa" w:w="40"/>
              <w:left w:type="dxa" w:w="80"/>
              <w:bottom w:type="dxa" w:w="40"/>
              <w:right w:type="dxa" w:w="80"/>
            </w:tcMar>
          </w:tcPr>
          <w:p>
            <w:pPr>
              <w:spacing w:after="0"/>
              <w:jc w:val="center"/>
            </w:pPr>
            <w:r>
              <w:rPr>
                <w:rFonts w:ascii="Arial" w:cs="Arial" w:eastAsia="Arial" w:hAnsi="Arial"/>
                <w:b/>
                <w:bCs/>
                <w:sz w:val="17"/>
                <w:szCs w:val="17"/>
              </w:rPr>
              <w:t xml:space="preserve">-15 995 €</w:t>
            </w:r>
          </w:p>
        </w:tc>
        <w:tc>
          <w:tcPr>
            <w:tcW w:type="dxa" w:w="981"/>
            <w:tcMar>
              <w:top w:type="dxa" w:w="40"/>
              <w:left w:type="dxa" w:w="80"/>
              <w:bottom w:type="dxa" w:w="40"/>
              <w:right w:type="dxa" w:w="80"/>
            </w:tcMar>
          </w:tcPr>
          <w:p>
            <w:pPr>
              <w:spacing w:after="0"/>
              <w:jc w:val="center"/>
            </w:pPr>
            <w:r>
              <w:rPr>
                <w:rFonts w:ascii="Arial" w:cs="Arial" w:eastAsia="Arial" w:hAnsi="Arial"/>
                <w:b/>
                <w:bCs/>
                <w:sz w:val="17"/>
                <w:szCs w:val="17"/>
              </w:rPr>
              <w:t xml:space="preserve">456 €</w:t>
            </w:r>
          </w:p>
        </w:tc>
      </w:tr>
      <w:tr>
        <w:tc>
          <w:tcPr>
            <w:tcW w:type="dxa" w:w="869"/>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4</w:t>
            </w:r>
          </w:p>
        </w:tc>
        <w:tc>
          <w:tcPr>
            <w:tcW w:type="dxa" w:w="1481"/>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26 006 kWh</w:t>
            </w:r>
          </w:p>
        </w:tc>
        <w:tc>
          <w:tcPr>
            <w:tcW w:type="dxa" w:w="1481"/>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16 852 kWh</w:t>
            </w:r>
          </w:p>
        </w:tc>
        <w:tc>
          <w:tcPr>
            <w:tcW w:type="dxa" w:w="1314"/>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9 154 kWh</w:t>
            </w:r>
          </w:p>
        </w:tc>
        <w:tc>
          <w:tcPr>
            <w:tcW w:type="dxa" w:w="1259"/>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2 512 €</w:t>
            </w:r>
          </w:p>
        </w:tc>
        <w:tc>
          <w:tcPr>
            <w:tcW w:type="dxa" w:w="1259"/>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932 €</w:t>
            </w:r>
          </w:p>
        </w:tc>
        <w:tc>
          <w:tcPr>
            <w:tcW w:type="dxa" w:w="1782"/>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-15 063 €</w:t>
            </w:r>
          </w:p>
        </w:tc>
        <w:tc>
          <w:tcPr>
            <w:tcW w:type="dxa" w:w="981"/>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516 €</w:t>
            </w:r>
          </w:p>
        </w:tc>
      </w:tr>
      <w:tr>
        <w:tc>
          <w:tcPr>
            <w:tcW w:type="dxa" w:w="869"/>
            <w:tcMar>
              <w:top w:type="dxa" w:w="40"/>
              <w:left w:type="dxa" w:w="80"/>
              <w:bottom w:type="dxa" w:w="40"/>
              <w:right w:type="dxa" w:w="80"/>
            </w:tcMar>
          </w:tcPr>
          <w:p>
            <w:pPr>
              <w:spacing w:after="0"/>
              <w:jc w:val="center"/>
            </w:pPr>
            <w:r>
              <w:rPr>
                <w:rFonts w:ascii="Arial" w:cs="Arial" w:eastAsia="Arial" w:hAnsi="Arial"/>
                <w:b/>
                <w:bCs/>
                <w:sz w:val="17"/>
                <w:szCs w:val="17"/>
              </w:rPr>
              <w:t xml:space="preserve">5</w:t>
            </w:r>
          </w:p>
        </w:tc>
        <w:tc>
          <w:tcPr>
            <w:tcW w:type="dxa" w:w="1481"/>
            <w:tcMar>
              <w:top w:type="dxa" w:w="40"/>
              <w:left w:type="dxa" w:w="80"/>
              <w:bottom w:type="dxa" w:w="40"/>
              <w:right w:type="dxa" w:w="80"/>
            </w:tcMar>
          </w:tcPr>
          <w:p>
            <w:pPr>
              <w:spacing w:after="0"/>
              <w:jc w:val="center"/>
            </w:pPr>
            <w:r>
              <w:rPr>
                <w:rFonts w:ascii="Arial" w:cs="Arial" w:eastAsia="Arial" w:hAnsi="Arial"/>
                <w:b/>
                <w:bCs/>
                <w:sz w:val="17"/>
                <w:szCs w:val="17"/>
              </w:rPr>
              <w:t xml:space="preserve">25 876 kWh</w:t>
            </w:r>
          </w:p>
        </w:tc>
        <w:tc>
          <w:tcPr>
            <w:tcW w:type="dxa" w:w="1481"/>
            <w:tcMar>
              <w:top w:type="dxa" w:w="40"/>
              <w:left w:type="dxa" w:w="80"/>
              <w:bottom w:type="dxa" w:w="40"/>
              <w:right w:type="dxa" w:w="80"/>
            </w:tcMar>
          </w:tcPr>
          <w:p>
            <w:pPr>
              <w:spacing w:after="0"/>
              <w:jc w:val="center"/>
            </w:pPr>
            <w:r>
              <w:rPr>
                <w:rFonts w:ascii="Arial" w:cs="Arial" w:eastAsia="Arial" w:hAnsi="Arial"/>
                <w:b/>
                <w:bCs/>
                <w:sz w:val="17"/>
                <w:szCs w:val="17"/>
              </w:rPr>
              <w:t xml:space="preserve">16 800 kWh</w:t>
            </w:r>
          </w:p>
        </w:tc>
        <w:tc>
          <w:tcPr>
            <w:tcW w:type="dxa" w:w="1314"/>
            <w:tcMar>
              <w:top w:type="dxa" w:w="40"/>
              <w:left w:type="dxa" w:w="80"/>
              <w:bottom w:type="dxa" w:w="40"/>
              <w:right w:type="dxa" w:w="80"/>
            </w:tcMar>
          </w:tcPr>
          <w:p>
            <w:pPr>
              <w:spacing w:after="0"/>
              <w:jc w:val="center"/>
            </w:pPr>
            <w:r>
              <w:rPr>
                <w:rFonts w:ascii="Arial" w:cs="Arial" w:eastAsia="Arial" w:hAnsi="Arial"/>
                <w:b/>
                <w:bCs/>
                <w:sz w:val="17"/>
                <w:szCs w:val="17"/>
              </w:rPr>
              <w:t xml:space="preserve">9 076 kWh</w:t>
            </w:r>
          </w:p>
        </w:tc>
        <w:tc>
          <w:tcPr>
            <w:tcW w:type="dxa" w:w="1259"/>
            <w:tcMar>
              <w:top w:type="dxa" w:w="40"/>
              <w:left w:type="dxa" w:w="80"/>
              <w:bottom w:type="dxa" w:w="40"/>
              <w:right w:type="dxa" w:w="80"/>
            </w:tcMar>
          </w:tcPr>
          <w:p>
            <w:pPr>
              <w:spacing w:after="0"/>
              <w:jc w:val="center"/>
            </w:pPr>
            <w:r>
              <w:rPr>
                <w:rFonts w:ascii="Arial" w:cs="Arial" w:eastAsia="Arial" w:hAnsi="Arial"/>
                <w:b/>
                <w:bCs/>
                <w:sz w:val="17"/>
                <w:szCs w:val="17"/>
              </w:rPr>
              <w:t xml:space="preserve">2 545 €</w:t>
            </w:r>
          </w:p>
        </w:tc>
        <w:tc>
          <w:tcPr>
            <w:tcW w:type="dxa" w:w="1259"/>
            <w:tcMar>
              <w:top w:type="dxa" w:w="40"/>
              <w:left w:type="dxa" w:w="80"/>
              <w:bottom w:type="dxa" w:w="40"/>
              <w:right w:type="dxa" w:w="80"/>
            </w:tcMar>
          </w:tcPr>
          <w:p>
            <w:pPr>
              <w:spacing w:after="0"/>
              <w:jc w:val="center"/>
            </w:pPr>
            <w:r>
              <w:rPr>
                <w:rFonts w:ascii="Arial" w:cs="Arial" w:eastAsia="Arial" w:hAnsi="Arial"/>
                <w:b/>
                <w:bCs/>
                <w:sz w:val="17"/>
                <w:szCs w:val="17"/>
              </w:rPr>
              <w:t xml:space="preserve">965 €</w:t>
            </w:r>
          </w:p>
        </w:tc>
        <w:tc>
          <w:tcPr>
            <w:tcW w:type="dxa" w:w="1782"/>
            <w:tcMar>
              <w:top w:type="dxa" w:w="40"/>
              <w:left w:type="dxa" w:w="80"/>
              <w:bottom w:type="dxa" w:w="40"/>
              <w:right w:type="dxa" w:w="80"/>
            </w:tcMar>
          </w:tcPr>
          <w:p>
            <w:pPr>
              <w:spacing w:after="0"/>
              <w:jc w:val="center"/>
            </w:pPr>
            <w:r>
              <w:rPr>
                <w:rFonts w:ascii="Arial" w:cs="Arial" w:eastAsia="Arial" w:hAnsi="Arial"/>
                <w:b/>
                <w:bCs/>
                <w:sz w:val="17"/>
                <w:szCs w:val="17"/>
              </w:rPr>
              <w:t xml:space="preserve">-14 098 €</w:t>
            </w:r>
          </w:p>
        </w:tc>
        <w:tc>
          <w:tcPr>
            <w:tcW w:type="dxa" w:w="981"/>
            <w:tcMar>
              <w:top w:type="dxa" w:w="40"/>
              <w:left w:type="dxa" w:w="80"/>
              <w:bottom w:type="dxa" w:w="40"/>
              <w:right w:type="dxa" w:w="80"/>
            </w:tcMar>
          </w:tcPr>
          <w:p>
            <w:pPr>
              <w:spacing w:after="0"/>
              <w:jc w:val="center"/>
            </w:pPr>
            <w:r>
              <w:rPr>
                <w:rFonts w:ascii="Arial" w:cs="Arial" w:eastAsia="Arial" w:hAnsi="Arial"/>
                <w:b/>
                <w:bCs/>
                <w:sz w:val="17"/>
                <w:szCs w:val="17"/>
              </w:rPr>
              <w:t xml:space="preserve">579 €</w:t>
            </w:r>
          </w:p>
        </w:tc>
      </w:tr>
      <w:tr>
        <w:tc>
          <w:tcPr>
            <w:tcW w:type="dxa" w:w="869"/>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6</w:t>
            </w:r>
          </w:p>
        </w:tc>
        <w:tc>
          <w:tcPr>
            <w:tcW w:type="dxa" w:w="1481"/>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25 747 kWh</w:t>
            </w:r>
          </w:p>
        </w:tc>
        <w:tc>
          <w:tcPr>
            <w:tcW w:type="dxa" w:w="1481"/>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16 749 kWh</w:t>
            </w:r>
          </w:p>
        </w:tc>
        <w:tc>
          <w:tcPr>
            <w:tcW w:type="dxa" w:w="1314"/>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8 998 kWh</w:t>
            </w:r>
          </w:p>
        </w:tc>
        <w:tc>
          <w:tcPr>
            <w:tcW w:type="dxa" w:w="1259"/>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2 579 €</w:t>
            </w:r>
          </w:p>
        </w:tc>
        <w:tc>
          <w:tcPr>
            <w:tcW w:type="dxa" w:w="1259"/>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999 €</w:t>
            </w:r>
          </w:p>
        </w:tc>
        <w:tc>
          <w:tcPr>
            <w:tcW w:type="dxa" w:w="1782"/>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-13 099 €</w:t>
            </w:r>
          </w:p>
        </w:tc>
        <w:tc>
          <w:tcPr>
            <w:tcW w:type="dxa" w:w="981"/>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643 €</w:t>
            </w:r>
          </w:p>
        </w:tc>
      </w:tr>
      <w:tr>
        <w:tc>
          <w:tcPr>
            <w:tcW w:type="dxa" w:w="869"/>
            <w:tcMar>
              <w:top w:type="dxa" w:w="40"/>
              <w:left w:type="dxa" w:w="80"/>
              <w:bottom w:type="dxa" w:w="40"/>
              <w:right w:type="dxa" w:w="80"/>
            </w:tcMar>
          </w:tcPr>
          <w:p>
            <w:pPr>
              <w:spacing w:after="0"/>
              <w:jc w:val="center"/>
            </w:pPr>
            <w:r>
              <w:rPr>
                <w:rFonts w:ascii="Arial" w:cs="Arial" w:eastAsia="Arial" w:hAnsi="Arial"/>
                <w:b/>
                <w:bCs/>
                <w:sz w:val="17"/>
                <w:szCs w:val="17"/>
              </w:rPr>
              <w:t xml:space="preserve">7</w:t>
            </w:r>
          </w:p>
        </w:tc>
        <w:tc>
          <w:tcPr>
            <w:tcW w:type="dxa" w:w="1481"/>
            <w:tcMar>
              <w:top w:type="dxa" w:w="40"/>
              <w:left w:type="dxa" w:w="80"/>
              <w:bottom w:type="dxa" w:w="40"/>
              <w:right w:type="dxa" w:w="80"/>
            </w:tcMar>
          </w:tcPr>
          <w:p>
            <w:pPr>
              <w:spacing w:after="0"/>
              <w:jc w:val="center"/>
            </w:pPr>
            <w:r>
              <w:rPr>
                <w:rFonts w:ascii="Arial" w:cs="Arial" w:eastAsia="Arial" w:hAnsi="Arial"/>
                <w:b/>
                <w:bCs/>
                <w:sz w:val="17"/>
                <w:szCs w:val="17"/>
              </w:rPr>
              <w:t xml:space="preserve">25 618 kWh</w:t>
            </w:r>
          </w:p>
        </w:tc>
        <w:tc>
          <w:tcPr>
            <w:tcW w:type="dxa" w:w="1481"/>
            <w:tcMar>
              <w:top w:type="dxa" w:w="40"/>
              <w:left w:type="dxa" w:w="80"/>
              <w:bottom w:type="dxa" w:w="40"/>
              <w:right w:type="dxa" w:w="80"/>
            </w:tcMar>
          </w:tcPr>
          <w:p>
            <w:pPr>
              <w:spacing w:after="0"/>
              <w:jc w:val="center"/>
            </w:pPr>
            <w:r>
              <w:rPr>
                <w:rFonts w:ascii="Arial" w:cs="Arial" w:eastAsia="Arial" w:hAnsi="Arial"/>
                <w:b/>
                <w:bCs/>
                <w:sz w:val="17"/>
                <w:szCs w:val="17"/>
              </w:rPr>
              <w:t xml:space="preserve">16 697 kWh</w:t>
            </w:r>
          </w:p>
        </w:tc>
        <w:tc>
          <w:tcPr>
            <w:tcW w:type="dxa" w:w="1314"/>
            <w:tcMar>
              <w:top w:type="dxa" w:w="40"/>
              <w:left w:type="dxa" w:w="80"/>
              <w:bottom w:type="dxa" w:w="40"/>
              <w:right w:type="dxa" w:w="80"/>
            </w:tcMar>
          </w:tcPr>
          <w:p>
            <w:pPr>
              <w:spacing w:after="0"/>
              <w:jc w:val="center"/>
            </w:pPr>
            <w:r>
              <w:rPr>
                <w:rFonts w:ascii="Arial" w:cs="Arial" w:eastAsia="Arial" w:hAnsi="Arial"/>
                <w:b/>
                <w:bCs/>
                <w:sz w:val="17"/>
                <w:szCs w:val="17"/>
              </w:rPr>
              <w:t xml:space="preserve">8 921 kWh</w:t>
            </w:r>
          </w:p>
        </w:tc>
        <w:tc>
          <w:tcPr>
            <w:tcW w:type="dxa" w:w="1259"/>
            <w:tcMar>
              <w:top w:type="dxa" w:w="40"/>
              <w:left w:type="dxa" w:w="80"/>
              <w:bottom w:type="dxa" w:w="40"/>
              <w:right w:type="dxa" w:w="80"/>
            </w:tcMar>
          </w:tcPr>
          <w:p>
            <w:pPr>
              <w:spacing w:after="0"/>
              <w:jc w:val="center"/>
            </w:pPr>
            <w:r>
              <w:rPr>
                <w:rFonts w:ascii="Arial" w:cs="Arial" w:eastAsia="Arial" w:hAnsi="Arial"/>
                <w:b/>
                <w:bCs/>
                <w:sz w:val="17"/>
                <w:szCs w:val="17"/>
              </w:rPr>
              <w:t xml:space="preserve">2 613 €</w:t>
            </w:r>
          </w:p>
        </w:tc>
        <w:tc>
          <w:tcPr>
            <w:tcW w:type="dxa" w:w="1259"/>
            <w:tcMar>
              <w:top w:type="dxa" w:w="40"/>
              <w:left w:type="dxa" w:w="80"/>
              <w:bottom w:type="dxa" w:w="40"/>
              <w:right w:type="dxa" w:w="80"/>
            </w:tcMar>
          </w:tcPr>
          <w:p>
            <w:pPr>
              <w:spacing w:after="0"/>
              <w:jc w:val="center"/>
            </w:pPr>
            <w:r>
              <w:rPr>
                <w:rFonts w:ascii="Arial" w:cs="Arial" w:eastAsia="Arial" w:hAnsi="Arial"/>
                <w:b/>
                <w:bCs/>
                <w:sz w:val="17"/>
                <w:szCs w:val="17"/>
              </w:rPr>
              <w:t xml:space="preserve">1 033 €</w:t>
            </w:r>
          </w:p>
        </w:tc>
        <w:tc>
          <w:tcPr>
            <w:tcW w:type="dxa" w:w="1782"/>
            <w:tcMar>
              <w:top w:type="dxa" w:w="40"/>
              <w:left w:type="dxa" w:w="80"/>
              <w:bottom w:type="dxa" w:w="40"/>
              <w:right w:type="dxa" w:w="80"/>
            </w:tcMar>
          </w:tcPr>
          <w:p>
            <w:pPr>
              <w:spacing w:after="0"/>
              <w:jc w:val="center"/>
            </w:pPr>
            <w:r>
              <w:rPr>
                <w:rFonts w:ascii="Arial" w:cs="Arial" w:eastAsia="Arial" w:hAnsi="Arial"/>
                <w:b/>
                <w:bCs/>
                <w:sz w:val="17"/>
                <w:szCs w:val="17"/>
              </w:rPr>
              <w:t xml:space="preserve">-12 066 €</w:t>
            </w:r>
          </w:p>
        </w:tc>
        <w:tc>
          <w:tcPr>
            <w:tcW w:type="dxa" w:w="981"/>
            <w:tcMar>
              <w:top w:type="dxa" w:w="40"/>
              <w:left w:type="dxa" w:w="80"/>
              <w:bottom w:type="dxa" w:w="40"/>
              <w:right w:type="dxa" w:w="80"/>
            </w:tcMar>
          </w:tcPr>
          <w:p>
            <w:pPr>
              <w:spacing w:after="0"/>
              <w:jc w:val="center"/>
            </w:pPr>
            <w:r>
              <w:rPr>
                <w:rFonts w:ascii="Arial" w:cs="Arial" w:eastAsia="Arial" w:hAnsi="Arial"/>
                <w:b/>
                <w:bCs/>
                <w:sz w:val="17"/>
                <w:szCs w:val="17"/>
              </w:rPr>
              <w:t xml:space="preserve">710 €</w:t>
            </w:r>
          </w:p>
        </w:tc>
      </w:tr>
      <w:tr>
        <w:tc>
          <w:tcPr>
            <w:tcW w:type="dxa" w:w="869"/>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8</w:t>
            </w:r>
          </w:p>
        </w:tc>
        <w:tc>
          <w:tcPr>
            <w:tcW w:type="dxa" w:w="1481"/>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25 490 kWh</w:t>
            </w:r>
          </w:p>
        </w:tc>
        <w:tc>
          <w:tcPr>
            <w:tcW w:type="dxa" w:w="1481"/>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16 646 kWh</w:t>
            </w:r>
          </w:p>
        </w:tc>
        <w:tc>
          <w:tcPr>
            <w:tcW w:type="dxa" w:w="1314"/>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8 844 kWh</w:t>
            </w:r>
          </w:p>
        </w:tc>
        <w:tc>
          <w:tcPr>
            <w:tcW w:type="dxa" w:w="1259"/>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2 648 €</w:t>
            </w:r>
          </w:p>
        </w:tc>
        <w:tc>
          <w:tcPr>
            <w:tcW w:type="dxa" w:w="1259"/>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1 068 €</w:t>
            </w:r>
          </w:p>
        </w:tc>
        <w:tc>
          <w:tcPr>
            <w:tcW w:type="dxa" w:w="1782"/>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-10 997 €</w:t>
            </w:r>
          </w:p>
        </w:tc>
        <w:tc>
          <w:tcPr>
            <w:tcW w:type="dxa" w:w="981"/>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778 €</w:t>
            </w:r>
          </w:p>
        </w:tc>
      </w:tr>
      <w:tr>
        <w:tc>
          <w:tcPr>
            <w:tcW w:type="dxa" w:w="869"/>
            <w:tcMar>
              <w:top w:type="dxa" w:w="40"/>
              <w:left w:type="dxa" w:w="80"/>
              <w:bottom w:type="dxa" w:w="40"/>
              <w:right w:type="dxa" w:w="80"/>
            </w:tcMar>
          </w:tcPr>
          <w:p>
            <w:pPr>
              <w:spacing w:after="0"/>
              <w:jc w:val="center"/>
            </w:pPr>
            <w:r>
              <w:rPr>
                <w:rFonts w:ascii="Arial" w:cs="Arial" w:eastAsia="Arial" w:hAnsi="Arial"/>
                <w:b/>
                <w:bCs/>
                <w:sz w:val="17"/>
                <w:szCs w:val="17"/>
              </w:rPr>
              <w:t xml:space="preserve">9</w:t>
            </w:r>
          </w:p>
        </w:tc>
        <w:tc>
          <w:tcPr>
            <w:tcW w:type="dxa" w:w="1481"/>
            <w:tcMar>
              <w:top w:type="dxa" w:w="40"/>
              <w:left w:type="dxa" w:w="80"/>
              <w:bottom w:type="dxa" w:w="40"/>
              <w:right w:type="dxa" w:w="80"/>
            </w:tcMar>
          </w:tcPr>
          <w:p>
            <w:pPr>
              <w:spacing w:after="0"/>
              <w:jc w:val="center"/>
            </w:pPr>
            <w:r>
              <w:rPr>
                <w:rFonts w:ascii="Arial" w:cs="Arial" w:eastAsia="Arial" w:hAnsi="Arial"/>
                <w:b/>
                <w:bCs/>
                <w:sz w:val="17"/>
                <w:szCs w:val="17"/>
              </w:rPr>
              <w:t xml:space="preserve">25 362 kWh</w:t>
            </w:r>
          </w:p>
        </w:tc>
        <w:tc>
          <w:tcPr>
            <w:tcW w:type="dxa" w:w="1481"/>
            <w:tcMar>
              <w:top w:type="dxa" w:w="40"/>
              <w:left w:type="dxa" w:w="80"/>
              <w:bottom w:type="dxa" w:w="40"/>
              <w:right w:type="dxa" w:w="80"/>
            </w:tcMar>
          </w:tcPr>
          <w:p>
            <w:pPr>
              <w:spacing w:after="0"/>
              <w:jc w:val="center"/>
            </w:pPr>
            <w:r>
              <w:rPr>
                <w:rFonts w:ascii="Arial" w:cs="Arial" w:eastAsia="Arial" w:hAnsi="Arial"/>
                <w:b/>
                <w:bCs/>
                <w:sz w:val="17"/>
                <w:szCs w:val="17"/>
              </w:rPr>
              <w:t xml:space="preserve">16 595 kWh</w:t>
            </w:r>
          </w:p>
        </w:tc>
        <w:tc>
          <w:tcPr>
            <w:tcW w:type="dxa" w:w="1314"/>
            <w:tcMar>
              <w:top w:type="dxa" w:w="40"/>
              <w:left w:type="dxa" w:w="80"/>
              <w:bottom w:type="dxa" w:w="40"/>
              <w:right w:type="dxa" w:w="80"/>
            </w:tcMar>
          </w:tcPr>
          <w:p>
            <w:pPr>
              <w:spacing w:after="0"/>
              <w:jc w:val="center"/>
            </w:pPr>
            <w:r>
              <w:rPr>
                <w:rFonts w:ascii="Arial" w:cs="Arial" w:eastAsia="Arial" w:hAnsi="Arial"/>
                <w:b/>
                <w:bCs/>
                <w:sz w:val="17"/>
                <w:szCs w:val="17"/>
              </w:rPr>
              <w:t xml:space="preserve">8 767 kWh</w:t>
            </w:r>
          </w:p>
        </w:tc>
        <w:tc>
          <w:tcPr>
            <w:tcW w:type="dxa" w:w="1259"/>
            <w:tcMar>
              <w:top w:type="dxa" w:w="40"/>
              <w:left w:type="dxa" w:w="80"/>
              <w:bottom w:type="dxa" w:w="40"/>
              <w:right w:type="dxa" w:w="80"/>
            </w:tcMar>
          </w:tcPr>
          <w:p>
            <w:pPr>
              <w:spacing w:after="0"/>
              <w:jc w:val="center"/>
            </w:pPr>
            <w:r>
              <w:rPr>
                <w:rFonts w:ascii="Arial" w:cs="Arial" w:eastAsia="Arial" w:hAnsi="Arial"/>
                <w:b/>
                <w:bCs/>
                <w:sz w:val="17"/>
                <w:szCs w:val="17"/>
              </w:rPr>
              <w:t xml:space="preserve">2 684 €</w:t>
            </w:r>
          </w:p>
        </w:tc>
        <w:tc>
          <w:tcPr>
            <w:tcW w:type="dxa" w:w="1259"/>
            <w:tcMar>
              <w:top w:type="dxa" w:w="40"/>
              <w:left w:type="dxa" w:w="80"/>
              <w:bottom w:type="dxa" w:w="40"/>
              <w:right w:type="dxa" w:w="80"/>
            </w:tcMar>
          </w:tcPr>
          <w:p>
            <w:pPr>
              <w:spacing w:after="0"/>
              <w:jc w:val="center"/>
            </w:pPr>
            <w:r>
              <w:rPr>
                <w:rFonts w:ascii="Arial" w:cs="Arial" w:eastAsia="Arial" w:hAnsi="Arial"/>
                <w:b/>
                <w:bCs/>
                <w:sz w:val="17"/>
                <w:szCs w:val="17"/>
              </w:rPr>
              <w:t xml:space="preserve">1 104 €</w:t>
            </w:r>
          </w:p>
        </w:tc>
        <w:tc>
          <w:tcPr>
            <w:tcW w:type="dxa" w:w="1782"/>
            <w:tcMar>
              <w:top w:type="dxa" w:w="40"/>
              <w:left w:type="dxa" w:w="80"/>
              <w:bottom w:type="dxa" w:w="40"/>
              <w:right w:type="dxa" w:w="80"/>
            </w:tcMar>
          </w:tcPr>
          <w:p>
            <w:pPr>
              <w:spacing w:after="0"/>
              <w:jc w:val="center"/>
            </w:pPr>
            <w:r>
              <w:rPr>
                <w:rFonts w:ascii="Arial" w:cs="Arial" w:eastAsia="Arial" w:hAnsi="Arial"/>
                <w:b/>
                <w:bCs/>
                <w:sz w:val="17"/>
                <w:szCs w:val="17"/>
              </w:rPr>
              <w:t xml:space="preserve">-9 894 €</w:t>
            </w:r>
          </w:p>
        </w:tc>
        <w:tc>
          <w:tcPr>
            <w:tcW w:type="dxa" w:w="981"/>
            <w:tcMar>
              <w:top w:type="dxa" w:w="40"/>
              <w:left w:type="dxa" w:w="80"/>
              <w:bottom w:type="dxa" w:w="40"/>
              <w:right w:type="dxa" w:w="80"/>
            </w:tcMar>
          </w:tcPr>
          <w:p>
            <w:pPr>
              <w:spacing w:after="0"/>
              <w:jc w:val="center"/>
            </w:pPr>
            <w:r>
              <w:rPr>
                <w:rFonts w:ascii="Arial" w:cs="Arial" w:eastAsia="Arial" w:hAnsi="Arial"/>
                <w:b/>
                <w:bCs/>
                <w:sz w:val="17"/>
                <w:szCs w:val="17"/>
              </w:rPr>
              <w:t xml:space="preserve">849 €</w:t>
            </w:r>
          </w:p>
        </w:tc>
      </w:tr>
      <w:tr>
        <w:tc>
          <w:tcPr>
            <w:tcW w:type="dxa" w:w="869"/>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10</w:t>
            </w:r>
          </w:p>
        </w:tc>
        <w:tc>
          <w:tcPr>
            <w:tcW w:type="dxa" w:w="1481"/>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25 235 kWh</w:t>
            </w:r>
          </w:p>
        </w:tc>
        <w:tc>
          <w:tcPr>
            <w:tcW w:type="dxa" w:w="1481"/>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16 544 kWh</w:t>
            </w:r>
          </w:p>
        </w:tc>
        <w:tc>
          <w:tcPr>
            <w:tcW w:type="dxa" w:w="1314"/>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8 691 kWh</w:t>
            </w:r>
          </w:p>
        </w:tc>
        <w:tc>
          <w:tcPr>
            <w:tcW w:type="dxa" w:w="1259"/>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2 720 €</w:t>
            </w:r>
          </w:p>
        </w:tc>
        <w:tc>
          <w:tcPr>
            <w:tcW w:type="dxa" w:w="1259"/>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1 140 €</w:t>
            </w:r>
          </w:p>
        </w:tc>
        <w:tc>
          <w:tcPr>
            <w:tcW w:type="dxa" w:w="1782"/>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-8 753 €</w:t>
            </w:r>
          </w:p>
        </w:tc>
        <w:tc>
          <w:tcPr>
            <w:tcW w:type="dxa" w:w="981"/>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922 €</w:t>
            </w:r>
          </w:p>
        </w:tc>
      </w:tr>
      <w:tr>
        <w:tc>
          <w:tcPr>
            <w:tcW w:type="dxa" w:w="869"/>
            <w:tcMar>
              <w:top w:type="dxa" w:w="40"/>
              <w:left w:type="dxa" w:w="80"/>
              <w:bottom w:type="dxa" w:w="40"/>
              <w:right w:type="dxa" w:w="80"/>
            </w:tcMar>
          </w:tcPr>
          <w:p>
            <w:pPr>
              <w:spacing w:after="0"/>
              <w:jc w:val="center"/>
            </w:pPr>
            <w:r>
              <w:rPr>
                <w:rFonts w:ascii="Arial" w:cs="Arial" w:eastAsia="Arial" w:hAnsi="Arial"/>
                <w:b/>
                <w:bCs/>
                <w:sz w:val="17"/>
                <w:szCs w:val="17"/>
              </w:rPr>
              <w:t xml:space="preserve">11</w:t>
            </w:r>
          </w:p>
        </w:tc>
        <w:tc>
          <w:tcPr>
            <w:tcW w:type="dxa" w:w="1481"/>
            <w:tcMar>
              <w:top w:type="dxa" w:w="40"/>
              <w:left w:type="dxa" w:w="80"/>
              <w:bottom w:type="dxa" w:w="40"/>
              <w:right w:type="dxa" w:w="80"/>
            </w:tcMar>
          </w:tcPr>
          <w:p>
            <w:pPr>
              <w:spacing w:after="0"/>
              <w:jc w:val="center"/>
            </w:pPr>
            <w:r>
              <w:rPr>
                <w:rFonts w:ascii="Arial" w:cs="Arial" w:eastAsia="Arial" w:hAnsi="Arial"/>
                <w:b/>
                <w:bCs/>
                <w:sz w:val="17"/>
                <w:szCs w:val="17"/>
              </w:rPr>
              <w:t xml:space="preserve">25 109 kWh</w:t>
            </w:r>
          </w:p>
        </w:tc>
        <w:tc>
          <w:tcPr>
            <w:tcW w:type="dxa" w:w="1481"/>
            <w:tcMar>
              <w:top w:type="dxa" w:w="40"/>
              <w:left w:type="dxa" w:w="80"/>
              <w:bottom w:type="dxa" w:w="40"/>
              <w:right w:type="dxa" w:w="80"/>
            </w:tcMar>
          </w:tcPr>
          <w:p>
            <w:pPr>
              <w:spacing w:after="0"/>
              <w:jc w:val="center"/>
            </w:pPr>
            <w:r>
              <w:rPr>
                <w:rFonts w:ascii="Arial" w:cs="Arial" w:eastAsia="Arial" w:hAnsi="Arial"/>
                <w:b/>
                <w:bCs/>
                <w:sz w:val="17"/>
                <w:szCs w:val="17"/>
              </w:rPr>
              <w:t xml:space="preserve">16 494 kWh</w:t>
            </w:r>
          </w:p>
        </w:tc>
        <w:tc>
          <w:tcPr>
            <w:tcW w:type="dxa" w:w="1314"/>
            <w:tcMar>
              <w:top w:type="dxa" w:w="40"/>
              <w:left w:type="dxa" w:w="80"/>
              <w:bottom w:type="dxa" w:w="40"/>
              <w:right w:type="dxa" w:w="80"/>
            </w:tcMar>
          </w:tcPr>
          <w:p>
            <w:pPr>
              <w:spacing w:after="0"/>
              <w:jc w:val="center"/>
            </w:pPr>
            <w:r>
              <w:rPr>
                <w:rFonts w:ascii="Arial" w:cs="Arial" w:eastAsia="Arial" w:hAnsi="Arial"/>
                <w:b/>
                <w:bCs/>
                <w:sz w:val="17"/>
                <w:szCs w:val="17"/>
              </w:rPr>
              <w:t xml:space="preserve">8 616 kWh</w:t>
            </w:r>
          </w:p>
        </w:tc>
        <w:tc>
          <w:tcPr>
            <w:tcW w:type="dxa" w:w="1259"/>
            <w:tcMar>
              <w:top w:type="dxa" w:w="40"/>
              <w:left w:type="dxa" w:w="80"/>
              <w:bottom w:type="dxa" w:w="40"/>
              <w:right w:type="dxa" w:w="80"/>
            </w:tcMar>
          </w:tcPr>
          <w:p>
            <w:pPr>
              <w:spacing w:after="0"/>
              <w:jc w:val="center"/>
            </w:pPr>
            <w:r>
              <w:rPr>
                <w:rFonts w:ascii="Arial" w:cs="Arial" w:eastAsia="Arial" w:hAnsi="Arial"/>
                <w:b/>
                <w:bCs/>
                <w:sz w:val="17"/>
                <w:szCs w:val="17"/>
              </w:rPr>
              <w:t xml:space="preserve">2 757 €</w:t>
            </w:r>
          </w:p>
        </w:tc>
        <w:tc>
          <w:tcPr>
            <w:tcW w:type="dxa" w:w="1259"/>
            <w:tcMar>
              <w:top w:type="dxa" w:w="40"/>
              <w:left w:type="dxa" w:w="80"/>
              <w:bottom w:type="dxa" w:w="40"/>
              <w:right w:type="dxa" w:w="80"/>
            </w:tcMar>
          </w:tcPr>
          <w:p>
            <w:pPr>
              <w:spacing w:after="0"/>
              <w:jc w:val="center"/>
            </w:pPr>
            <w:r>
              <w:rPr>
                <w:rFonts w:ascii="Arial" w:cs="Arial" w:eastAsia="Arial" w:hAnsi="Arial"/>
                <w:b/>
                <w:bCs/>
                <w:sz w:val="17"/>
                <w:szCs w:val="17"/>
              </w:rPr>
              <w:t xml:space="preserve">1 177 €</w:t>
            </w:r>
          </w:p>
        </w:tc>
        <w:tc>
          <w:tcPr>
            <w:tcW w:type="dxa" w:w="1782"/>
            <w:tcMar>
              <w:top w:type="dxa" w:w="40"/>
              <w:left w:type="dxa" w:w="80"/>
              <w:bottom w:type="dxa" w:w="40"/>
              <w:right w:type="dxa" w:w="80"/>
            </w:tcMar>
          </w:tcPr>
          <w:p>
            <w:pPr>
              <w:spacing w:after="0"/>
              <w:jc w:val="center"/>
            </w:pPr>
            <w:r>
              <w:rPr>
                <w:rFonts w:ascii="Arial" w:cs="Arial" w:eastAsia="Arial" w:hAnsi="Arial"/>
                <w:b/>
                <w:bCs/>
                <w:sz w:val="17"/>
                <w:szCs w:val="17"/>
              </w:rPr>
              <w:t xml:space="preserve">-7 576 €</w:t>
            </w:r>
          </w:p>
        </w:tc>
        <w:tc>
          <w:tcPr>
            <w:tcW w:type="dxa" w:w="981"/>
            <w:tcMar>
              <w:top w:type="dxa" w:w="40"/>
              <w:left w:type="dxa" w:w="80"/>
              <w:bottom w:type="dxa" w:w="40"/>
              <w:right w:type="dxa" w:w="80"/>
            </w:tcMar>
          </w:tcPr>
          <w:p>
            <w:pPr>
              <w:spacing w:after="0"/>
              <w:jc w:val="center"/>
            </w:pPr>
            <w:r>
              <w:rPr>
                <w:rFonts w:ascii="Arial" w:cs="Arial" w:eastAsia="Arial" w:hAnsi="Arial"/>
                <w:b/>
                <w:bCs/>
                <w:sz w:val="17"/>
                <w:szCs w:val="17"/>
              </w:rPr>
              <w:t xml:space="preserve">997 €</w:t>
            </w:r>
          </w:p>
        </w:tc>
      </w:tr>
      <w:tr>
        <w:tc>
          <w:tcPr>
            <w:tcW w:type="dxa" w:w="869"/>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12</w:t>
            </w:r>
          </w:p>
        </w:tc>
        <w:tc>
          <w:tcPr>
            <w:tcW w:type="dxa" w:w="1481"/>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24 984 kWh</w:t>
            </w:r>
          </w:p>
        </w:tc>
        <w:tc>
          <w:tcPr>
            <w:tcW w:type="dxa" w:w="1481"/>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16 444 kWh</w:t>
            </w:r>
          </w:p>
        </w:tc>
        <w:tc>
          <w:tcPr>
            <w:tcW w:type="dxa" w:w="1314"/>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8 540 kWh</w:t>
            </w:r>
          </w:p>
        </w:tc>
        <w:tc>
          <w:tcPr>
            <w:tcW w:type="dxa" w:w="1259"/>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2 795 €</w:t>
            </w:r>
          </w:p>
        </w:tc>
        <w:tc>
          <w:tcPr>
            <w:tcW w:type="dxa" w:w="1259"/>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1 215 €</w:t>
            </w:r>
          </w:p>
        </w:tc>
        <w:tc>
          <w:tcPr>
            <w:tcW w:type="dxa" w:w="1782"/>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-6 361 €</w:t>
            </w:r>
          </w:p>
        </w:tc>
        <w:tc>
          <w:tcPr>
            <w:tcW w:type="dxa" w:w="981"/>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1 074 €</w:t>
            </w:r>
          </w:p>
        </w:tc>
      </w:tr>
      <w:tr>
        <w:tc>
          <w:tcPr>
            <w:tcW w:type="dxa" w:w="869"/>
            <w:tcMar>
              <w:top w:type="dxa" w:w="40"/>
              <w:left w:type="dxa" w:w="80"/>
              <w:bottom w:type="dxa" w:w="40"/>
              <w:right w:type="dxa" w:w="80"/>
            </w:tcMar>
          </w:tcPr>
          <w:p>
            <w:pPr>
              <w:spacing w:after="0"/>
              <w:jc w:val="center"/>
            </w:pPr>
            <w:r>
              <w:rPr>
                <w:rFonts w:ascii="Arial" w:cs="Arial" w:eastAsia="Arial" w:hAnsi="Arial"/>
                <w:b/>
                <w:bCs/>
                <w:sz w:val="17"/>
                <w:szCs w:val="17"/>
              </w:rPr>
              <w:t xml:space="preserve">13</w:t>
            </w:r>
          </w:p>
        </w:tc>
        <w:tc>
          <w:tcPr>
            <w:tcW w:type="dxa" w:w="1481"/>
            <w:tcMar>
              <w:top w:type="dxa" w:w="40"/>
              <w:left w:type="dxa" w:w="80"/>
              <w:bottom w:type="dxa" w:w="40"/>
              <w:right w:type="dxa" w:w="80"/>
            </w:tcMar>
          </w:tcPr>
          <w:p>
            <w:pPr>
              <w:spacing w:after="0"/>
              <w:jc w:val="center"/>
            </w:pPr>
            <w:r>
              <w:rPr>
                <w:rFonts w:ascii="Arial" w:cs="Arial" w:eastAsia="Arial" w:hAnsi="Arial"/>
                <w:b/>
                <w:bCs/>
                <w:sz w:val="17"/>
                <w:szCs w:val="17"/>
              </w:rPr>
              <w:t xml:space="preserve">24 859 kWh</w:t>
            </w:r>
          </w:p>
        </w:tc>
        <w:tc>
          <w:tcPr>
            <w:tcW w:type="dxa" w:w="1481"/>
            <w:tcMar>
              <w:top w:type="dxa" w:w="40"/>
              <w:left w:type="dxa" w:w="80"/>
              <w:bottom w:type="dxa" w:w="40"/>
              <w:right w:type="dxa" w:w="80"/>
            </w:tcMar>
          </w:tcPr>
          <w:p>
            <w:pPr>
              <w:spacing w:after="0"/>
              <w:jc w:val="center"/>
            </w:pPr>
            <w:r>
              <w:rPr>
                <w:rFonts w:ascii="Arial" w:cs="Arial" w:eastAsia="Arial" w:hAnsi="Arial"/>
                <w:b/>
                <w:bCs/>
                <w:sz w:val="17"/>
                <w:szCs w:val="17"/>
              </w:rPr>
              <w:t xml:space="preserve">16 394 kWh</w:t>
            </w:r>
          </w:p>
        </w:tc>
        <w:tc>
          <w:tcPr>
            <w:tcW w:type="dxa" w:w="1314"/>
            <w:tcMar>
              <w:top w:type="dxa" w:w="40"/>
              <w:left w:type="dxa" w:w="80"/>
              <w:bottom w:type="dxa" w:w="40"/>
              <w:right w:type="dxa" w:w="80"/>
            </w:tcMar>
          </w:tcPr>
          <w:p>
            <w:pPr>
              <w:spacing w:after="0"/>
              <w:jc w:val="center"/>
            </w:pPr>
            <w:r>
              <w:rPr>
                <w:rFonts w:ascii="Arial" w:cs="Arial" w:eastAsia="Arial" w:hAnsi="Arial"/>
                <w:b/>
                <w:bCs/>
                <w:sz w:val="17"/>
                <w:szCs w:val="17"/>
              </w:rPr>
              <w:t xml:space="preserve">8 465 kWh</w:t>
            </w:r>
          </w:p>
        </w:tc>
        <w:tc>
          <w:tcPr>
            <w:tcW w:type="dxa" w:w="1259"/>
            <w:tcMar>
              <w:top w:type="dxa" w:w="40"/>
              <w:left w:type="dxa" w:w="80"/>
              <w:bottom w:type="dxa" w:w="40"/>
              <w:right w:type="dxa" w:w="80"/>
            </w:tcMar>
          </w:tcPr>
          <w:p>
            <w:pPr>
              <w:spacing w:after="0"/>
              <w:jc w:val="center"/>
            </w:pPr>
            <w:r>
              <w:rPr>
                <w:rFonts w:ascii="Arial" w:cs="Arial" w:eastAsia="Arial" w:hAnsi="Arial"/>
                <w:b/>
                <w:bCs/>
                <w:sz w:val="17"/>
                <w:szCs w:val="17"/>
              </w:rPr>
              <w:t xml:space="preserve">2 834 €</w:t>
            </w:r>
          </w:p>
        </w:tc>
        <w:tc>
          <w:tcPr>
            <w:tcW w:type="dxa" w:w="1259"/>
            <w:tcMar>
              <w:top w:type="dxa" w:w="40"/>
              <w:left w:type="dxa" w:w="80"/>
              <w:bottom w:type="dxa" w:w="40"/>
              <w:right w:type="dxa" w:w="80"/>
            </w:tcMar>
          </w:tcPr>
          <w:p>
            <w:pPr>
              <w:spacing w:after="0"/>
              <w:jc w:val="center"/>
            </w:pPr>
            <w:r>
              <w:rPr>
                <w:rFonts w:ascii="Arial" w:cs="Arial" w:eastAsia="Arial" w:hAnsi="Arial"/>
                <w:b/>
                <w:bCs/>
                <w:sz w:val="17"/>
                <w:szCs w:val="17"/>
              </w:rPr>
              <w:t xml:space="preserve">1 254 €</w:t>
            </w:r>
          </w:p>
        </w:tc>
        <w:tc>
          <w:tcPr>
            <w:tcW w:type="dxa" w:w="1782"/>
            <w:tcMar>
              <w:top w:type="dxa" w:w="40"/>
              <w:left w:type="dxa" w:w="80"/>
              <w:bottom w:type="dxa" w:w="40"/>
              <w:right w:type="dxa" w:w="80"/>
            </w:tcMar>
          </w:tcPr>
          <w:p>
            <w:pPr>
              <w:spacing w:after="0"/>
              <w:jc w:val="center"/>
            </w:pPr>
            <w:r>
              <w:rPr>
                <w:rFonts w:ascii="Arial" w:cs="Arial" w:eastAsia="Arial" w:hAnsi="Arial"/>
                <w:b/>
                <w:bCs/>
                <w:sz w:val="17"/>
                <w:szCs w:val="17"/>
              </w:rPr>
              <w:t xml:space="preserve">-5 107 €</w:t>
            </w:r>
          </w:p>
        </w:tc>
        <w:tc>
          <w:tcPr>
            <w:tcW w:type="dxa" w:w="981"/>
            <w:tcMar>
              <w:top w:type="dxa" w:w="40"/>
              <w:left w:type="dxa" w:w="80"/>
              <w:bottom w:type="dxa" w:w="40"/>
              <w:right w:type="dxa" w:w="80"/>
            </w:tcMar>
          </w:tcPr>
          <w:p>
            <w:pPr>
              <w:spacing w:after="0"/>
              <w:jc w:val="center"/>
            </w:pPr>
            <w:r>
              <w:rPr>
                <w:rFonts w:ascii="Arial" w:cs="Arial" w:eastAsia="Arial" w:hAnsi="Arial"/>
                <w:b/>
                <w:bCs/>
                <w:sz w:val="17"/>
                <w:szCs w:val="17"/>
              </w:rPr>
              <w:t xml:space="preserve">1 154 €</w:t>
            </w:r>
          </w:p>
        </w:tc>
      </w:tr>
      <w:tr>
        <w:tc>
          <w:tcPr>
            <w:tcW w:type="dxa" w:w="869"/>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14</w:t>
            </w:r>
          </w:p>
        </w:tc>
        <w:tc>
          <w:tcPr>
            <w:tcW w:type="dxa" w:w="1481"/>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24 735 kWh</w:t>
            </w:r>
          </w:p>
        </w:tc>
        <w:tc>
          <w:tcPr>
            <w:tcW w:type="dxa" w:w="1481"/>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16 344 kWh</w:t>
            </w:r>
          </w:p>
        </w:tc>
        <w:tc>
          <w:tcPr>
            <w:tcW w:type="dxa" w:w="1314"/>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8 391 kWh</w:t>
            </w:r>
          </w:p>
        </w:tc>
        <w:tc>
          <w:tcPr>
            <w:tcW w:type="dxa" w:w="1259"/>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2 873 €</w:t>
            </w:r>
          </w:p>
        </w:tc>
        <w:tc>
          <w:tcPr>
            <w:tcW w:type="dxa" w:w="1259"/>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1 293 €</w:t>
            </w:r>
          </w:p>
        </w:tc>
        <w:tc>
          <w:tcPr>
            <w:tcW w:type="dxa" w:w="1782"/>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-3 815 €</w:t>
            </w:r>
          </w:p>
        </w:tc>
        <w:tc>
          <w:tcPr>
            <w:tcW w:type="dxa" w:w="981"/>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1 237 €</w:t>
            </w:r>
          </w:p>
        </w:tc>
      </w:tr>
      <w:tr>
        <w:tc>
          <w:tcPr>
            <w:tcW w:type="dxa" w:w="869"/>
            <w:tcMar>
              <w:top w:type="dxa" w:w="40"/>
              <w:left w:type="dxa" w:w="80"/>
              <w:bottom w:type="dxa" w:w="40"/>
              <w:right w:type="dxa" w:w="80"/>
            </w:tcMar>
          </w:tcPr>
          <w:p>
            <w:pPr>
              <w:spacing w:after="0"/>
              <w:jc w:val="center"/>
            </w:pPr>
            <w:r>
              <w:rPr>
                <w:rFonts w:ascii="Arial" w:cs="Arial" w:eastAsia="Arial" w:hAnsi="Arial"/>
                <w:b/>
                <w:bCs/>
                <w:sz w:val="17"/>
                <w:szCs w:val="17"/>
              </w:rPr>
              <w:t xml:space="preserve">15</w:t>
            </w:r>
          </w:p>
        </w:tc>
        <w:tc>
          <w:tcPr>
            <w:tcW w:type="dxa" w:w="1481"/>
            <w:tcMar>
              <w:top w:type="dxa" w:w="40"/>
              <w:left w:type="dxa" w:w="80"/>
              <w:bottom w:type="dxa" w:w="40"/>
              <w:right w:type="dxa" w:w="80"/>
            </w:tcMar>
          </w:tcPr>
          <w:p>
            <w:pPr>
              <w:spacing w:after="0"/>
              <w:jc w:val="center"/>
            </w:pPr>
            <w:r>
              <w:rPr>
                <w:rFonts w:ascii="Arial" w:cs="Arial" w:eastAsia="Arial" w:hAnsi="Arial"/>
                <w:b/>
                <w:bCs/>
                <w:sz w:val="17"/>
                <w:szCs w:val="17"/>
              </w:rPr>
              <w:t xml:space="preserve">24 611 kWh</w:t>
            </w:r>
          </w:p>
        </w:tc>
        <w:tc>
          <w:tcPr>
            <w:tcW w:type="dxa" w:w="1481"/>
            <w:tcMar>
              <w:top w:type="dxa" w:w="40"/>
              <w:left w:type="dxa" w:w="80"/>
              <w:bottom w:type="dxa" w:w="40"/>
              <w:right w:type="dxa" w:w="80"/>
            </w:tcMar>
          </w:tcPr>
          <w:p>
            <w:pPr>
              <w:spacing w:after="0"/>
              <w:jc w:val="center"/>
            </w:pPr>
            <w:r>
              <w:rPr>
                <w:rFonts w:ascii="Arial" w:cs="Arial" w:eastAsia="Arial" w:hAnsi="Arial"/>
                <w:b/>
                <w:bCs/>
                <w:sz w:val="17"/>
                <w:szCs w:val="17"/>
              </w:rPr>
              <w:t xml:space="preserve">16 294 kWh</w:t>
            </w:r>
          </w:p>
        </w:tc>
        <w:tc>
          <w:tcPr>
            <w:tcW w:type="dxa" w:w="1314"/>
            <w:tcMar>
              <w:top w:type="dxa" w:w="40"/>
              <w:left w:type="dxa" w:w="80"/>
              <w:bottom w:type="dxa" w:w="40"/>
              <w:right w:type="dxa" w:w="80"/>
            </w:tcMar>
          </w:tcPr>
          <w:p>
            <w:pPr>
              <w:spacing w:after="0"/>
              <w:jc w:val="center"/>
            </w:pPr>
            <w:r>
              <w:rPr>
                <w:rFonts w:ascii="Arial" w:cs="Arial" w:eastAsia="Arial" w:hAnsi="Arial"/>
                <w:b/>
                <w:bCs/>
                <w:sz w:val="17"/>
                <w:szCs w:val="17"/>
              </w:rPr>
              <w:t xml:space="preserve">8 317 kWh</w:t>
            </w:r>
          </w:p>
        </w:tc>
        <w:tc>
          <w:tcPr>
            <w:tcW w:type="dxa" w:w="1259"/>
            <w:tcMar>
              <w:top w:type="dxa" w:w="40"/>
              <w:left w:type="dxa" w:w="80"/>
              <w:bottom w:type="dxa" w:w="40"/>
              <w:right w:type="dxa" w:w="80"/>
            </w:tcMar>
          </w:tcPr>
          <w:p>
            <w:pPr>
              <w:spacing w:after="0"/>
              <w:jc w:val="center"/>
            </w:pPr>
            <w:r>
              <w:rPr>
                <w:rFonts w:ascii="Arial" w:cs="Arial" w:eastAsia="Arial" w:hAnsi="Arial"/>
                <w:b/>
                <w:bCs/>
                <w:sz w:val="17"/>
                <w:szCs w:val="17"/>
              </w:rPr>
              <w:t xml:space="preserve">2 913 €</w:t>
            </w:r>
          </w:p>
        </w:tc>
        <w:tc>
          <w:tcPr>
            <w:tcW w:type="dxa" w:w="1259"/>
            <w:tcMar>
              <w:top w:type="dxa" w:w="40"/>
              <w:left w:type="dxa" w:w="80"/>
              <w:bottom w:type="dxa" w:w="40"/>
              <w:right w:type="dxa" w:w="80"/>
            </w:tcMar>
          </w:tcPr>
          <w:p>
            <w:pPr>
              <w:spacing w:after="0"/>
              <w:jc w:val="center"/>
            </w:pPr>
            <w:r>
              <w:rPr>
                <w:rFonts w:ascii="Arial" w:cs="Arial" w:eastAsia="Arial" w:hAnsi="Arial"/>
                <w:b/>
                <w:bCs/>
                <w:sz w:val="17"/>
                <w:szCs w:val="17"/>
              </w:rPr>
              <w:t xml:space="preserve">1 333 €</w:t>
            </w:r>
          </w:p>
        </w:tc>
        <w:tc>
          <w:tcPr>
            <w:tcW w:type="dxa" w:w="1782"/>
            <w:tcMar>
              <w:top w:type="dxa" w:w="40"/>
              <w:left w:type="dxa" w:w="80"/>
              <w:bottom w:type="dxa" w:w="40"/>
              <w:right w:type="dxa" w:w="80"/>
            </w:tcMar>
          </w:tcPr>
          <w:p>
            <w:pPr>
              <w:spacing w:after="0"/>
              <w:jc w:val="center"/>
            </w:pPr>
            <w:r>
              <w:rPr>
                <w:rFonts w:ascii="Arial" w:cs="Arial" w:eastAsia="Arial" w:hAnsi="Arial"/>
                <w:b/>
                <w:bCs/>
                <w:sz w:val="17"/>
                <w:szCs w:val="17"/>
              </w:rPr>
              <w:t xml:space="preserve">-2 482 €</w:t>
            </w:r>
          </w:p>
        </w:tc>
        <w:tc>
          <w:tcPr>
            <w:tcW w:type="dxa" w:w="981"/>
            <w:tcMar>
              <w:top w:type="dxa" w:w="40"/>
              <w:left w:type="dxa" w:w="80"/>
              <w:bottom w:type="dxa" w:w="40"/>
              <w:right w:type="dxa" w:w="80"/>
            </w:tcMar>
          </w:tcPr>
          <w:p>
            <w:pPr>
              <w:spacing w:after="0"/>
              <w:jc w:val="center"/>
            </w:pPr>
            <w:r>
              <w:rPr>
                <w:rFonts w:ascii="Arial" w:cs="Arial" w:eastAsia="Arial" w:hAnsi="Arial"/>
                <w:b/>
                <w:bCs/>
                <w:sz w:val="17"/>
                <w:szCs w:val="17"/>
              </w:rPr>
              <w:t xml:space="preserve">1 322 €</w:t>
            </w:r>
          </w:p>
        </w:tc>
      </w:tr>
      <w:tr>
        <w:tc>
          <w:tcPr>
            <w:tcW w:type="dxa" w:w="869"/>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16</w:t>
            </w:r>
          </w:p>
        </w:tc>
        <w:tc>
          <w:tcPr>
            <w:tcW w:type="dxa" w:w="1481"/>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24 488 kWh</w:t>
            </w:r>
          </w:p>
        </w:tc>
        <w:tc>
          <w:tcPr>
            <w:tcW w:type="dxa" w:w="1481"/>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16 245 kWh</w:t>
            </w:r>
          </w:p>
        </w:tc>
        <w:tc>
          <w:tcPr>
            <w:tcW w:type="dxa" w:w="1314"/>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8 243 kWh</w:t>
            </w:r>
          </w:p>
        </w:tc>
        <w:tc>
          <w:tcPr>
            <w:tcW w:type="dxa" w:w="1259"/>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2 953 €</w:t>
            </w:r>
          </w:p>
        </w:tc>
        <w:tc>
          <w:tcPr>
            <w:tcW w:type="dxa" w:w="1259"/>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1 373 €</w:t>
            </w:r>
          </w:p>
        </w:tc>
        <w:tc>
          <w:tcPr>
            <w:tcW w:type="dxa" w:w="1782"/>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-1 109 €</w:t>
            </w:r>
          </w:p>
        </w:tc>
        <w:tc>
          <w:tcPr>
            <w:tcW w:type="dxa" w:w="981"/>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1 409 €</w:t>
            </w:r>
          </w:p>
        </w:tc>
      </w:tr>
      <w:tr>
        <w:tc>
          <w:tcPr>
            <w:tcW w:type="dxa" w:w="869"/>
            <w:tcMar>
              <w:top w:type="dxa" w:w="40"/>
              <w:left w:type="dxa" w:w="80"/>
              <w:bottom w:type="dxa" w:w="40"/>
              <w:right w:type="dxa" w:w="80"/>
            </w:tcMar>
          </w:tcPr>
          <w:p>
            <w:pPr>
              <w:spacing w:after="0"/>
              <w:jc w:val="center"/>
            </w:pPr>
            <w:r>
              <w:rPr>
                <w:rFonts w:ascii="Arial" w:cs="Arial" w:eastAsia="Arial" w:hAnsi="Arial"/>
                <w:b/>
                <w:bCs/>
                <w:sz w:val="17"/>
                <w:szCs w:val="17"/>
              </w:rPr>
              <w:t xml:space="preserve">17</w:t>
            </w:r>
          </w:p>
        </w:tc>
        <w:tc>
          <w:tcPr>
            <w:tcW w:type="dxa" w:w="1481"/>
            <w:tcMar>
              <w:top w:type="dxa" w:w="40"/>
              <w:left w:type="dxa" w:w="80"/>
              <w:bottom w:type="dxa" w:w="40"/>
              <w:right w:type="dxa" w:w="80"/>
            </w:tcMar>
          </w:tcPr>
          <w:p>
            <w:pPr>
              <w:spacing w:after="0"/>
              <w:jc w:val="center"/>
            </w:pPr>
            <w:r>
              <w:rPr>
                <w:rFonts w:ascii="Arial" w:cs="Arial" w:eastAsia="Arial" w:hAnsi="Arial"/>
                <w:b/>
                <w:bCs/>
                <w:sz w:val="17"/>
                <w:szCs w:val="17"/>
              </w:rPr>
              <w:t xml:space="preserve">24 365 kWh</w:t>
            </w:r>
          </w:p>
        </w:tc>
        <w:tc>
          <w:tcPr>
            <w:tcW w:type="dxa" w:w="1481"/>
            <w:tcMar>
              <w:top w:type="dxa" w:w="40"/>
              <w:left w:type="dxa" w:w="80"/>
              <w:bottom w:type="dxa" w:w="40"/>
              <w:right w:type="dxa" w:w="80"/>
            </w:tcMar>
          </w:tcPr>
          <w:p>
            <w:pPr>
              <w:spacing w:after="0"/>
              <w:jc w:val="center"/>
            </w:pPr>
            <w:r>
              <w:rPr>
                <w:rFonts w:ascii="Arial" w:cs="Arial" w:eastAsia="Arial" w:hAnsi="Arial"/>
                <w:b/>
                <w:bCs/>
                <w:sz w:val="17"/>
                <w:szCs w:val="17"/>
              </w:rPr>
              <w:t xml:space="preserve">16 196 kWh</w:t>
            </w:r>
          </w:p>
        </w:tc>
        <w:tc>
          <w:tcPr>
            <w:tcW w:type="dxa" w:w="1314"/>
            <w:tcMar>
              <w:top w:type="dxa" w:w="40"/>
              <w:left w:type="dxa" w:w="80"/>
              <w:bottom w:type="dxa" w:w="40"/>
              <w:right w:type="dxa" w:w="80"/>
            </w:tcMar>
          </w:tcPr>
          <w:p>
            <w:pPr>
              <w:spacing w:after="0"/>
              <w:jc w:val="center"/>
            </w:pPr>
            <w:r>
              <w:rPr>
                <w:rFonts w:ascii="Arial" w:cs="Arial" w:eastAsia="Arial" w:hAnsi="Arial"/>
                <w:b/>
                <w:bCs/>
                <w:sz w:val="17"/>
                <w:szCs w:val="17"/>
              </w:rPr>
              <w:t xml:space="preserve">8 169 kWh</w:t>
            </w:r>
          </w:p>
        </w:tc>
        <w:tc>
          <w:tcPr>
            <w:tcW w:type="dxa" w:w="1259"/>
            <w:tcMar>
              <w:top w:type="dxa" w:w="40"/>
              <w:left w:type="dxa" w:w="80"/>
              <w:bottom w:type="dxa" w:w="40"/>
              <w:right w:type="dxa" w:w="80"/>
            </w:tcMar>
          </w:tcPr>
          <w:p>
            <w:pPr>
              <w:spacing w:after="0"/>
              <w:jc w:val="center"/>
            </w:pPr>
            <w:r>
              <w:rPr>
                <w:rFonts w:ascii="Arial" w:cs="Arial" w:eastAsia="Arial" w:hAnsi="Arial"/>
                <w:b/>
                <w:bCs/>
                <w:sz w:val="17"/>
                <w:szCs w:val="17"/>
              </w:rPr>
              <w:t xml:space="preserve">2 995 €</w:t>
            </w:r>
          </w:p>
        </w:tc>
        <w:tc>
          <w:tcPr>
            <w:tcW w:type="dxa" w:w="1259"/>
            <w:tcMar>
              <w:top w:type="dxa" w:w="40"/>
              <w:left w:type="dxa" w:w="80"/>
              <w:bottom w:type="dxa" w:w="40"/>
              <w:right w:type="dxa" w:w="80"/>
            </w:tcMar>
          </w:tcPr>
          <w:p>
            <w:pPr>
              <w:spacing w:after="0"/>
              <w:jc w:val="center"/>
            </w:pPr>
            <w:r>
              <w:rPr>
                <w:rFonts w:ascii="Arial" w:cs="Arial" w:eastAsia="Arial" w:hAnsi="Arial"/>
                <w:b/>
                <w:bCs/>
                <w:sz w:val="17"/>
                <w:szCs w:val="17"/>
              </w:rPr>
              <w:t xml:space="preserve">1 415 €</w:t>
            </w:r>
          </w:p>
        </w:tc>
        <w:tc>
          <w:tcPr>
            <w:tcW w:type="dxa" w:w="1782"/>
            <w:tcMar>
              <w:top w:type="dxa" w:w="40"/>
              <w:left w:type="dxa" w:w="80"/>
              <w:bottom w:type="dxa" w:w="40"/>
              <w:right w:type="dxa" w:w="80"/>
            </w:tcMar>
          </w:tcPr>
          <w:p>
            <w:pPr>
              <w:spacing w:after="0"/>
              <w:jc w:val="center"/>
            </w:pPr>
            <w:r>
              <w:rPr>
                <w:rFonts w:ascii="Arial" w:cs="Arial" w:eastAsia="Arial" w:hAnsi="Arial"/>
                <w:b/>
                <w:bCs/>
                <w:sz w:val="17"/>
                <w:szCs w:val="17"/>
              </w:rPr>
              <w:t xml:space="preserve">306 €</w:t>
            </w:r>
          </w:p>
        </w:tc>
        <w:tc>
          <w:tcPr>
            <w:tcW w:type="dxa" w:w="981"/>
            <w:tcMar>
              <w:top w:type="dxa" w:w="40"/>
              <w:left w:type="dxa" w:w="80"/>
              <w:bottom w:type="dxa" w:w="40"/>
              <w:right w:type="dxa" w:w="80"/>
            </w:tcMar>
          </w:tcPr>
          <w:p>
            <w:pPr>
              <w:spacing w:after="0"/>
              <w:jc w:val="center"/>
            </w:pPr>
            <w:r>
              <w:rPr>
                <w:rFonts w:ascii="Arial" w:cs="Arial" w:eastAsia="Arial" w:hAnsi="Arial"/>
                <w:b/>
                <w:bCs/>
                <w:sz w:val="17"/>
                <w:szCs w:val="17"/>
              </w:rPr>
              <w:t xml:space="preserve">1 499 €</w:t>
            </w:r>
          </w:p>
        </w:tc>
      </w:tr>
      <w:tr>
        <w:tc>
          <w:tcPr>
            <w:tcW w:type="dxa" w:w="869"/>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18</w:t>
            </w:r>
          </w:p>
        </w:tc>
        <w:tc>
          <w:tcPr>
            <w:tcW w:type="dxa" w:w="1481"/>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24 244 kWh</w:t>
            </w:r>
          </w:p>
        </w:tc>
        <w:tc>
          <w:tcPr>
            <w:tcW w:type="dxa" w:w="1481"/>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16 147 kWh</w:t>
            </w:r>
          </w:p>
        </w:tc>
        <w:tc>
          <w:tcPr>
            <w:tcW w:type="dxa" w:w="1314"/>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8 096 kWh</w:t>
            </w:r>
          </w:p>
        </w:tc>
        <w:tc>
          <w:tcPr>
            <w:tcW w:type="dxa" w:w="1259"/>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3 037 €</w:t>
            </w:r>
          </w:p>
        </w:tc>
        <w:tc>
          <w:tcPr>
            <w:tcW w:type="dxa" w:w="1259"/>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1 457 €</w:t>
            </w:r>
          </w:p>
        </w:tc>
        <w:tc>
          <w:tcPr>
            <w:tcW w:type="dxa" w:w="1782"/>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1 763 €</w:t>
            </w:r>
          </w:p>
        </w:tc>
        <w:tc>
          <w:tcPr>
            <w:tcW w:type="dxa" w:w="981"/>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1 593 €</w:t>
            </w:r>
          </w:p>
        </w:tc>
      </w:tr>
      <w:tr>
        <w:tc>
          <w:tcPr>
            <w:tcW w:type="dxa" w:w="869"/>
            <w:tcMar>
              <w:top w:type="dxa" w:w="40"/>
              <w:left w:type="dxa" w:w="80"/>
              <w:bottom w:type="dxa" w:w="40"/>
              <w:right w:type="dxa" w:w="80"/>
            </w:tcMar>
          </w:tcPr>
          <w:p>
            <w:pPr>
              <w:spacing w:after="0"/>
              <w:jc w:val="center"/>
            </w:pPr>
            <w:r>
              <w:rPr>
                <w:rFonts w:ascii="Arial" w:cs="Arial" w:eastAsia="Arial" w:hAnsi="Arial"/>
                <w:b/>
                <w:bCs/>
                <w:sz w:val="17"/>
                <w:szCs w:val="17"/>
              </w:rPr>
              <w:t xml:space="preserve">19</w:t>
            </w:r>
          </w:p>
        </w:tc>
        <w:tc>
          <w:tcPr>
            <w:tcW w:type="dxa" w:w="1481"/>
            <w:tcMar>
              <w:top w:type="dxa" w:w="40"/>
              <w:left w:type="dxa" w:w="80"/>
              <w:bottom w:type="dxa" w:w="40"/>
              <w:right w:type="dxa" w:w="80"/>
            </w:tcMar>
          </w:tcPr>
          <w:p>
            <w:pPr>
              <w:spacing w:after="0"/>
              <w:jc w:val="center"/>
            </w:pPr>
            <w:r>
              <w:rPr>
                <w:rFonts w:ascii="Arial" w:cs="Arial" w:eastAsia="Arial" w:hAnsi="Arial"/>
                <w:b/>
                <w:bCs/>
                <w:sz w:val="17"/>
                <w:szCs w:val="17"/>
              </w:rPr>
              <w:t xml:space="preserve">24 122 kWh</w:t>
            </w:r>
          </w:p>
        </w:tc>
        <w:tc>
          <w:tcPr>
            <w:tcW w:type="dxa" w:w="1481"/>
            <w:tcMar>
              <w:top w:type="dxa" w:w="40"/>
              <w:left w:type="dxa" w:w="80"/>
              <w:bottom w:type="dxa" w:w="40"/>
              <w:right w:type="dxa" w:w="80"/>
            </w:tcMar>
          </w:tcPr>
          <w:p>
            <w:pPr>
              <w:spacing w:after="0"/>
              <w:jc w:val="center"/>
            </w:pPr>
            <w:r>
              <w:rPr>
                <w:rFonts w:ascii="Arial" w:cs="Arial" w:eastAsia="Arial" w:hAnsi="Arial"/>
                <w:b/>
                <w:bCs/>
                <w:sz w:val="17"/>
                <w:szCs w:val="17"/>
              </w:rPr>
              <w:t xml:space="preserve">16 099 kWh</w:t>
            </w:r>
          </w:p>
        </w:tc>
        <w:tc>
          <w:tcPr>
            <w:tcW w:type="dxa" w:w="1314"/>
            <w:tcMar>
              <w:top w:type="dxa" w:w="40"/>
              <w:left w:type="dxa" w:w="80"/>
              <w:bottom w:type="dxa" w:w="40"/>
              <w:right w:type="dxa" w:w="80"/>
            </w:tcMar>
          </w:tcPr>
          <w:p>
            <w:pPr>
              <w:spacing w:after="0"/>
              <w:jc w:val="center"/>
            </w:pPr>
            <w:r>
              <w:rPr>
                <w:rFonts w:ascii="Arial" w:cs="Arial" w:eastAsia="Arial" w:hAnsi="Arial"/>
                <w:b/>
                <w:bCs/>
                <w:sz w:val="17"/>
                <w:szCs w:val="17"/>
              </w:rPr>
              <w:t xml:space="preserve">8 023 kWh</w:t>
            </w:r>
          </w:p>
        </w:tc>
        <w:tc>
          <w:tcPr>
            <w:tcW w:type="dxa" w:w="1259"/>
            <w:tcMar>
              <w:top w:type="dxa" w:w="40"/>
              <w:left w:type="dxa" w:w="80"/>
              <w:bottom w:type="dxa" w:w="40"/>
              <w:right w:type="dxa" w:w="80"/>
            </w:tcMar>
          </w:tcPr>
          <w:p>
            <w:pPr>
              <w:spacing w:after="0"/>
              <w:jc w:val="center"/>
            </w:pPr>
            <w:r>
              <w:rPr>
                <w:rFonts w:ascii="Arial" w:cs="Arial" w:eastAsia="Arial" w:hAnsi="Arial"/>
                <w:b/>
                <w:bCs/>
                <w:sz w:val="17"/>
                <w:szCs w:val="17"/>
              </w:rPr>
              <w:t xml:space="preserve">3 080 €</w:t>
            </w:r>
          </w:p>
        </w:tc>
        <w:tc>
          <w:tcPr>
            <w:tcW w:type="dxa" w:w="1259"/>
            <w:tcMar>
              <w:top w:type="dxa" w:w="40"/>
              <w:left w:type="dxa" w:w="80"/>
              <w:bottom w:type="dxa" w:w="40"/>
              <w:right w:type="dxa" w:w="80"/>
            </w:tcMar>
          </w:tcPr>
          <w:p>
            <w:pPr>
              <w:spacing w:after="0"/>
              <w:jc w:val="center"/>
            </w:pPr>
            <w:r>
              <w:rPr>
                <w:rFonts w:ascii="Arial" w:cs="Arial" w:eastAsia="Arial" w:hAnsi="Arial"/>
                <w:b/>
                <w:bCs/>
                <w:sz w:val="17"/>
                <w:szCs w:val="17"/>
              </w:rPr>
              <w:t xml:space="preserve">1 500 €</w:t>
            </w:r>
          </w:p>
        </w:tc>
        <w:tc>
          <w:tcPr>
            <w:tcW w:type="dxa" w:w="1782"/>
            <w:tcMar>
              <w:top w:type="dxa" w:w="40"/>
              <w:left w:type="dxa" w:w="80"/>
              <w:bottom w:type="dxa" w:w="40"/>
              <w:right w:type="dxa" w:w="80"/>
            </w:tcMar>
          </w:tcPr>
          <w:p>
            <w:pPr>
              <w:spacing w:after="0"/>
              <w:jc w:val="center"/>
            </w:pPr>
            <w:r>
              <w:rPr>
                <w:rFonts w:ascii="Arial" w:cs="Arial" w:eastAsia="Arial" w:hAnsi="Arial"/>
                <w:b/>
                <w:bCs/>
                <w:sz w:val="17"/>
                <w:szCs w:val="17"/>
              </w:rPr>
              <w:t xml:space="preserve">3 263 €</w:t>
            </w:r>
          </w:p>
        </w:tc>
        <w:tc>
          <w:tcPr>
            <w:tcW w:type="dxa" w:w="981"/>
            <w:tcMar>
              <w:top w:type="dxa" w:w="40"/>
              <w:left w:type="dxa" w:w="80"/>
              <w:bottom w:type="dxa" w:w="40"/>
              <w:right w:type="dxa" w:w="80"/>
            </w:tcMar>
          </w:tcPr>
          <w:p>
            <w:pPr>
              <w:spacing w:after="0"/>
              <w:jc w:val="center"/>
            </w:pPr>
            <w:r>
              <w:rPr>
                <w:rFonts w:ascii="Arial" w:cs="Arial" w:eastAsia="Arial" w:hAnsi="Arial"/>
                <w:b/>
                <w:bCs/>
                <w:sz w:val="17"/>
                <w:szCs w:val="17"/>
              </w:rPr>
              <w:t xml:space="preserve">1 688 €</w:t>
            </w:r>
          </w:p>
        </w:tc>
      </w:tr>
      <w:tr>
        <w:tc>
          <w:tcPr>
            <w:tcW w:type="dxa" w:w="869"/>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20</w:t>
            </w:r>
          </w:p>
        </w:tc>
        <w:tc>
          <w:tcPr>
            <w:tcW w:type="dxa" w:w="1481"/>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24 002 kWh</w:t>
            </w:r>
          </w:p>
        </w:tc>
        <w:tc>
          <w:tcPr>
            <w:tcW w:type="dxa" w:w="1481"/>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16 051 kWh</w:t>
            </w:r>
          </w:p>
        </w:tc>
        <w:tc>
          <w:tcPr>
            <w:tcW w:type="dxa" w:w="1314"/>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7 951 kWh</w:t>
            </w:r>
          </w:p>
        </w:tc>
        <w:tc>
          <w:tcPr>
            <w:tcW w:type="dxa" w:w="1259"/>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3 124 €</w:t>
            </w:r>
          </w:p>
        </w:tc>
        <w:tc>
          <w:tcPr>
            <w:tcW w:type="dxa" w:w="1259"/>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1 544 €</w:t>
            </w:r>
          </w:p>
        </w:tc>
        <w:tc>
          <w:tcPr>
            <w:tcW w:type="dxa" w:w="1782"/>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4 807 €</w:t>
            </w:r>
          </w:p>
        </w:tc>
        <w:tc>
          <w:tcPr>
            <w:tcW w:type="dxa" w:w="981"/>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1 787 €</w:t>
            </w:r>
          </w:p>
        </w:tc>
      </w:tr>
      <w:tr>
        <w:tc>
          <w:tcPr>
            <w:tcW w:type="dxa" w:w="869"/>
            <w:tcMar>
              <w:top w:type="dxa" w:w="40"/>
              <w:left w:type="dxa" w:w="80"/>
              <w:bottom w:type="dxa" w:w="40"/>
              <w:right w:type="dxa" w:w="80"/>
            </w:tcMar>
          </w:tcPr>
          <w:p>
            <w:pPr>
              <w:spacing w:after="0"/>
              <w:jc w:val="center"/>
            </w:pPr>
            <w:r>
              <w:rPr>
                <w:rFonts w:ascii="Arial" w:cs="Arial" w:eastAsia="Arial" w:hAnsi="Arial"/>
                <w:b/>
                <w:bCs/>
                <w:sz w:val="17"/>
                <w:szCs w:val="17"/>
              </w:rPr>
              <w:t xml:space="preserve">21</w:t>
            </w:r>
          </w:p>
        </w:tc>
        <w:tc>
          <w:tcPr>
            <w:tcW w:type="dxa" w:w="1481"/>
            <w:tcMar>
              <w:top w:type="dxa" w:w="40"/>
              <w:left w:type="dxa" w:w="80"/>
              <w:bottom w:type="dxa" w:w="40"/>
              <w:right w:type="dxa" w:w="80"/>
            </w:tcMar>
          </w:tcPr>
          <w:p>
            <w:pPr>
              <w:spacing w:after="0"/>
              <w:jc w:val="center"/>
            </w:pPr>
            <w:r>
              <w:rPr>
                <w:rFonts w:ascii="Arial" w:cs="Arial" w:eastAsia="Arial" w:hAnsi="Arial"/>
                <w:b/>
                <w:bCs/>
                <w:sz w:val="17"/>
                <w:szCs w:val="17"/>
              </w:rPr>
              <w:t xml:space="preserve">23 882 kWh</w:t>
            </w:r>
          </w:p>
        </w:tc>
        <w:tc>
          <w:tcPr>
            <w:tcW w:type="dxa" w:w="1481"/>
            <w:tcMar>
              <w:top w:type="dxa" w:w="40"/>
              <w:left w:type="dxa" w:w="80"/>
              <w:bottom w:type="dxa" w:w="40"/>
              <w:right w:type="dxa" w:w="80"/>
            </w:tcMar>
          </w:tcPr>
          <w:p>
            <w:pPr>
              <w:spacing w:after="0"/>
              <w:jc w:val="center"/>
            </w:pPr>
            <w:r>
              <w:rPr>
                <w:rFonts w:ascii="Arial" w:cs="Arial" w:eastAsia="Arial" w:hAnsi="Arial"/>
                <w:b/>
                <w:bCs/>
                <w:sz w:val="17"/>
                <w:szCs w:val="17"/>
              </w:rPr>
              <w:t xml:space="preserve">16 003 kWh</w:t>
            </w:r>
          </w:p>
        </w:tc>
        <w:tc>
          <w:tcPr>
            <w:tcW w:type="dxa" w:w="1314"/>
            <w:tcMar>
              <w:top w:type="dxa" w:w="40"/>
              <w:left w:type="dxa" w:w="80"/>
              <w:bottom w:type="dxa" w:w="40"/>
              <w:right w:type="dxa" w:w="80"/>
            </w:tcMar>
          </w:tcPr>
          <w:p>
            <w:pPr>
              <w:spacing w:after="0"/>
              <w:jc w:val="center"/>
            </w:pPr>
            <w:r>
              <w:rPr>
                <w:rFonts w:ascii="Arial" w:cs="Arial" w:eastAsia="Arial" w:hAnsi="Arial"/>
                <w:b/>
                <w:bCs/>
                <w:sz w:val="17"/>
                <w:szCs w:val="17"/>
              </w:rPr>
              <w:t xml:space="preserve">7 879 kWh</w:t>
            </w:r>
          </w:p>
        </w:tc>
        <w:tc>
          <w:tcPr>
            <w:tcW w:type="dxa" w:w="1259"/>
            <w:tcMar>
              <w:top w:type="dxa" w:w="40"/>
              <w:left w:type="dxa" w:w="80"/>
              <w:bottom w:type="dxa" w:w="40"/>
              <w:right w:type="dxa" w:w="80"/>
            </w:tcMar>
          </w:tcPr>
          <w:p>
            <w:pPr>
              <w:spacing w:after="0"/>
              <w:jc w:val="center"/>
            </w:pPr>
            <w:r>
              <w:rPr>
                <w:rFonts w:ascii="Arial" w:cs="Arial" w:eastAsia="Arial" w:hAnsi="Arial"/>
                <w:b/>
                <w:bCs/>
                <w:sz w:val="17"/>
                <w:szCs w:val="17"/>
              </w:rPr>
              <w:t xml:space="preserve">3 169 €</w:t>
            </w:r>
          </w:p>
        </w:tc>
        <w:tc>
          <w:tcPr>
            <w:tcW w:type="dxa" w:w="1259"/>
            <w:tcMar>
              <w:top w:type="dxa" w:w="40"/>
              <w:left w:type="dxa" w:w="80"/>
              <w:bottom w:type="dxa" w:w="40"/>
              <w:right w:type="dxa" w:w="80"/>
            </w:tcMar>
          </w:tcPr>
          <w:p>
            <w:pPr>
              <w:spacing w:after="0"/>
              <w:jc w:val="center"/>
            </w:pPr>
            <w:r>
              <w:rPr>
                <w:rFonts w:ascii="Arial" w:cs="Arial" w:eastAsia="Arial" w:hAnsi="Arial"/>
                <w:b/>
                <w:bCs/>
                <w:sz w:val="17"/>
                <w:szCs w:val="17"/>
              </w:rPr>
              <w:t xml:space="preserve">1 589 €</w:t>
            </w:r>
          </w:p>
        </w:tc>
        <w:tc>
          <w:tcPr>
            <w:tcW w:type="dxa" w:w="1782"/>
            <w:tcMar>
              <w:top w:type="dxa" w:w="40"/>
              <w:left w:type="dxa" w:w="80"/>
              <w:bottom w:type="dxa" w:w="40"/>
              <w:right w:type="dxa" w:w="80"/>
            </w:tcMar>
          </w:tcPr>
          <w:p>
            <w:pPr>
              <w:spacing w:after="0"/>
              <w:jc w:val="center"/>
            </w:pPr>
            <w:r>
              <w:rPr>
                <w:rFonts w:ascii="Arial" w:cs="Arial" w:eastAsia="Arial" w:hAnsi="Arial"/>
                <w:b/>
                <w:bCs/>
                <w:sz w:val="17"/>
                <w:szCs w:val="17"/>
              </w:rPr>
              <w:t xml:space="preserve">6 396 €</w:t>
            </w:r>
          </w:p>
        </w:tc>
        <w:tc>
          <w:tcPr>
            <w:tcW w:type="dxa" w:w="981"/>
            <w:tcMar>
              <w:top w:type="dxa" w:w="40"/>
              <w:left w:type="dxa" w:w="80"/>
              <w:bottom w:type="dxa" w:w="40"/>
              <w:right w:type="dxa" w:w="80"/>
            </w:tcMar>
          </w:tcPr>
          <w:p>
            <w:pPr>
              <w:spacing w:after="0"/>
              <w:jc w:val="center"/>
            </w:pPr>
            <w:r>
              <w:rPr>
                <w:rFonts w:ascii="Arial" w:cs="Arial" w:eastAsia="Arial" w:hAnsi="Arial"/>
                <w:b/>
                <w:bCs/>
                <w:sz w:val="17"/>
                <w:szCs w:val="17"/>
              </w:rPr>
              <w:t xml:space="preserve">1 889 €</w:t>
            </w:r>
          </w:p>
        </w:tc>
      </w:tr>
      <w:tr>
        <w:tc>
          <w:tcPr>
            <w:tcW w:type="dxa" w:w="869"/>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22</w:t>
            </w:r>
          </w:p>
        </w:tc>
        <w:tc>
          <w:tcPr>
            <w:tcW w:type="dxa" w:w="1481"/>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23 762 kWh</w:t>
            </w:r>
          </w:p>
        </w:tc>
        <w:tc>
          <w:tcPr>
            <w:tcW w:type="dxa" w:w="1481"/>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15 955 kWh</w:t>
            </w:r>
          </w:p>
        </w:tc>
        <w:tc>
          <w:tcPr>
            <w:tcW w:type="dxa" w:w="1314"/>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7 807 kWh</w:t>
            </w:r>
          </w:p>
        </w:tc>
        <w:tc>
          <w:tcPr>
            <w:tcW w:type="dxa" w:w="1259"/>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3 214 €</w:t>
            </w:r>
          </w:p>
        </w:tc>
        <w:tc>
          <w:tcPr>
            <w:tcW w:type="dxa" w:w="1259"/>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1 634 €</w:t>
            </w:r>
          </w:p>
        </w:tc>
        <w:tc>
          <w:tcPr>
            <w:tcW w:type="dxa" w:w="1782"/>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8 030 €</w:t>
            </w:r>
          </w:p>
        </w:tc>
        <w:tc>
          <w:tcPr>
            <w:tcW w:type="dxa" w:w="981"/>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1 995 €</w:t>
            </w:r>
          </w:p>
        </w:tc>
      </w:tr>
      <w:tr>
        <w:tc>
          <w:tcPr>
            <w:tcW w:type="dxa" w:w="869"/>
            <w:tcMar>
              <w:top w:type="dxa" w:w="40"/>
              <w:left w:type="dxa" w:w="80"/>
              <w:bottom w:type="dxa" w:w="40"/>
              <w:right w:type="dxa" w:w="80"/>
            </w:tcMar>
          </w:tcPr>
          <w:p>
            <w:pPr>
              <w:spacing w:after="0"/>
              <w:jc w:val="center"/>
            </w:pPr>
            <w:r>
              <w:rPr>
                <w:rFonts w:ascii="Arial" w:cs="Arial" w:eastAsia="Arial" w:hAnsi="Arial"/>
                <w:b/>
                <w:bCs/>
                <w:sz w:val="17"/>
                <w:szCs w:val="17"/>
              </w:rPr>
              <w:t xml:space="preserve">23</w:t>
            </w:r>
          </w:p>
        </w:tc>
        <w:tc>
          <w:tcPr>
            <w:tcW w:type="dxa" w:w="1481"/>
            <w:tcMar>
              <w:top w:type="dxa" w:w="40"/>
              <w:left w:type="dxa" w:w="80"/>
              <w:bottom w:type="dxa" w:w="40"/>
              <w:right w:type="dxa" w:w="80"/>
            </w:tcMar>
          </w:tcPr>
          <w:p>
            <w:pPr>
              <w:spacing w:after="0"/>
              <w:jc w:val="center"/>
            </w:pPr>
            <w:r>
              <w:rPr>
                <w:rFonts w:ascii="Arial" w:cs="Arial" w:eastAsia="Arial" w:hAnsi="Arial"/>
                <w:b/>
                <w:bCs/>
                <w:sz w:val="17"/>
                <w:szCs w:val="17"/>
              </w:rPr>
              <w:t xml:space="preserve">23 643 kWh</w:t>
            </w:r>
          </w:p>
        </w:tc>
        <w:tc>
          <w:tcPr>
            <w:tcW w:type="dxa" w:w="1481"/>
            <w:tcMar>
              <w:top w:type="dxa" w:w="40"/>
              <w:left w:type="dxa" w:w="80"/>
              <w:bottom w:type="dxa" w:w="40"/>
              <w:right w:type="dxa" w:w="80"/>
            </w:tcMar>
          </w:tcPr>
          <w:p>
            <w:pPr>
              <w:spacing w:after="0"/>
              <w:jc w:val="center"/>
            </w:pPr>
            <w:r>
              <w:rPr>
                <w:rFonts w:ascii="Arial" w:cs="Arial" w:eastAsia="Arial" w:hAnsi="Arial"/>
                <w:b/>
                <w:bCs/>
                <w:sz w:val="17"/>
                <w:szCs w:val="17"/>
              </w:rPr>
              <w:t xml:space="preserve">15 907 kWh</w:t>
            </w:r>
          </w:p>
        </w:tc>
        <w:tc>
          <w:tcPr>
            <w:tcW w:type="dxa" w:w="1314"/>
            <w:tcMar>
              <w:top w:type="dxa" w:w="40"/>
              <w:left w:type="dxa" w:w="80"/>
              <w:bottom w:type="dxa" w:w="40"/>
              <w:right w:type="dxa" w:w="80"/>
            </w:tcMar>
          </w:tcPr>
          <w:p>
            <w:pPr>
              <w:spacing w:after="0"/>
              <w:jc w:val="center"/>
            </w:pPr>
            <w:r>
              <w:rPr>
                <w:rFonts w:ascii="Arial" w:cs="Arial" w:eastAsia="Arial" w:hAnsi="Arial"/>
                <w:b/>
                <w:bCs/>
                <w:sz w:val="17"/>
                <w:szCs w:val="17"/>
              </w:rPr>
              <w:t xml:space="preserve">7 736 kWh</w:t>
            </w:r>
          </w:p>
        </w:tc>
        <w:tc>
          <w:tcPr>
            <w:tcW w:type="dxa" w:w="1259"/>
            <w:tcMar>
              <w:top w:type="dxa" w:w="40"/>
              <w:left w:type="dxa" w:w="80"/>
              <w:bottom w:type="dxa" w:w="40"/>
              <w:right w:type="dxa" w:w="80"/>
            </w:tcMar>
          </w:tcPr>
          <w:p>
            <w:pPr>
              <w:spacing w:after="0"/>
              <w:jc w:val="center"/>
            </w:pPr>
            <w:r>
              <w:rPr>
                <w:rFonts w:ascii="Arial" w:cs="Arial" w:eastAsia="Arial" w:hAnsi="Arial"/>
                <w:b/>
                <w:bCs/>
                <w:sz w:val="17"/>
                <w:szCs w:val="17"/>
              </w:rPr>
              <w:t xml:space="preserve">3 261 €</w:t>
            </w:r>
          </w:p>
        </w:tc>
        <w:tc>
          <w:tcPr>
            <w:tcW w:type="dxa" w:w="1259"/>
            <w:tcMar>
              <w:top w:type="dxa" w:w="40"/>
              <w:left w:type="dxa" w:w="80"/>
              <w:bottom w:type="dxa" w:w="40"/>
              <w:right w:type="dxa" w:w="80"/>
            </w:tcMar>
          </w:tcPr>
          <w:p>
            <w:pPr>
              <w:spacing w:after="0"/>
              <w:jc w:val="center"/>
            </w:pPr>
            <w:r>
              <w:rPr>
                <w:rFonts w:ascii="Arial" w:cs="Arial" w:eastAsia="Arial" w:hAnsi="Arial"/>
                <w:b/>
                <w:bCs/>
                <w:sz w:val="17"/>
                <w:szCs w:val="17"/>
              </w:rPr>
              <w:t xml:space="preserve">1 681 €</w:t>
            </w:r>
          </w:p>
        </w:tc>
        <w:tc>
          <w:tcPr>
            <w:tcW w:type="dxa" w:w="1782"/>
            <w:tcMar>
              <w:top w:type="dxa" w:w="40"/>
              <w:left w:type="dxa" w:w="80"/>
              <w:bottom w:type="dxa" w:w="40"/>
              <w:right w:type="dxa" w:w="80"/>
            </w:tcMar>
          </w:tcPr>
          <w:p>
            <w:pPr>
              <w:spacing w:after="0"/>
              <w:jc w:val="center"/>
            </w:pPr>
            <w:r>
              <w:rPr>
                <w:rFonts w:ascii="Arial" w:cs="Arial" w:eastAsia="Arial" w:hAnsi="Arial"/>
                <w:b/>
                <w:bCs/>
                <w:sz w:val="17"/>
                <w:szCs w:val="17"/>
              </w:rPr>
              <w:t xml:space="preserve">9 711 €</w:t>
            </w:r>
          </w:p>
        </w:tc>
        <w:tc>
          <w:tcPr>
            <w:tcW w:type="dxa" w:w="981"/>
            <w:tcMar>
              <w:top w:type="dxa" w:w="40"/>
              <w:left w:type="dxa" w:w="80"/>
              <w:bottom w:type="dxa" w:w="40"/>
              <w:right w:type="dxa" w:w="80"/>
            </w:tcMar>
          </w:tcPr>
          <w:p>
            <w:pPr>
              <w:spacing w:after="0"/>
              <w:jc w:val="center"/>
            </w:pPr>
            <w:r>
              <w:rPr>
                <w:rFonts w:ascii="Arial" w:cs="Arial" w:eastAsia="Arial" w:hAnsi="Arial"/>
                <w:b/>
                <w:bCs/>
                <w:sz w:val="17"/>
                <w:szCs w:val="17"/>
              </w:rPr>
              <w:t xml:space="preserve">2 103 €</w:t>
            </w:r>
          </w:p>
        </w:tc>
      </w:tr>
      <w:tr>
        <w:tc>
          <w:tcPr>
            <w:tcW w:type="dxa" w:w="869"/>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24</w:t>
            </w:r>
          </w:p>
        </w:tc>
        <w:tc>
          <w:tcPr>
            <w:tcW w:type="dxa" w:w="1481"/>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23 525 kWh</w:t>
            </w:r>
          </w:p>
        </w:tc>
        <w:tc>
          <w:tcPr>
            <w:tcW w:type="dxa" w:w="1481"/>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15 860 kWh</w:t>
            </w:r>
          </w:p>
        </w:tc>
        <w:tc>
          <w:tcPr>
            <w:tcW w:type="dxa" w:w="1314"/>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7 665 kWh</w:t>
            </w:r>
          </w:p>
        </w:tc>
        <w:tc>
          <w:tcPr>
            <w:tcW w:type="dxa" w:w="1259"/>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3 308 €</w:t>
            </w:r>
          </w:p>
        </w:tc>
        <w:tc>
          <w:tcPr>
            <w:tcW w:type="dxa" w:w="1259"/>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1 728 €</w:t>
            </w:r>
          </w:p>
        </w:tc>
        <w:tc>
          <w:tcPr>
            <w:tcW w:type="dxa" w:w="1782"/>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11 439 €</w:t>
            </w:r>
          </w:p>
        </w:tc>
        <w:tc>
          <w:tcPr>
            <w:tcW w:type="dxa" w:w="981"/>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2 215 €</w:t>
            </w:r>
          </w:p>
        </w:tc>
      </w:tr>
      <w:tr>
        <w:tc>
          <w:tcPr>
            <w:tcW w:type="dxa" w:w="869"/>
            <w:tcMar>
              <w:top w:type="dxa" w:w="40"/>
              <w:left w:type="dxa" w:w="80"/>
              <w:bottom w:type="dxa" w:w="40"/>
              <w:right w:type="dxa" w:w="80"/>
            </w:tcMar>
          </w:tcPr>
          <w:p>
            <w:pPr>
              <w:spacing w:after="0"/>
              <w:jc w:val="center"/>
            </w:pPr>
            <w:r>
              <w:rPr>
                <w:rFonts w:ascii="Arial" w:cs="Arial" w:eastAsia="Arial" w:hAnsi="Arial"/>
                <w:b/>
                <w:bCs/>
                <w:sz w:val="17"/>
                <w:szCs w:val="17"/>
              </w:rPr>
              <w:t xml:space="preserve">25</w:t>
            </w:r>
          </w:p>
        </w:tc>
        <w:tc>
          <w:tcPr>
            <w:tcW w:type="dxa" w:w="1481"/>
            <w:tcMar>
              <w:top w:type="dxa" w:w="40"/>
              <w:left w:type="dxa" w:w="80"/>
              <w:bottom w:type="dxa" w:w="40"/>
              <w:right w:type="dxa" w:w="80"/>
            </w:tcMar>
          </w:tcPr>
          <w:p>
            <w:pPr>
              <w:spacing w:after="0"/>
              <w:jc w:val="center"/>
            </w:pPr>
            <w:r>
              <w:rPr>
                <w:rFonts w:ascii="Arial" w:cs="Arial" w:eastAsia="Arial" w:hAnsi="Arial"/>
                <w:b/>
                <w:bCs/>
                <w:sz w:val="17"/>
                <w:szCs w:val="17"/>
              </w:rPr>
              <w:t xml:space="preserve">23 408 kWh</w:t>
            </w:r>
          </w:p>
        </w:tc>
        <w:tc>
          <w:tcPr>
            <w:tcW w:type="dxa" w:w="1481"/>
            <w:tcMar>
              <w:top w:type="dxa" w:w="40"/>
              <w:left w:type="dxa" w:w="80"/>
              <w:bottom w:type="dxa" w:w="40"/>
              <w:right w:type="dxa" w:w="80"/>
            </w:tcMar>
          </w:tcPr>
          <w:p>
            <w:pPr>
              <w:spacing w:after="0"/>
              <w:jc w:val="center"/>
            </w:pPr>
            <w:r>
              <w:rPr>
                <w:rFonts w:ascii="Arial" w:cs="Arial" w:eastAsia="Arial" w:hAnsi="Arial"/>
                <w:b/>
                <w:bCs/>
                <w:sz w:val="17"/>
                <w:szCs w:val="17"/>
              </w:rPr>
              <w:t xml:space="preserve">15 813 kWh</w:t>
            </w:r>
          </w:p>
        </w:tc>
        <w:tc>
          <w:tcPr>
            <w:tcW w:type="dxa" w:w="1314"/>
            <w:tcMar>
              <w:top w:type="dxa" w:w="40"/>
              <w:left w:type="dxa" w:w="80"/>
              <w:bottom w:type="dxa" w:w="40"/>
              <w:right w:type="dxa" w:w="80"/>
            </w:tcMar>
          </w:tcPr>
          <w:p>
            <w:pPr>
              <w:spacing w:after="0"/>
              <w:jc w:val="center"/>
            </w:pPr>
            <w:r>
              <w:rPr>
                <w:rFonts w:ascii="Arial" w:cs="Arial" w:eastAsia="Arial" w:hAnsi="Arial"/>
                <w:b/>
                <w:bCs/>
                <w:sz w:val="17"/>
                <w:szCs w:val="17"/>
              </w:rPr>
              <w:t xml:space="preserve">7 595 kWh</w:t>
            </w:r>
          </w:p>
        </w:tc>
        <w:tc>
          <w:tcPr>
            <w:tcW w:type="dxa" w:w="1259"/>
            <w:tcMar>
              <w:top w:type="dxa" w:w="40"/>
              <w:left w:type="dxa" w:w="80"/>
              <w:bottom w:type="dxa" w:w="40"/>
              <w:right w:type="dxa" w:w="80"/>
            </w:tcMar>
          </w:tcPr>
          <w:p>
            <w:pPr>
              <w:spacing w:after="0"/>
              <w:jc w:val="center"/>
            </w:pPr>
            <w:r>
              <w:rPr>
                <w:rFonts w:ascii="Arial" w:cs="Arial" w:eastAsia="Arial" w:hAnsi="Arial"/>
                <w:b/>
                <w:bCs/>
                <w:sz w:val="17"/>
                <w:szCs w:val="17"/>
              </w:rPr>
              <w:t xml:space="preserve">3 356 €</w:t>
            </w:r>
          </w:p>
        </w:tc>
        <w:tc>
          <w:tcPr>
            <w:tcW w:type="dxa" w:w="1259"/>
            <w:tcMar>
              <w:top w:type="dxa" w:w="40"/>
              <w:left w:type="dxa" w:w="80"/>
              <w:bottom w:type="dxa" w:w="40"/>
              <w:right w:type="dxa" w:w="80"/>
            </w:tcMar>
          </w:tcPr>
          <w:p>
            <w:pPr>
              <w:spacing w:after="0"/>
              <w:jc w:val="center"/>
            </w:pPr>
            <w:r>
              <w:rPr>
                <w:rFonts w:ascii="Arial" w:cs="Arial" w:eastAsia="Arial" w:hAnsi="Arial"/>
                <w:b/>
                <w:bCs/>
                <w:sz w:val="17"/>
                <w:szCs w:val="17"/>
              </w:rPr>
              <w:t xml:space="preserve">1 776 €</w:t>
            </w:r>
          </w:p>
        </w:tc>
        <w:tc>
          <w:tcPr>
            <w:tcW w:type="dxa" w:w="1782"/>
            <w:tcMar>
              <w:top w:type="dxa" w:w="40"/>
              <w:left w:type="dxa" w:w="80"/>
              <w:bottom w:type="dxa" w:w="40"/>
              <w:right w:type="dxa" w:w="80"/>
            </w:tcMar>
          </w:tcPr>
          <w:p>
            <w:pPr>
              <w:spacing w:after="0"/>
              <w:jc w:val="center"/>
            </w:pPr>
            <w:r>
              <w:rPr>
                <w:rFonts w:ascii="Arial" w:cs="Arial" w:eastAsia="Arial" w:hAnsi="Arial"/>
                <w:b/>
                <w:bCs/>
                <w:sz w:val="17"/>
                <w:szCs w:val="17"/>
              </w:rPr>
              <w:t xml:space="preserve">13 214 €</w:t>
            </w:r>
          </w:p>
        </w:tc>
        <w:tc>
          <w:tcPr>
            <w:tcW w:type="dxa" w:w="981"/>
            <w:tcMar>
              <w:top w:type="dxa" w:w="40"/>
              <w:left w:type="dxa" w:w="80"/>
              <w:bottom w:type="dxa" w:w="40"/>
              <w:right w:type="dxa" w:w="80"/>
            </w:tcMar>
          </w:tcPr>
          <w:p>
            <w:pPr>
              <w:spacing w:after="0"/>
              <w:jc w:val="center"/>
            </w:pPr>
            <w:r>
              <w:rPr>
                <w:rFonts w:ascii="Arial" w:cs="Arial" w:eastAsia="Arial" w:hAnsi="Arial"/>
                <w:b/>
                <w:bCs/>
                <w:sz w:val="17"/>
                <w:szCs w:val="17"/>
              </w:rPr>
              <w:t xml:space="preserve">2 330 €</w:t>
            </w:r>
          </w:p>
        </w:tc>
      </w:tr>
    </w:tbl>
    <w:p>
      <w:pPr>
        <w:pStyle w:val="Heading2"/>
        <w:spacing w:after="100" w:before="260"/>
      </w:pPr>
      <w:r>
        <w:rPr>
          <w:rFonts w:ascii="Arial" w:cs="Arial" w:eastAsia="Arial" w:hAnsi="Arial"/>
          <w:b/>
          <w:bCs/>
          <w:color w:val="0F4761"/>
          <w:sz w:val="22"/>
          <w:szCs w:val="22"/>
        </w:rPr>
        <w:t xml:space="preserve">10. Formules employées</w:t>
      </w:r>
    </w:p>
    <w:p>
      <w:pPr>
        <w:pBdr>
          <w:left w:val="single" w:color="0F4761" w:sz="12" w:space="4"/>
        </w:pBdr>
        <w:shd w:fill="F4F9FC" w:val="clear"/>
        <w:spacing w:after="40"/>
      </w:pPr>
      <w:r>
        <w:rPr>
          <w:rFonts w:ascii="Consolas" w:cs="Consolas" w:eastAsia="Consolas" w:hAnsi="Consolas"/>
          <w:sz w:val="17"/>
          <w:szCs w:val="17"/>
        </w:rPr>
        <w:t xml:space="preserve">Production(t) = puissance × productible × (1 − dégradation)^(t−1)</w:t>
      </w:r>
    </w:p>
    <w:p>
      <w:pPr>
        <w:pBdr>
          <w:left w:val="single" w:color="0F4761" w:sz="12" w:space="4"/>
        </w:pBdr>
        <w:shd w:fill="F4F9FC" w:val="clear"/>
        <w:spacing w:after="40"/>
      </w:pPr>
      <w:r>
        <w:rPr>
          <w:rFonts w:ascii="Consolas" w:cs="Consolas" w:eastAsia="Consolas" w:hAnsi="Consolas"/>
          <w:sz w:val="17"/>
          <w:szCs w:val="17"/>
        </w:rPr>
        <w:t xml:space="preserve">Capacité(i) = consommation(i) × simultanéité(i)</w:t>
      </w:r>
    </w:p>
    <w:p>
      <w:pPr>
        <w:pBdr>
          <w:left w:val="single" w:color="0F4761" w:sz="12" w:space="4"/>
        </w:pBdr>
        <w:shd w:fill="F4F9FC" w:val="clear"/>
        <w:spacing w:after="40"/>
      </w:pPr>
      <w:r>
        <w:rPr>
          <w:rFonts w:ascii="Consolas" w:cs="Consolas" w:eastAsia="Consolas" w:hAnsi="Consolas"/>
          <w:sz w:val="17"/>
          <w:szCs w:val="17"/>
        </w:rPr>
        <w:t xml:space="preserve">Énergie ACC(i,t) = selon le mode d'affectation, plafonnée par Capacité(i)</w:t>
      </w:r>
    </w:p>
    <w:p>
      <w:pPr>
        <w:pBdr>
          <w:left w:val="single" w:color="0F4761" w:sz="12" w:space="4"/>
        </w:pBdr>
        <w:shd w:fill="F4F9FC" w:val="clear"/>
        <w:spacing w:after="40"/>
      </w:pPr>
      <w:r>
        <w:rPr>
          <w:rFonts w:ascii="Consolas" w:cs="Consolas" w:eastAsia="Consolas" w:hAnsi="Consolas"/>
          <w:sz w:val="17"/>
          <w:szCs w:val="17"/>
        </w:rPr>
        <w:t xml:space="preserve">Surplus(t) = Production(t) − Σ Énergie ACC(i,t)</w:t>
      </w:r>
    </w:p>
    <w:p>
      <w:pPr>
        <w:pBdr>
          <w:left w:val="single" w:color="0F4761" w:sz="12" w:space="4"/>
        </w:pBdr>
        <w:shd w:fill="F4F9FC" w:val="clear"/>
        <w:spacing w:after="40"/>
      </w:pPr>
      <w:r>
        <w:rPr>
          <w:rFonts w:ascii="Consolas" w:cs="Consolas" w:eastAsia="Consolas" w:hAnsi="Consolas"/>
          <w:sz w:val="17"/>
          <w:szCs w:val="17"/>
        </w:rPr>
        <w:t xml:space="preserve">Recettes(t) = Σ Énergie ACC × Prix ACC(t) + Surplus × prix surplus</w:t>
      </w:r>
    </w:p>
    <w:p>
      <w:pPr>
        <w:pBdr>
          <w:left w:val="single" w:color="0F4761" w:sz="12" w:space="4"/>
        </w:pBdr>
        <w:shd w:fill="F4F9FC" w:val="clear"/>
        <w:spacing w:after="40"/>
      </w:pPr>
      <w:r>
        <w:rPr>
          <w:rFonts w:ascii="Consolas" w:cs="Consolas" w:eastAsia="Consolas" w:hAnsi="Consolas"/>
          <w:sz w:val="17"/>
          <w:szCs w:val="17"/>
        </w:rPr>
        <w:t xml:space="preserve">Charges(t) = maintenance + frais PMO + composante gestion × (participants + 1)</w:t>
      </w:r>
    </w:p>
    <w:p>
      <w:pPr>
        <w:pBdr>
          <w:left w:val="single" w:color="0F4761" w:sz="12" w:space="4"/>
        </w:pBdr>
        <w:shd w:fill="F4F9FC" w:val="clear"/>
        <w:spacing w:after="40"/>
      </w:pPr>
      <w:r>
        <w:rPr>
          <w:rFonts w:ascii="Consolas" w:cs="Consolas" w:eastAsia="Consolas" w:hAnsi="Consolas"/>
          <w:sz w:val="17"/>
          <w:szCs w:val="17"/>
        </w:rPr>
        <w:t xml:space="preserve">Économie conso(i,t) = Énergie ACC(i,t) × [ Prix réseau(t) − Prix ACC(t) − acheminement ]</w:t>
      </w:r>
    </w:p>
    <w:p>
      <w:pPr>
        <w:pBdr>
          <w:left w:val="single" w:color="0F4761" w:sz="12" w:space="4"/>
        </w:pBdr>
        <w:shd w:fill="F4F9FC" w:val="clear"/>
        <w:spacing w:after="40"/>
      </w:pPr>
      <w:r>
        <w:rPr>
          <w:rFonts w:ascii="Consolas" w:cs="Consolas" w:eastAsia="Consolas" w:hAnsi="Consolas"/>
          <w:sz w:val="17"/>
          <w:szCs w:val="17"/>
        </w:rPr>
        <w:t xml:space="preserve">VAN = −Investissement net + Σ Flux net(t) / (1 + taux d'actualisation)^t</w:t>
      </w:r>
    </w:p>
    <w:p>
      <w:pPr>
        <w:pBdr>
          <w:left w:val="single" w:color="0F4761" w:sz="12" w:space="4"/>
        </w:pBdr>
        <w:shd w:fill="F4F9FC" w:val="clear"/>
        <w:spacing w:after="40"/>
      </w:pPr>
      <w:r>
        <w:rPr>
          <w:rFonts w:ascii="Consolas" w:cs="Consolas" w:eastAsia="Consolas" w:hAnsi="Consolas"/>
          <w:sz w:val="17"/>
          <w:szCs w:val="17"/>
        </w:rPr>
        <w:t xml:space="preserve">TRI = taux annulant la VAN, résolu par bissection</w:t>
      </w:r>
    </w:p>
    <w:p>
      <w:pPr>
        <w:pStyle w:val="Heading2"/>
        <w:spacing w:after="100" w:before="260"/>
      </w:pPr>
      <w:r>
        <w:rPr>
          <w:rFonts w:ascii="Arial" w:cs="Arial" w:eastAsia="Arial" w:hAnsi="Arial"/>
          <w:b/>
          <w:bCs/>
          <w:color w:val="0F4761"/>
          <w:sz w:val="22"/>
          <w:szCs w:val="22"/>
        </w:rPr>
        <w:t xml:space="preserve">11. Limites du modèle</w:t>
      </w:r>
    </w:p>
    <w:p>
      <w:pPr>
        <w:pStyle w:val="ListParagraph"/>
        <w:numPr>
          <w:ilvl w:val="0"/>
          <w:numId w:val="1"/>
        </w:numPr>
        <w:spacing w:after="70"/>
        <w:jc w:val="both"/>
      </w:pPr>
      <w:r>
        <w:rPr>
          <w:rFonts w:ascii="Arial" w:cs="Arial" w:eastAsia="Arial" w:hAnsi="Arial"/>
          <w:b/>
          <w:bCs/>
          <w:sz w:val="18"/>
          <w:szCs w:val="18"/>
        </w:rPr>
        <w:t xml:space="preserve">Raisonnement en énergie annuelle</w:t>
      </w:r>
      <w:r>
        <w:rPr>
          <w:rFonts w:ascii="Arial" w:cs="Arial" w:eastAsia="Arial" w:hAnsi="Arial"/>
          <w:sz w:val="18"/>
          <w:szCs w:val="18"/>
        </w:rPr>
        <w:t xml:space="preserve">, non au pas de 15 minutes : la simultanéité remplace une simulation sur courbes de charge réelles. Suffisant pour une pré-étude et pour comparer des modes d'affectation, insuffisant pour engager un investissement.</w:t>
      </w:r>
    </w:p>
    <w:p>
      <w:pPr>
        <w:pStyle w:val="ListParagraph"/>
        <w:numPr>
          <w:ilvl w:val="0"/>
          <w:numId w:val="1"/>
        </w:numPr>
        <w:spacing w:after="70"/>
        <w:jc w:val="both"/>
      </w:pPr>
      <w:r>
        <w:rPr>
          <w:rFonts w:ascii="Arial" w:cs="Arial" w:eastAsia="Arial" w:hAnsi="Arial"/>
          <w:b/>
          <w:bCs/>
          <w:sz w:val="18"/>
          <w:szCs w:val="18"/>
        </w:rPr>
        <w:t xml:space="preserve">Un prix réseau unique</w:t>
      </w:r>
      <w:r>
        <w:rPr>
          <w:rFonts w:ascii="Arial" w:cs="Arial" w:eastAsia="Arial" w:hAnsi="Arial"/>
          <w:sz w:val="18"/>
          <w:szCs w:val="18"/>
        </w:rPr>
        <w:t xml:space="preserve"> pour tous les participants, alors que les tarifs varient et se déclinent le plus souvent sur quatre plages temporelles pour les non-résidentiels.</w:t>
      </w:r>
    </w:p>
    <w:p>
      <w:pPr>
        <w:pStyle w:val="ListParagraph"/>
        <w:numPr>
          <w:ilvl w:val="0"/>
          <w:numId w:val="1"/>
        </w:numPr>
        <w:spacing w:after="70"/>
        <w:jc w:val="both"/>
      </w:pPr>
      <w:r>
        <w:rPr>
          <w:rFonts w:ascii="Arial" w:cs="Arial" w:eastAsia="Arial" w:hAnsi="Arial"/>
          <w:b/>
          <w:bCs/>
          <w:sz w:val="18"/>
          <w:szCs w:val="18"/>
        </w:rPr>
        <w:t xml:space="preserve">Le TURPE spécifique optionnel n'est pas modélisé</w:t>
      </w:r>
      <w:r>
        <w:rPr>
          <w:rFonts w:ascii="Arial" w:cs="Arial" w:eastAsia="Arial" w:hAnsi="Arial"/>
          <w:sz w:val="18"/>
          <w:szCs w:val="18"/>
        </w:rPr>
        <w:t xml:space="preserve">, ni la « part fixe » de production non affectée introduite par le décret de 2026, supposée nulle.</w:t>
      </w:r>
    </w:p>
    <w:p>
      <w:pPr>
        <w:pStyle w:val="ListParagraph"/>
        <w:numPr>
          <w:ilvl w:val="0"/>
          <w:numId w:val="1"/>
        </w:numPr>
        <w:spacing w:after="70"/>
        <w:jc w:val="both"/>
      </w:pPr>
      <w:r>
        <w:rPr>
          <w:rFonts w:ascii="Arial" w:cs="Arial" w:eastAsia="Arial" w:hAnsi="Arial"/>
          <w:b/>
          <w:bCs/>
          <w:sz w:val="18"/>
          <w:szCs w:val="18"/>
        </w:rPr>
        <w:t xml:space="preserve">Aucune fiscalité</w:t>
      </w:r>
      <w:r>
        <w:rPr>
          <w:rFonts w:ascii="Arial" w:cs="Arial" w:eastAsia="Arial" w:hAnsi="Arial"/>
          <w:sz w:val="18"/>
          <w:szCs w:val="18"/>
        </w:rPr>
        <w:t xml:space="preserve"> sur les recettes du producteur, ni IFER, ni taxe foncière, ni imposition des bénéfices. Aucun financement : l'investissement est supposé payé comptant en année 0.</w:t>
      </w:r>
    </w:p>
    <w:p>
      <w:pPr>
        <w:pStyle w:val="ListParagraph"/>
        <w:numPr>
          <w:ilvl w:val="0"/>
          <w:numId w:val="1"/>
        </w:numPr>
        <w:spacing w:after="70"/>
        <w:jc w:val="both"/>
      </w:pPr>
      <w:r>
        <w:rPr>
          <w:rFonts w:ascii="Arial" w:cs="Arial" w:eastAsia="Arial" w:hAnsi="Arial"/>
          <w:b/>
          <w:bCs/>
          <w:sz w:val="18"/>
          <w:szCs w:val="18"/>
        </w:rPr>
        <w:t xml:space="preserve">Le collectif est supposé stable sur toute la durée.</w:t>
      </w:r>
      <w:r>
        <w:rPr>
          <w:rFonts w:ascii="Arial" w:cs="Arial" w:eastAsia="Arial" w:hAnsi="Arial"/>
          <w:sz w:val="18"/>
          <w:szCs w:val="18"/>
        </w:rPr>
        <w:t xml:space="preserve"> Un participant qui déménage ou se retire oblige à revoir la clé — un risque propre à l'ACC.</w:t>
      </w:r>
    </w:p>
    <w:p>
      <w:pPr>
        <w:pStyle w:val="ListParagraph"/>
        <w:numPr>
          <w:ilvl w:val="0"/>
          <w:numId w:val="1"/>
        </w:numPr>
        <w:spacing w:after="70"/>
        <w:jc w:val="both"/>
      </w:pPr>
      <w:r>
        <w:rPr>
          <w:rFonts w:ascii="Arial" w:cs="Arial" w:eastAsia="Arial" w:hAnsi="Arial"/>
          <w:b/>
          <w:bCs/>
          <w:sz w:val="18"/>
          <w:szCs w:val="18"/>
        </w:rPr>
        <w:t xml:space="preserve">Les écarts affichés entre modes d'affectation constituent une borne haute</w:t>
      </w:r>
      <w:r>
        <w:rPr>
          <w:rFonts w:ascii="Arial" w:cs="Arial" w:eastAsia="Arial" w:hAnsi="Arial"/>
          <w:sz w:val="18"/>
          <w:szCs w:val="18"/>
        </w:rPr>
        <w:t xml:space="preserve"> du gain réellement atteignable, une clé dynamique ne pouvant anticiper parfaitement les consommations.</w:t>
      </w:r>
    </w:p>
    <w:p>
      <w:pPr>
        <w:pStyle w:val="Heading2"/>
        <w:spacing w:after="100" w:before="260"/>
      </w:pPr>
      <w:r>
        <w:rPr>
          <w:rFonts w:ascii="Arial" w:cs="Arial" w:eastAsia="Arial" w:hAnsi="Arial"/>
          <w:b/>
          <w:bCs/>
          <w:color w:val="0F4761"/>
          <w:sz w:val="22"/>
          <w:szCs w:val="22"/>
        </w:rPr>
        <w:t xml:space="preserve">12. Suites à donner</w:t>
      </w:r>
    </w:p>
    <w:p>
      <w:pPr>
        <w:pStyle w:val="ListParagraph"/>
        <w:numPr>
          <w:ilvl w:val="0"/>
          <w:numId w:val="1"/>
        </w:numPr>
        <w:spacing w:after="70"/>
        <w:jc w:val="both"/>
      </w:pPr>
      <w:r>
        <w:rPr>
          <w:rFonts w:ascii="Arial" w:cs="Arial" w:eastAsia="Arial" w:hAnsi="Arial"/>
          <w:sz w:val="20"/>
          <w:szCs w:val="20"/>
        </w:rPr>
        <w:t xml:space="preserve">Confirmer l'éligibilité du périmètre et la puissance cumulée auprès du gestionnaire de réseau.</w:t>
      </w:r>
    </w:p>
    <w:p>
      <w:pPr>
        <w:pStyle w:val="ListParagraph"/>
        <w:numPr>
          <w:ilvl w:val="0"/>
          <w:numId w:val="1"/>
        </w:numPr>
        <w:spacing w:after="70"/>
        <w:jc w:val="both"/>
      </w:pPr>
      <w:r>
        <w:rPr>
          <w:rFonts w:ascii="Arial" w:cs="Arial" w:eastAsia="Arial" w:hAnsi="Arial"/>
          <w:sz w:val="20"/>
          <w:szCs w:val="20"/>
        </w:rPr>
        <w:t xml:space="preserve">Remplacer les coefficients de simultanéité par des courbes de charge réelles, seul moyen de fiabiliser le résultat.</w:t>
      </w:r>
    </w:p>
    <w:p>
      <w:pPr>
        <w:pStyle w:val="ListParagraph"/>
        <w:numPr>
          <w:ilvl w:val="0"/>
          <w:numId w:val="1"/>
        </w:numPr>
        <w:spacing w:after="70"/>
        <w:jc w:val="both"/>
      </w:pPr>
      <w:r>
        <w:rPr>
          <w:rFonts w:ascii="Arial" w:cs="Arial" w:eastAsia="Arial" w:hAnsi="Arial"/>
          <w:sz w:val="20"/>
          <w:szCs w:val="20"/>
        </w:rPr>
        <w:t xml:space="preserve">Vérifier le tarif d'acheminement applicable, la valorisation du surplus et l'éligibilité au TURPE spécifique.</w:t>
      </w:r>
    </w:p>
    <w:p>
      <w:pPr>
        <w:pStyle w:val="ListParagraph"/>
        <w:numPr>
          <w:ilvl w:val="0"/>
          <w:numId w:val="1"/>
        </w:numPr>
        <w:spacing w:after="70"/>
        <w:jc w:val="both"/>
      </w:pPr>
      <w:r>
        <w:rPr>
          <w:rFonts w:ascii="Arial" w:cs="Arial" w:eastAsia="Arial" w:hAnsi="Arial"/>
          <w:sz w:val="20"/>
          <w:szCs w:val="20"/>
        </w:rPr>
        <w:t xml:space="preserve">Arbitrer le prix de vente ACC et le mode d'affectation en instance de PMO : ce sont des décisions de gouvernance, que le calcul éclaire sans les trancher.</w:t>
      </w:r>
    </w:p>
    <w:p>
      <w:pPr>
        <w:pStyle w:val="ListParagraph"/>
        <w:numPr>
          <w:ilvl w:val="0"/>
          <w:numId w:val="1"/>
        </w:numPr>
        <w:spacing w:after="70"/>
        <w:jc w:val="both"/>
      </w:pPr>
      <w:r>
        <w:rPr>
          <w:rFonts w:ascii="Arial" w:cs="Arial" w:eastAsia="Arial" w:hAnsi="Arial"/>
          <w:sz w:val="20"/>
          <w:szCs w:val="20"/>
        </w:rPr>
        <w:t xml:space="preserve">Vérifier la compatibilité des aides envisagées avec le régime de valorisation du surplus retenu.</w:t>
      </w:r>
    </w:p>
    <w:p>
      <w:pPr>
        <w:pStyle w:val="Heading2"/>
        <w:spacing w:after="100" w:before="260"/>
      </w:pPr>
      <w:r>
        <w:rPr>
          <w:rFonts w:ascii="Arial" w:cs="Arial" w:eastAsia="Arial" w:hAnsi="Arial"/>
          <w:b/>
          <w:bCs/>
          <w:color w:val="0F4761"/>
          <w:sz w:val="22"/>
          <w:szCs w:val="22"/>
        </w:rPr>
        <w:t xml:space="preserve">13. Refaire ou ajuster cette simulation</w:t>
      </w:r>
    </w:p>
    <w:p>
      <w:pPr>
        <w:spacing w:after="120" w:line="264"/>
        <w:jc w:val="both"/>
      </w:pPr>
      <w:r>
        <w:rPr>
          <w:rFonts w:ascii="Arial" w:cs="Arial" w:eastAsia="Arial" w:hAnsi="Arial"/>
          <w:sz w:val="20"/>
          <w:szCs w:val="20"/>
        </w:rPr>
        <w:t xml:space="preserve">Ce rapport est produit par le simulateur d'autoconsommation collective de Soleil Beaujolais, un fichier HTML autonome qui s'ouvre dans n'importe quel navigateur. La marche à suivre pour produire une nouvelle version :</w:t>
      </w:r>
    </w:p>
    <w:p>
      <w:pPr>
        <w:pStyle w:val="ListParagraph"/>
        <w:numPr>
          <w:ilvl w:val="0"/>
          <w:numId w:val="1"/>
        </w:numPr>
        <w:spacing w:after="70"/>
        <w:jc w:val="both"/>
      </w:pPr>
      <w:r>
        <w:rPr>
          <w:rFonts w:ascii="Arial" w:cs="Arial" w:eastAsia="Arial" w:hAnsi="Arial"/>
          <w:b/>
          <w:bCs/>
          <w:sz w:val="18"/>
          <w:szCs w:val="18"/>
        </w:rPr>
        <w:t xml:space="preserve">1. </w:t>
      </w:r>
      <w:r>
        <w:rPr>
          <w:rFonts w:ascii="Arial" w:cs="Arial" w:eastAsia="Arial" w:hAnsi="Arial"/>
          <w:sz w:val="18"/>
          <w:szCs w:val="18"/>
        </w:rPr>
        <w:t xml:space="preserve">Vérifier d'abord l'éligibilité — périmètre géographique et puissance cumulée. Un projet hors périmètre n'a pas d'économie à simuler.</w:t>
      </w:r>
    </w:p>
    <w:p>
      <w:pPr>
        <w:pStyle w:val="ListParagraph"/>
        <w:numPr>
          <w:ilvl w:val="0"/>
          <w:numId w:val="1"/>
        </w:numPr>
        <w:spacing w:after="70"/>
        <w:jc w:val="both"/>
      </w:pPr>
      <w:r>
        <w:rPr>
          <w:rFonts w:ascii="Arial" w:cs="Arial" w:eastAsia="Arial" w:hAnsi="Arial"/>
          <w:b/>
          <w:bCs/>
          <w:sz w:val="18"/>
          <w:szCs w:val="18"/>
        </w:rPr>
        <w:t xml:space="preserve">2. </w:t>
      </w:r>
      <w:r>
        <w:rPr>
          <w:rFonts w:ascii="Arial" w:cs="Arial" w:eastAsia="Arial" w:hAnsi="Arial"/>
          <w:sz w:val="18"/>
          <w:szCs w:val="18"/>
        </w:rPr>
        <w:t xml:space="preserve">Renseigner les participants avec leur consommation réelle et une estimation honnête de leur simultanéité, puis comparer le total des capacités d'absorption à la production : c'est le premier test de cohérence du projet.</w:t>
      </w:r>
    </w:p>
    <w:p>
      <w:pPr>
        <w:pStyle w:val="ListParagraph"/>
        <w:numPr>
          <w:ilvl w:val="0"/>
          <w:numId w:val="1"/>
        </w:numPr>
        <w:spacing w:after="70"/>
        <w:jc w:val="both"/>
      </w:pPr>
      <w:r>
        <w:rPr>
          <w:rFonts w:ascii="Arial" w:cs="Arial" w:eastAsia="Arial" w:hAnsi="Arial"/>
          <w:b/>
          <w:bCs/>
          <w:sz w:val="18"/>
          <w:szCs w:val="18"/>
        </w:rPr>
        <w:t xml:space="preserve">3. </w:t>
      </w:r>
      <w:r>
        <w:rPr>
          <w:rFonts w:ascii="Arial" w:cs="Arial" w:eastAsia="Arial" w:hAnsi="Arial"/>
          <w:sz w:val="18"/>
          <w:szCs w:val="18"/>
        </w:rPr>
        <w:t xml:space="preserve">Ajuster la production et l'investissement d'après le devis, sans oublier les frais spécifiques à l'ACC — étude de faisabilité, montage juridique, convention de raccordement — qui pèsent proportionnellement plus lourd sur les petites opérations.</w:t>
      </w:r>
    </w:p>
    <w:p>
      <w:pPr>
        <w:pStyle w:val="ListParagraph"/>
        <w:numPr>
          <w:ilvl w:val="0"/>
          <w:numId w:val="1"/>
        </w:numPr>
        <w:spacing w:after="70"/>
        <w:jc w:val="both"/>
      </w:pPr>
      <w:r>
        <w:rPr>
          <w:rFonts w:ascii="Arial" w:cs="Arial" w:eastAsia="Arial" w:hAnsi="Arial"/>
          <w:b/>
          <w:bCs/>
          <w:sz w:val="18"/>
          <w:szCs w:val="18"/>
        </w:rPr>
        <w:t xml:space="preserve">4. </w:t>
      </w:r>
      <w:r>
        <w:rPr>
          <w:rFonts w:ascii="Arial" w:cs="Arial" w:eastAsia="Arial" w:hAnsi="Arial"/>
          <w:sz w:val="18"/>
          <w:szCs w:val="18"/>
        </w:rPr>
        <w:t xml:space="preserve">Caler les prix : le prix réseau vient des factures, le prix de vente ACC est la variable de décision de la PMO. Le faire varier et observer les deux colonnes, producteur et consommateurs, jusqu'à trouver un point acceptable pour les deux.</w:t>
      </w:r>
    </w:p>
    <w:p>
      <w:pPr>
        <w:pStyle w:val="ListParagraph"/>
        <w:numPr>
          <w:ilvl w:val="0"/>
          <w:numId w:val="1"/>
        </w:numPr>
        <w:spacing w:after="70"/>
        <w:jc w:val="both"/>
      </w:pPr>
      <w:r>
        <w:rPr>
          <w:rFonts w:ascii="Arial" w:cs="Arial" w:eastAsia="Arial" w:hAnsi="Arial"/>
          <w:b/>
          <w:bCs/>
          <w:sz w:val="18"/>
          <w:szCs w:val="18"/>
        </w:rPr>
        <w:t xml:space="preserve">5. </w:t>
      </w:r>
      <w:r>
        <w:rPr>
          <w:rFonts w:ascii="Arial" w:cs="Arial" w:eastAsia="Arial" w:hAnsi="Arial"/>
          <w:sz w:val="18"/>
          <w:szCs w:val="18"/>
        </w:rPr>
        <w:t xml:space="preserve">Comparer les trois modes d'affectation pour mesurer ce que coûte une clé mal ajustée.</w:t>
      </w:r>
    </w:p>
    <w:p>
      <w:pPr>
        <w:pStyle w:val="ListParagraph"/>
        <w:numPr>
          <w:ilvl w:val="0"/>
          <w:numId w:val="1"/>
        </w:numPr>
        <w:spacing w:after="70"/>
        <w:jc w:val="both"/>
      </w:pPr>
      <w:r>
        <w:rPr>
          <w:rFonts w:ascii="Arial" w:cs="Arial" w:eastAsia="Arial" w:hAnsi="Arial"/>
          <w:b/>
          <w:bCs/>
          <w:sz w:val="18"/>
          <w:szCs w:val="18"/>
        </w:rPr>
        <w:t xml:space="preserve">6. </w:t>
      </w:r>
      <w:r>
        <w:rPr>
          <w:rFonts w:ascii="Arial" w:cs="Arial" w:eastAsia="Arial" w:hAnsi="Arial"/>
          <w:sz w:val="18"/>
          <w:szCs w:val="18"/>
        </w:rPr>
        <w:t xml:space="preserve">Tester la robustesse : mettre la subvention à zéro, la hausse du prix réseau à 0 %, la simultanéité dix points plus bas. Si le projet résiste, il est solide.</w:t>
      </w:r>
    </w:p>
    <w:p>
      <w:pPr>
        <w:spacing w:after="120" w:line="264"/>
        <w:jc w:val="both"/>
      </w:pPr>
      <w:r>
        <w:rPr>
          <w:rFonts w:ascii="Arial" w:cs="Arial" w:eastAsia="Arial" w:hAnsi="Arial"/>
          <w:b/>
          <w:bCs/>
          <w:sz w:val="18"/>
          <w:szCs w:val="18"/>
        </w:rPr>
        <w:t xml:space="preserve">Manuel complet. </w:t>
      </w:r>
      <w:r>
        <w:rPr>
          <w:rFonts w:ascii="Arial" w:cs="Arial" w:eastAsia="Arial" w:hAnsi="Arial"/>
          <w:sz w:val="18"/>
          <w:szCs w:val="18"/>
        </w:rPr>
        <w:t xml:space="preserve">Chaque paramètre dispose dans le simulateur d'un lien d'aide qui ouvre le manuel d'utilisation à la fiche correspondante. Les explications reprises dans ce rapport en sont extraites : les deux documents disent la même chose.</w:t>
      </w:r>
    </w:p>
    <w:sectPr>
      <w:headerReference w:type="default" r:id="rId7"/>
      <w:footerReference w:type="default" r:id="rId8"/>
      <w:pgSz w:w="11906" w:h="16838" w:orient="portrait"/>
      <w:pgMar w:top="2120" w:right="740" w:bottom="1240" w:left="740"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4761" w:sz="6" w:space="6"/>
      </w:pBdr>
      <w:jc w:val="center"/>
    </w:pPr>
    <w:r>
      <w:rPr>
        <w:rFonts w:ascii="Arial" w:cs="Arial" w:eastAsia="Arial" w:hAnsi="Arial"/>
        <w:b/>
        <w:bCs/>
        <w:color w:val="595959"/>
        <w:sz w:val="22"/>
        <w:szCs w:val="22"/>
      </w:rPr>
      <w:t xml:space="preserve">Soleil Beaujolais — Énergie citoyenne en Beaujolais · soleilbeaujolais.fr</w:t>
    </w:r>
  </w:p>
  <w:p>
    <w:pPr>
      <w:tabs>
        <w:tab w:val="right" w:pos="10426"/>
      </w:tabs>
      <w:spacing w:before="40"/>
    </w:pPr>
    <w:r>
      <w:rPr>
        <w:rFonts w:ascii="Arial" w:cs="Arial" w:eastAsia="Arial" w:hAnsi="Arial"/>
        <w:color w:val="595959"/>
        <w:sz w:val="22"/>
        <w:szCs w:val="22"/>
      </w:rPr>
      <w:t xml:space="preserve">7 septembre 2026</w:t>
    </w:r>
    <w:r>
      <w:tab/>
    </w:r>
    <w:r>
      <w:rPr>
        <w:rFonts w:ascii="Arial" w:cs="Arial" w:eastAsia="Arial" w:hAnsi="Arial"/>
        <w:color w:val="595959"/>
        <w:sz w:val="22"/>
        <w:szCs w:val="22"/>
      </w:rPr>
      <w:fldChar w:fldCharType="begin"/>
      <w:instrText xml:space="preserve">PAGE</w:instrText>
      <w:fldChar w:fldCharType="separate"/>
      <w:fldChar w:fldCharType="end"/>
    </w:r>
    <w:r>
      <w:rPr>
        <w:rFonts w:ascii="Arial" w:cs="Arial" w:eastAsia="Arial" w:hAnsi="Arial"/>
        <w:color w:val="595959"/>
        <w:sz w:val="22"/>
        <w:szCs w:val="22"/>
      </w:rPr>
      <w:t xml:space="preserve"> / </w:t>
    </w:r>
    <w:r>
      <w:rPr>
        <w:rFonts w:ascii="Arial" w:cs="Arial" w:eastAsia="Arial" w:hAnsi="Arial"/>
        <w:color w:val="595959"/>
        <w:sz w:val="22"/>
        <w:szCs w:val="22"/>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426"/>
      <w:tblBorders>
        <w:top w:val="none"/>
        <w:left w:val="none"/>
        <w:bottom w:val="single" w:color="0F4761" w:sz="14"/>
        <w:right w:val="none"/>
        <w:insideH w:val="none"/>
        <w:insideV w:val="none"/>
      </w:tblBorders>
    </w:tblPr>
    <w:tblGrid>
      <w:gridCol w:w="1080"/>
      <w:gridCol w:w="4546"/>
      <w:gridCol w:w="4800"/>
    </w:tblGrid>
    <w:tr>
      <w:tc>
        <w:tcPr>
          <w:tcW w:type="dxa" w:w="1080"/>
          <w:tcMar>
            <w:top w:type="dxa" w:w="40"/>
            <w:left w:type="dxa" w:w="0"/>
            <w:bottom w:type="dxa" w:w="80"/>
            <w:right w:type="dxa" w:w="60"/>
          </w:tcMar>
          <w:vAlign w:val="center"/>
        </w:tcPr>
        <w:p>
          <w:r>
            <w:drawing>
              <wp:inline distT="0" distB="0" distL="0" distR="0">
                <wp:extent cx="51435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14350" cy="514350"/>
                        </a:xfrm>
                        <a:prstGeom prst="rect">
                          <a:avLst/>
                        </a:prstGeom>
                      </pic:spPr>
                    </pic:pic>
                  </a:graphicData>
                </a:graphic>
              </wp:inline>
            </w:drawing>
          </w:r>
        </w:p>
      </w:tc>
      <w:tc>
        <w:tcPr>
          <w:tcW w:type="dxa" w:w="4546"/>
          <w:tcMar>
            <w:top w:type="dxa" w:w="40"/>
            <w:bottom w:type="dxa" w:w="80"/>
          </w:tcMar>
          <w:vAlign w:val="center"/>
        </w:tcPr>
        <w:p>
          <w:pPr>
            <w:spacing w:after="0"/>
            <w:jc w:val="center"/>
          </w:pPr>
          <w:r>
            <w:rPr>
              <w:rFonts w:ascii="Arial" w:cs="Arial" w:eastAsia="Arial" w:hAnsi="Arial"/>
              <w:b/>
              <w:bCs/>
              <w:i/>
              <w:iCs/>
              <w:color w:val="0F4761"/>
              <w:sz w:val="28"/>
              <w:szCs w:val="28"/>
            </w:rPr>
            <w:t xml:space="preserve">SOLEIL BEAUJOLAIS</w:t>
          </w:r>
        </w:p>
        <w:p>
          <w:pPr>
            <w:spacing w:after="0"/>
            <w:jc w:val="center"/>
          </w:pPr>
          <w:r>
            <w:rPr>
              <w:rFonts w:ascii="Arial" w:cs="Arial" w:eastAsia="Arial" w:hAnsi="Arial"/>
              <w:b/>
              <w:bCs/>
              <w:i/>
              <w:iCs/>
              <w:color w:val="0F4761"/>
              <w:sz w:val="28"/>
              <w:szCs w:val="28"/>
            </w:rPr>
            <w:t xml:space="preserve">Autoconsommation collective</w:t>
          </w:r>
        </w:p>
      </w:tc>
      <w:tc>
        <w:tcPr>
          <w:tcW w:type="dxa" w:w="4800"/>
          <w:tcMar>
            <w:top w:type="dxa" w:w="40"/>
            <w:bottom w:type="dxa" w:w="80"/>
          </w:tcMar>
          <w:vAlign w:val="center"/>
        </w:tcPr>
        <w:p>
          <w:pPr>
            <w:jc w:val="right"/>
          </w:pPr>
          <w:r>
            <w:drawing>
              <wp:inline distT="0" distB="0" distL="0" distR="0">
                <wp:extent cx="22479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2247900" cy="571500"/>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564352e233a09566ce54aa0a4a47c5e671ef93a.png"/><Relationship Id="rId10" Type="http://schemas.openxmlformats.org/officeDocument/2006/relationships/image" Target="media/db56560905f1347eb55974d53233f94a4151343a.png"/><Relationship Id="rId11" Type="http://schemas.openxmlformats.org/officeDocument/2006/relationships/image" Target="media/d42a367e6d1c5fb294d28da95a43636f4c6615a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ba83cbb61058d0eb16a8b87330a018e3daaa3b8.png"/><Relationship Id="rId1" Type="http://schemas.openxmlformats.org/officeDocument/2006/relationships/image" Target="media/f864b93711bfad3f881d9ecb18ed84e49ec17d77.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simulation — Autoconsommation collective</dc:title>
  <dc:creator>Soleil Beaujolais</dc:creator>
  <dc:description>Rapport produit par le simulateur d'autoconsommation collective de Soleil Beaujolais</dc:description>
  <cp:lastModifiedBy>Un-named</cp:lastModifiedBy>
  <cp:revision>1</cp:revision>
  <dcterms:created xsi:type="dcterms:W3CDTF">2026-09-07T06:36:44.418Z</dcterms:created>
  <dcterms:modified xsi:type="dcterms:W3CDTF">2026-09-07T06:36:44.419Z</dcterms:modified>
</cp:coreProperties>
</file>

<file path=docProps/custom.xml><?xml version="1.0" encoding="utf-8"?>
<Properties xmlns="http://schemas.openxmlformats.org/officeDocument/2006/custom-properties" xmlns:vt="http://schemas.openxmlformats.org/officeDocument/2006/docPropsVTypes"/>
</file>