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هذا نص تجريبي للتأكد من المحاذاة اليمينية الجذرية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  <w:bidi w:val="1"/>
      <w:rtlGutter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hemeFontLang w:val="en-US" w:bidi="ar-EG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rFonts w:ascii="Cairo" w:hAnsi="Cairo" w:cs="Cairo"/>
        <w:rtl w:val="1"/>
        <w:lang w:val="ar-EG" w:bidi="ar-EG"/>
      </w:rPr>
    </w:rPrDefault>
    <w:pPrDefault>
      <w:pPr>
        <w:spacing w:after="200" w:line="276" w:lineRule="auto"/>
        <w:bidi w:val="1"/>
        <w:jc w:val="right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right"/>
    </w:pPr>
    <w:rPr>
      <w:rFonts w:ascii="Cairo" w:hAnsi="Cairo"/>
      <w:sz w:val="20"/>
      <w:rtl w:val="1"/>
      <w:lang w:val="ar-EG" w:bidi="ar-EG"/>
      <w:rFonts w:ascii="Cairo" w:hAnsi="Cairo" w:cs="Cairo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