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Calibri" w:hAnsi="Calibri"/>
          <w:b/>
          <w:color w:val="0B2545"/>
          <w:sz w:val="40"/>
        </w:rPr>
        <w:t>HWTT Analyzer Background: Data Analysis and Modeling Documentation</w:t>
      </w:r>
    </w:p>
    <w:p>
      <w:pPr>
        <w:spacing w:before="0" w:after="280" w:line="276" w:lineRule="auto"/>
      </w:pPr>
      <w:r>
        <w:rPr>
          <w:rFonts w:ascii="Calibri" w:hAnsi="Calibri"/>
          <w:color w:val="555555"/>
          <w:sz w:val="21"/>
        </w:rPr>
        <w:t>Technical background for how the app prepares, analyzes, models, reports, and visualizes Hamburg Wheel Tracking Test data.</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9360"/>
      </w:tblGrid>
      <w:tr>
        <w:tc>
          <w:tcPr>
            <w:tcW w:type="dxa" w:w="9360"/>
            <w:tcMar>
              <w:top w:w="80" w:type="dxa"/>
              <w:start w:w="120" w:type="dxa"/>
              <w:bottom w:w="80" w:type="dxa"/>
              <w:end w:w="120" w:type="dxa"/>
            </w:tcMar>
            <w:vAlign w:val="center"/>
            <w:shd w:fill="F4F6F9"/>
          </w:tcPr>
          <w:p>
            <w:pPr>
              <w:spacing w:before="0" w:after="0" w:line="276" w:lineRule="auto"/>
            </w:pPr>
            <w:r>
              <w:rPr>
                <w:rFonts w:ascii="Calibri" w:hAnsi="Calibri"/>
                <w:b/>
                <w:color w:val="1F4D78"/>
              </w:rPr>
              <w:t>Scope: This document describes the analysis workflow used by the released HWTT Analyzer application. It is intended for users and reviewers who need to understand how supported equipment output is transformed into summary metrics, plots, and Excel deliverables. The public distribution contains the compiled Windows application rather than the implementation source code.</w:t>
            </w:r>
            <w:r>
              <w:rPr>
                <w:rFonts w:ascii="Calibri" w:hAnsi="Calibri"/>
              </w:rPr>
            </w:r>
          </w:p>
        </w:tc>
      </w:tr>
    </w:tbl>
    <w:p/>
    <w:p>
      <w:pPr>
        <w:pStyle w:val="Heading1"/>
      </w:pPr>
      <w:r>
        <w:t>Application Purpose</w:t>
      </w:r>
    </w:p>
    <w:p>
      <w:pPr>
        <w:spacing w:before="0" w:after="120" w:line="300" w:lineRule="auto"/>
      </w:pPr>
      <w:r>
        <w:rPr>
          <w:rFonts w:ascii="Calibri" w:hAnsi="Calibri"/>
        </w:rPr>
        <w:t>The HWTT Analyzer is a Windows desktop tool for processing Hamburg Wheel Tracking Test rut-depth data. HWTT is widely used to evaluate asphalt-mixture rutting resistance and moisture susceptibility because it combines repeated wheel loading with submerged test conditions (Mohammad et al., 2017; Yin et al., 2020). The app supports multiple equipment or workbook formats, standardizes the raw readings into a common rut-depth schema, fits model curves to each wheel series, calculates rutting and moisture-susceptibility metrics, and exports plots and a formatted Excel workbook.</w:t>
      </w:r>
    </w:p>
    <w:p>
      <w:pPr>
        <w:pStyle w:val="Heading1"/>
      </w:pPr>
      <w:r>
        <w:t>Supported Input Modes</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200"/>
        <w:gridCol w:w="7160"/>
      </w:tblGrid>
      <w:tr>
        <w:tc>
          <w:tcPr>
            <w:tcW w:type="dxa" w:w="2200"/>
            <w:tcMar>
              <w:top w:w="80" w:type="dxa"/>
              <w:start w:w="120" w:type="dxa"/>
              <w:bottom w:w="80" w:type="dxa"/>
              <w:end w:w="120" w:type="dxa"/>
            </w:tcMar>
            <w:vAlign w:val="center"/>
            <w:shd w:fill="E8EEF5"/>
          </w:tcPr>
          <w:p>
            <w:pPr>
              <w:spacing w:before="0" w:after="0" w:line="276" w:lineRule="auto"/>
            </w:pPr>
            <w:r>
              <w:rPr>
                <w:rFonts w:ascii="Calibri" w:hAnsi="Calibri"/>
                <w:b/>
                <w:color w:val="0B2545"/>
              </w:rPr>
              <w:t>Mode</w:t>
            </w:r>
          </w:p>
        </w:tc>
        <w:tc>
          <w:tcPr>
            <w:tcW w:type="dxa" w:w="7160"/>
            <w:tcMar>
              <w:top w:w="80" w:type="dxa"/>
              <w:start w:w="120" w:type="dxa"/>
              <w:bottom w:w="80" w:type="dxa"/>
              <w:end w:w="120" w:type="dxa"/>
            </w:tcMar>
            <w:vAlign w:val="center"/>
            <w:shd w:fill="E8EEF5"/>
          </w:tcPr>
          <w:p>
            <w:pPr>
              <w:spacing w:before="0" w:after="0" w:line="276" w:lineRule="auto"/>
            </w:pPr>
            <w:r>
              <w:rPr>
                <w:rFonts w:ascii="Calibri" w:hAnsi="Calibri"/>
                <w:b/>
                <w:color w:val="0B2545"/>
              </w:rPr>
              <w:t>Data handling</w:t>
            </w:r>
          </w:p>
        </w:tc>
      </w:tr>
      <w:tr>
        <w:tc>
          <w:tcPr>
            <w:tcW w:type="dxa" w:w="2200"/>
            <w:tcMar>
              <w:top w:w="80" w:type="dxa"/>
              <w:start w:w="120" w:type="dxa"/>
              <w:bottom w:w="80" w:type="dxa"/>
              <w:end w:w="120" w:type="dxa"/>
            </w:tcMar>
          </w:tcPr>
          <w:p>
            <w:pPr>
              <w:spacing w:before="0" w:after="0" w:line="269" w:lineRule="auto"/>
            </w:pPr>
            <w:r>
              <w:rPr>
                <w:rFonts w:ascii="Calibri" w:hAnsi="Calibri"/>
                <w:sz w:val="19"/>
              </w:rPr>
              <w:t>Auto detect folder</w:t>
            </w:r>
          </w:p>
        </w:tc>
        <w:tc>
          <w:tcPr>
            <w:tcW w:type="dxa" w:w="7160"/>
            <w:tcMar>
              <w:top w:w="80" w:type="dxa"/>
              <w:start w:w="120" w:type="dxa"/>
              <w:bottom w:w="80" w:type="dxa"/>
              <w:end w:w="120" w:type="dxa"/>
            </w:tcMar>
          </w:tcPr>
          <w:p>
            <w:pPr>
              <w:spacing w:before="0" w:after="0" w:line="269" w:lineRule="auto"/>
            </w:pPr>
            <w:r>
              <w:rPr>
                <w:rFonts w:ascii="Calibri" w:hAnsi="Calibri"/>
                <w:sz w:val="19"/>
              </w:rPr>
              <w:t>Searches a selected folder for supported PTI, Troxler, and Instrotech sources and chooses an input source automatically.</w:t>
            </w:r>
          </w:p>
        </w:tc>
      </w:tr>
      <w:tr>
        <w:tc>
          <w:tcPr>
            <w:tcW w:type="dxa" w:w="2200"/>
            <w:tcMar>
              <w:top w:w="80" w:type="dxa"/>
              <w:start w:w="120" w:type="dxa"/>
              <w:bottom w:w="80" w:type="dxa"/>
              <w:end w:w="120" w:type="dxa"/>
            </w:tcMar>
          </w:tcPr>
          <w:p>
            <w:pPr>
              <w:spacing w:before="0" w:after="0" w:line="269" w:lineRule="auto"/>
            </w:pPr>
            <w:r>
              <w:rPr>
                <w:rFonts w:ascii="Calibri" w:hAnsi="Calibri"/>
                <w:sz w:val="19"/>
              </w:rPr>
              <w:t>PTI workbook</w:t>
            </w:r>
          </w:p>
        </w:tc>
        <w:tc>
          <w:tcPr>
            <w:tcW w:type="dxa" w:w="7160"/>
            <w:tcMar>
              <w:top w:w="80" w:type="dxa"/>
              <w:start w:w="120" w:type="dxa"/>
              <w:bottom w:w="80" w:type="dxa"/>
              <w:end w:w="120" w:type="dxa"/>
            </w:tcMar>
          </w:tcPr>
          <w:p>
            <w:pPr>
              <w:spacing w:before="0" w:after="0" w:line="269" w:lineRule="auto"/>
            </w:pPr>
            <w:r>
              <w:rPr>
                <w:rFonts w:ascii="Calibri" w:hAnsi="Calibri"/>
                <w:sz w:val="19"/>
              </w:rPr>
              <w:t>Reads the RawData sheet, coalesces left/right stroke counts into PASSNUM, uses Water Temp as TEMPSET, and averages Left/Right Depth Value 4 through 8.</w:t>
            </w:r>
          </w:p>
        </w:tc>
      </w:tr>
      <w:tr>
        <w:tc>
          <w:tcPr>
            <w:tcW w:type="dxa" w:w="2200"/>
            <w:tcMar>
              <w:top w:w="80" w:type="dxa"/>
              <w:start w:w="120" w:type="dxa"/>
              <w:bottom w:w="80" w:type="dxa"/>
              <w:end w:w="120" w:type="dxa"/>
            </w:tcMar>
          </w:tcPr>
          <w:p>
            <w:pPr>
              <w:spacing w:before="0" w:after="0" w:line="269" w:lineRule="auto"/>
            </w:pPr>
            <w:r>
              <w:rPr>
                <w:rFonts w:ascii="Calibri" w:hAnsi="Calibri"/>
                <w:sz w:val="19"/>
              </w:rPr>
              <w:t>Troxler workbook</w:t>
            </w:r>
          </w:p>
        </w:tc>
        <w:tc>
          <w:tcPr>
            <w:tcW w:type="dxa" w:w="7160"/>
            <w:tcMar>
              <w:top w:w="80" w:type="dxa"/>
              <w:start w:w="120" w:type="dxa"/>
              <w:bottom w:w="80" w:type="dxa"/>
              <w:end w:w="120" w:type="dxa"/>
            </w:tcMar>
          </w:tcPr>
          <w:p>
            <w:pPr>
              <w:spacing w:before="0" w:after="0" w:line="269" w:lineRule="auto"/>
            </w:pPr>
            <w:r>
              <w:rPr>
                <w:rFonts w:ascii="Calibri" w:hAnsi="Calibri"/>
                <w:sz w:val="19"/>
              </w:rPr>
              <w:t>Reads TEMPSET, PASSNUM, L4-L8, and R4-R8. Left and right rut depth are calculated as the mean of the absolute values of the corresponding sensor columns. This sign normalization follows the input convention assumed by the application; users should verify that their Troxler export uses the same rut-depth sign convention before analysis.</w:t>
            </w:r>
          </w:p>
        </w:tc>
      </w:tr>
      <w:tr>
        <w:tc>
          <w:tcPr>
            <w:tcW w:type="dxa" w:w="2200"/>
            <w:tcMar>
              <w:top w:w="80" w:type="dxa"/>
              <w:start w:w="120" w:type="dxa"/>
              <w:bottom w:w="80" w:type="dxa"/>
              <w:end w:w="120" w:type="dxa"/>
            </w:tcMar>
          </w:tcPr>
          <w:p>
            <w:pPr>
              <w:spacing w:before="0" w:after="0" w:line="269" w:lineRule="auto"/>
            </w:pPr>
            <w:r>
              <w:rPr>
                <w:rFonts w:ascii="Calibri" w:hAnsi="Calibri"/>
                <w:sz w:val="19"/>
              </w:rPr>
              <w:t>Instrotech pair</w:t>
            </w:r>
          </w:p>
        </w:tc>
        <w:tc>
          <w:tcPr>
            <w:tcW w:type="dxa" w:w="7160"/>
            <w:tcMar>
              <w:top w:w="80" w:type="dxa"/>
              <w:start w:w="120" w:type="dxa"/>
              <w:bottom w:w="80" w:type="dxa"/>
              <w:end w:w="120" w:type="dxa"/>
            </w:tcMar>
          </w:tcPr>
          <w:p>
            <w:pPr>
              <w:spacing w:before="0" w:after="0" w:line="269" w:lineRule="auto"/>
            </w:pPr>
            <w:r>
              <w:rPr>
                <w:rFonts w:ascii="Calibri" w:hAnsi="Calibri"/>
                <w:sz w:val="19"/>
              </w:rPr>
              <w:t>Reads separate left and right text or DOCX reports, parses graph rows for pass number, rut depth, and temperature, then merges the sides by PASSNUM.</w:t>
            </w:r>
          </w:p>
        </w:tc>
      </w:tr>
      <w:tr>
        <w:tc>
          <w:tcPr>
            <w:tcW w:type="dxa" w:w="2200"/>
            <w:tcMar>
              <w:top w:w="80" w:type="dxa"/>
              <w:start w:w="120" w:type="dxa"/>
              <w:bottom w:w="80" w:type="dxa"/>
              <w:end w:w="120" w:type="dxa"/>
            </w:tcMar>
          </w:tcPr>
          <w:p>
            <w:pPr>
              <w:spacing w:before="0" w:after="0" w:line="269" w:lineRule="auto"/>
            </w:pPr>
            <w:r>
              <w:rPr>
                <w:rFonts w:ascii="Calibri" w:hAnsi="Calibri"/>
                <w:sz w:val="19"/>
              </w:rPr>
              <w:t>Custom Excel</w:t>
            </w:r>
          </w:p>
        </w:tc>
        <w:tc>
          <w:tcPr>
            <w:tcW w:type="dxa" w:w="7160"/>
            <w:tcMar>
              <w:top w:w="80" w:type="dxa"/>
              <w:start w:w="120" w:type="dxa"/>
              <w:bottom w:w="80" w:type="dxa"/>
              <w:end w:w="120" w:type="dxa"/>
            </w:tcMar>
          </w:tcPr>
          <w:p>
            <w:pPr>
              <w:spacing w:before="0" w:after="0" w:line="269" w:lineRule="auto"/>
            </w:pPr>
            <w:r>
              <w:rPr>
                <w:rFonts w:ascii="Calibri" w:hAnsi="Calibri"/>
                <w:sz w:val="19"/>
              </w:rPr>
              <w:t>Accepts user-prepared columns similar to Number of Passes, Left Rut Depth, Right Rut Depth, and optional temperature. Header matching is forgiving.</w:t>
            </w:r>
          </w:p>
        </w:tc>
      </w:tr>
    </w:tbl>
    <w:p/>
    <w:p>
      <w:pPr>
        <w:pStyle w:val="Heading1"/>
      </w:pPr>
      <w:r>
        <w:t>Standardized Data Schema</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500"/>
        <w:gridCol w:w="6860"/>
      </w:tblGrid>
      <w:tr>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color w:val="0B2545"/>
              </w:rPr>
              <w:t>Field</w:t>
            </w:r>
          </w:p>
        </w:tc>
        <w:tc>
          <w:tcPr>
            <w:tcW w:type="dxa" w:w="6860"/>
            <w:tcMar>
              <w:top w:w="80" w:type="dxa"/>
              <w:start w:w="120" w:type="dxa"/>
              <w:bottom w:w="80" w:type="dxa"/>
              <w:end w:w="120" w:type="dxa"/>
            </w:tcMar>
            <w:vAlign w:val="center"/>
            <w:shd w:fill="E8EEF5"/>
          </w:tcPr>
          <w:p>
            <w:pPr>
              <w:spacing w:before="0" w:after="0" w:line="276" w:lineRule="auto"/>
            </w:pPr>
            <w:r>
              <w:rPr>
                <w:rFonts w:ascii="Calibri" w:hAnsi="Calibri"/>
                <w:b/>
                <w:color w:val="0B2545"/>
              </w:rPr>
              <w:t>Meaning</w:t>
            </w:r>
          </w:p>
        </w:tc>
      </w:tr>
      <w:tr>
        <w:tc>
          <w:tcPr>
            <w:tcW w:type="dxa" w:w="2500"/>
            <w:tcMar>
              <w:top w:w="80" w:type="dxa"/>
              <w:start w:w="120" w:type="dxa"/>
              <w:bottom w:w="80" w:type="dxa"/>
              <w:end w:w="120" w:type="dxa"/>
            </w:tcMar>
          </w:tcPr>
          <w:p>
            <w:pPr>
              <w:spacing w:before="0" w:after="0" w:line="269" w:lineRule="auto"/>
            </w:pPr>
            <w:r>
              <w:rPr>
                <w:rFonts w:ascii="Calibri" w:hAnsi="Calibri"/>
                <w:sz w:val="19"/>
              </w:rPr>
              <w:t>PASSNUM</w:t>
            </w:r>
          </w:p>
        </w:tc>
        <w:tc>
          <w:tcPr>
            <w:tcW w:type="dxa" w:w="6860"/>
            <w:tcMar>
              <w:top w:w="80" w:type="dxa"/>
              <w:start w:w="120" w:type="dxa"/>
              <w:bottom w:w="80" w:type="dxa"/>
              <w:end w:w="120" w:type="dxa"/>
            </w:tcMar>
          </w:tcPr>
          <w:p>
            <w:pPr>
              <w:spacing w:before="0" w:after="0" w:line="269" w:lineRule="auto"/>
            </w:pPr>
            <w:r>
              <w:rPr>
                <w:rFonts w:ascii="Calibri" w:hAnsi="Calibri"/>
                <w:sz w:val="19"/>
              </w:rPr>
              <w:t>Wheel passes or cycles used as the independent variable.</w:t>
            </w:r>
          </w:p>
        </w:tc>
      </w:tr>
      <w:tr>
        <w:tc>
          <w:tcPr>
            <w:tcW w:type="dxa" w:w="2500"/>
            <w:tcMar>
              <w:top w:w="80" w:type="dxa"/>
              <w:start w:w="120" w:type="dxa"/>
              <w:bottom w:w="80" w:type="dxa"/>
              <w:end w:w="120" w:type="dxa"/>
            </w:tcMar>
          </w:tcPr>
          <w:p>
            <w:pPr>
              <w:spacing w:before="0" w:after="0" w:line="269" w:lineRule="auto"/>
            </w:pPr>
            <w:r>
              <w:rPr>
                <w:rFonts w:ascii="Calibri" w:hAnsi="Calibri"/>
                <w:sz w:val="19"/>
              </w:rPr>
              <w:t>TEMPSET</w:t>
            </w:r>
          </w:p>
        </w:tc>
        <w:tc>
          <w:tcPr>
            <w:tcW w:type="dxa" w:w="6860"/>
            <w:tcMar>
              <w:top w:w="80" w:type="dxa"/>
              <w:start w:w="120" w:type="dxa"/>
              <w:bottom w:w="80" w:type="dxa"/>
              <w:end w:w="120" w:type="dxa"/>
            </w:tcMar>
          </w:tcPr>
          <w:p>
            <w:pPr>
              <w:spacing w:before="0" w:after="0" w:line="269" w:lineRule="auto"/>
            </w:pPr>
            <w:r>
              <w:rPr>
                <w:rFonts w:ascii="Calibri" w:hAnsi="Calibri"/>
                <w:sz w:val="19"/>
              </w:rPr>
              <w:t>Test temperature in degrees C, either from the source file or the app override.</w:t>
            </w:r>
          </w:p>
        </w:tc>
      </w:tr>
      <w:tr>
        <w:tc>
          <w:tcPr>
            <w:tcW w:type="dxa" w:w="2500"/>
            <w:tcMar>
              <w:top w:w="80" w:type="dxa"/>
              <w:start w:w="120" w:type="dxa"/>
              <w:bottom w:w="80" w:type="dxa"/>
              <w:end w:w="120" w:type="dxa"/>
            </w:tcMar>
          </w:tcPr>
          <w:p>
            <w:pPr>
              <w:spacing w:before="0" w:after="0" w:line="269" w:lineRule="auto"/>
            </w:pPr>
            <w:r>
              <w:rPr>
                <w:rFonts w:ascii="Calibri" w:hAnsi="Calibri"/>
                <w:sz w:val="19"/>
              </w:rPr>
              <w:t>Left Rut Depth (mm)</w:t>
            </w:r>
          </w:p>
        </w:tc>
        <w:tc>
          <w:tcPr>
            <w:tcW w:type="dxa" w:w="6860"/>
            <w:tcMar>
              <w:top w:w="80" w:type="dxa"/>
              <w:start w:w="120" w:type="dxa"/>
              <w:bottom w:w="80" w:type="dxa"/>
              <w:end w:w="120" w:type="dxa"/>
            </w:tcMar>
          </w:tcPr>
          <w:p>
            <w:pPr>
              <w:spacing w:before="0" w:after="0" w:line="269" w:lineRule="auto"/>
            </w:pPr>
            <w:r>
              <w:rPr>
                <w:rFonts w:ascii="Calibri" w:hAnsi="Calibri"/>
                <w:sz w:val="19"/>
              </w:rPr>
              <w:t>Normalized left-side rut depth.</w:t>
            </w:r>
          </w:p>
        </w:tc>
      </w:tr>
      <w:tr>
        <w:tc>
          <w:tcPr>
            <w:tcW w:type="dxa" w:w="2500"/>
            <w:tcMar>
              <w:top w:w="80" w:type="dxa"/>
              <w:start w:w="120" w:type="dxa"/>
              <w:bottom w:w="80" w:type="dxa"/>
              <w:end w:w="120" w:type="dxa"/>
            </w:tcMar>
          </w:tcPr>
          <w:p>
            <w:pPr>
              <w:spacing w:before="0" w:after="0" w:line="269" w:lineRule="auto"/>
            </w:pPr>
            <w:r>
              <w:rPr>
                <w:rFonts w:ascii="Calibri" w:hAnsi="Calibri"/>
                <w:sz w:val="19"/>
              </w:rPr>
              <w:t>Right Rut Depth (mm)</w:t>
            </w:r>
          </w:p>
        </w:tc>
        <w:tc>
          <w:tcPr>
            <w:tcW w:type="dxa" w:w="6860"/>
            <w:tcMar>
              <w:top w:w="80" w:type="dxa"/>
              <w:start w:w="120" w:type="dxa"/>
              <w:bottom w:w="80" w:type="dxa"/>
              <w:end w:w="120" w:type="dxa"/>
            </w:tcMar>
          </w:tcPr>
          <w:p>
            <w:pPr>
              <w:spacing w:before="0" w:after="0" w:line="269" w:lineRule="auto"/>
            </w:pPr>
            <w:r>
              <w:rPr>
                <w:rFonts w:ascii="Calibri" w:hAnsi="Calibri"/>
                <w:sz w:val="19"/>
              </w:rPr>
              <w:t>Normalized right-side rut depth.</w:t>
            </w:r>
          </w:p>
        </w:tc>
      </w:tr>
      <w:tr>
        <w:tc>
          <w:tcPr>
            <w:tcW w:type="dxa" w:w="2500"/>
            <w:tcMar>
              <w:top w:w="80" w:type="dxa"/>
              <w:start w:w="120" w:type="dxa"/>
              <w:bottom w:w="80" w:type="dxa"/>
              <w:end w:w="120" w:type="dxa"/>
            </w:tcMar>
          </w:tcPr>
          <w:p>
            <w:pPr>
              <w:spacing w:before="0" w:after="0" w:line="269" w:lineRule="auto"/>
            </w:pPr>
            <w:r>
              <w:rPr>
                <w:rFonts w:ascii="Calibri" w:hAnsi="Calibri"/>
                <w:sz w:val="19"/>
              </w:rPr>
              <w:t>Average Rut Depth (mm)</w:t>
            </w:r>
          </w:p>
        </w:tc>
        <w:tc>
          <w:tcPr>
            <w:tcW w:type="dxa" w:w="6860"/>
            <w:tcMar>
              <w:top w:w="80" w:type="dxa"/>
              <w:start w:w="120" w:type="dxa"/>
              <w:bottom w:w="80" w:type="dxa"/>
              <w:end w:w="120" w:type="dxa"/>
            </w:tcMar>
          </w:tcPr>
          <w:p>
            <w:pPr>
              <w:spacing w:before="0" w:after="0" w:line="269" w:lineRule="auto"/>
            </w:pPr>
            <w:r>
              <w:rPr>
                <w:rFonts w:ascii="Calibri" w:hAnsi="Calibri"/>
                <w:sz w:val="19"/>
              </w:rPr>
              <w:t>Pointwise average of left and right rut depth, calculated only for rows where both side measurements are available.</w:t>
            </w:r>
          </w:p>
        </w:tc>
      </w:tr>
    </w:tbl>
    <w:p/>
    <w:p>
      <w:pPr>
        <w:pStyle w:val="Heading1"/>
      </w:pPr>
      <w:r>
        <w:t>Data Cleaning Rules</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300"/>
        <w:gridCol w:w="7060"/>
      </w:tblGrid>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B2545"/>
              </w:rPr>
              <w:t>Rule</w:t>
            </w:r>
          </w:p>
        </w:tc>
        <w:tc>
          <w:tcPr>
            <w:tcW w:type="dxa" w:w="7060"/>
            <w:tcMar>
              <w:top w:w="80" w:type="dxa"/>
              <w:start w:w="120" w:type="dxa"/>
              <w:bottom w:w="80" w:type="dxa"/>
              <w:end w:w="120" w:type="dxa"/>
            </w:tcMar>
            <w:vAlign w:val="center"/>
            <w:shd w:fill="E8EEF5"/>
          </w:tcPr>
          <w:p>
            <w:pPr>
              <w:spacing w:before="0" w:after="0" w:line="276" w:lineRule="auto"/>
            </w:pPr>
            <w:r>
              <w:rPr>
                <w:rFonts w:ascii="Calibri" w:hAnsi="Calibri"/>
                <w:b/>
                <w:color w:val="0B2545"/>
              </w:rPr>
              <w:t>Current behavior</w:t>
            </w:r>
          </w:p>
        </w:tc>
      </w:tr>
      <w:tr>
        <w:tc>
          <w:tcPr>
            <w:tcW w:type="dxa" w:w="2300"/>
            <w:tcMar>
              <w:top w:w="80" w:type="dxa"/>
              <w:start w:w="120" w:type="dxa"/>
              <w:bottom w:w="80" w:type="dxa"/>
              <w:end w:w="120" w:type="dxa"/>
            </w:tcMar>
          </w:tcPr>
          <w:p>
            <w:pPr>
              <w:spacing w:before="0" w:after="0" w:line="269" w:lineRule="auto"/>
            </w:pPr>
            <w:r>
              <w:rPr>
                <w:rFonts w:ascii="Calibri" w:hAnsi="Calibri"/>
                <w:sz w:val="19"/>
              </w:rPr>
              <w:t>Pass filtering</w:t>
            </w:r>
          </w:p>
        </w:tc>
        <w:tc>
          <w:tcPr>
            <w:tcW w:type="dxa" w:w="7060"/>
            <w:tcMar>
              <w:top w:w="80" w:type="dxa"/>
              <w:start w:w="120" w:type="dxa"/>
              <w:bottom w:w="80" w:type="dxa"/>
              <w:end w:w="120" w:type="dxa"/>
            </w:tcMar>
          </w:tcPr>
          <w:p>
            <w:pPr>
              <w:spacing w:before="0" w:after="0" w:line="269" w:lineRule="auto"/>
            </w:pPr>
            <w:r>
              <w:rPr>
                <w:rFonts w:ascii="Calibri" w:hAnsi="Calibri"/>
                <w:sz w:val="19"/>
              </w:rPr>
              <w:t>Rows without numeric positive PASSNUM are removed, and records are sorted by pass number.</w:t>
            </w:r>
          </w:p>
        </w:tc>
      </w:tr>
      <w:tr>
        <w:tc>
          <w:tcPr>
            <w:tcW w:type="dxa" w:w="2300"/>
            <w:tcMar>
              <w:top w:w="80" w:type="dxa"/>
              <w:start w:w="120" w:type="dxa"/>
              <w:bottom w:w="80" w:type="dxa"/>
              <w:end w:w="120" w:type="dxa"/>
            </w:tcMar>
          </w:tcPr>
          <w:p>
            <w:pPr>
              <w:spacing w:before="0" w:after="0" w:line="269" w:lineRule="auto"/>
            </w:pPr>
            <w:r>
              <w:rPr>
                <w:rFonts w:ascii="Calibri" w:hAnsi="Calibri"/>
                <w:sz w:val="19"/>
              </w:rPr>
              <w:t>Temperature</w:t>
            </w:r>
          </w:p>
        </w:tc>
        <w:tc>
          <w:tcPr>
            <w:tcW w:type="dxa" w:w="7060"/>
            <w:tcMar>
              <w:top w:w="80" w:type="dxa"/>
              <w:start w:w="120" w:type="dxa"/>
              <w:bottom w:w="80" w:type="dxa"/>
              <w:end w:w="120" w:type="dxa"/>
            </w:tcMar>
          </w:tcPr>
          <w:p>
            <w:pPr>
              <w:spacing w:before="0" w:after="0" w:line="269" w:lineRule="auto"/>
            </w:pPr>
            <w:r>
              <w:rPr>
                <w:rFonts w:ascii="Calibri" w:hAnsi="Calibri"/>
                <w:sz w:val="19"/>
              </w:rPr>
              <w:t>TEMPSET is coerced to numeric. The app can override it with a user-entered test temperature.</w:t>
            </w:r>
          </w:p>
        </w:tc>
      </w:tr>
      <w:tr>
        <w:tc>
          <w:tcPr>
            <w:tcW w:type="dxa" w:w="2300"/>
            <w:tcMar>
              <w:top w:w="80" w:type="dxa"/>
              <w:start w:w="120" w:type="dxa"/>
              <w:bottom w:w="80" w:type="dxa"/>
              <w:end w:w="120" w:type="dxa"/>
            </w:tcMar>
          </w:tcPr>
          <w:p>
            <w:pPr>
              <w:spacing w:before="0" w:after="0" w:line="269" w:lineRule="auto"/>
            </w:pPr>
            <w:r>
              <w:rPr>
                <w:rFonts w:ascii="Calibri" w:hAnsi="Calibri"/>
                <w:sz w:val="19"/>
              </w:rPr>
              <w:t>Rut-depth cutoff</w:t>
            </w:r>
          </w:p>
        </w:tc>
        <w:tc>
          <w:tcPr>
            <w:tcW w:type="dxa" w:w="7060"/>
            <w:tcMar>
              <w:top w:w="80" w:type="dxa"/>
              <w:start w:w="120" w:type="dxa"/>
              <w:bottom w:w="80" w:type="dxa"/>
              <w:end w:w="120" w:type="dxa"/>
            </w:tcMar>
          </w:tcPr>
          <w:p>
            <w:pPr>
              <w:spacing w:before="0" w:after="0" w:line="269" w:lineRule="auto"/>
            </w:pPr>
            <w:r>
              <w:rPr>
                <w:rFonts w:ascii="Calibri" w:hAnsi="Calibri"/>
                <w:sz w:val="19"/>
              </w:rPr>
              <w:t>Side rut depths above 50 mm are treated as beyond the usable range. Each analyzed series is also truncated before it exceeds the 50 mm cutoff.</w:t>
            </w:r>
          </w:p>
        </w:tc>
      </w:tr>
      <w:tr>
        <w:tc>
          <w:tcPr>
            <w:tcW w:type="dxa" w:w="2300"/>
            <w:tcMar>
              <w:top w:w="80" w:type="dxa"/>
              <w:start w:w="120" w:type="dxa"/>
              <w:bottom w:w="80" w:type="dxa"/>
              <w:end w:w="120" w:type="dxa"/>
            </w:tcMar>
          </w:tcPr>
          <w:p>
            <w:pPr>
              <w:spacing w:before="0" w:after="0" w:line="269" w:lineRule="auto"/>
            </w:pPr>
            <w:r>
              <w:rPr>
                <w:rFonts w:ascii="Calibri" w:hAnsi="Calibri"/>
                <w:sz w:val="19"/>
              </w:rPr>
              <w:t>PTI trailing zeros</w:t>
            </w:r>
          </w:p>
        </w:tc>
        <w:tc>
          <w:tcPr>
            <w:tcW w:type="dxa" w:w="7060"/>
            <w:tcMar>
              <w:top w:w="80" w:type="dxa"/>
              <w:start w:w="120" w:type="dxa"/>
              <w:bottom w:w="80" w:type="dxa"/>
              <w:end w:w="120" w:type="dxa"/>
            </w:tcMar>
          </w:tcPr>
          <w:p>
            <w:pPr>
              <w:spacing w:before="0" w:after="0" w:line="269" w:lineRule="auto"/>
            </w:pPr>
            <w:r>
              <w:rPr>
                <w:rFonts w:ascii="Calibri" w:hAnsi="Calibri"/>
                <w:sz w:val="19"/>
              </w:rPr>
              <w:t>Trailing zero padding after the last real nonzero side reading is converted to missing data.</w:t>
            </w:r>
          </w:p>
        </w:tc>
      </w:tr>
      <w:tr>
        <w:tc>
          <w:tcPr>
            <w:tcW w:type="dxa" w:w="2300"/>
            <w:tcMar>
              <w:top w:w="80" w:type="dxa"/>
              <w:start w:w="120" w:type="dxa"/>
              <w:bottom w:w="80" w:type="dxa"/>
              <w:end w:w="120" w:type="dxa"/>
            </w:tcMar>
          </w:tcPr>
          <w:p>
            <w:pPr>
              <w:spacing w:before="0" w:after="0" w:line="269" w:lineRule="auto"/>
            </w:pPr>
            <w:r>
              <w:rPr>
                <w:rFonts w:ascii="Calibri" w:hAnsi="Calibri"/>
                <w:sz w:val="19"/>
              </w:rPr>
              <w:t>Spike handling</w:t>
            </w:r>
          </w:p>
        </w:tc>
        <w:tc>
          <w:tcPr>
            <w:tcW w:type="dxa" w:w="7060"/>
            <w:tcMar>
              <w:top w:w="80" w:type="dxa"/>
              <w:start w:w="120" w:type="dxa"/>
              <w:bottom w:w="80" w:type="dxa"/>
              <w:end w:w="120" w:type="dxa"/>
            </w:tcMar>
          </w:tcPr>
          <w:p>
            <w:pPr>
              <w:spacing w:before="0" w:after="0" w:line="269" w:lineRule="auto"/>
            </w:pPr>
            <w:r>
              <w:rPr>
                <w:rFonts w:ascii="Calibri" w:hAnsi="Calibri"/>
                <w:sz w:val="19"/>
              </w:rPr>
              <w:t>A rolling-median filter replaces local spikes based on a median absolute deviation rule.</w:t>
            </w:r>
          </w:p>
        </w:tc>
      </w:tr>
      <w:tr>
        <w:tc>
          <w:tcPr>
            <w:tcW w:type="dxa" w:w="2300"/>
            <w:tcMar>
              <w:top w:w="80" w:type="dxa"/>
              <w:start w:w="120" w:type="dxa"/>
              <w:bottom w:w="80" w:type="dxa"/>
              <w:end w:w="120" w:type="dxa"/>
            </w:tcMar>
          </w:tcPr>
          <w:p>
            <w:pPr>
              <w:spacing w:before="0" w:after="0" w:line="269" w:lineRule="auto"/>
            </w:pPr>
            <w:r>
              <w:rPr>
                <w:rFonts w:ascii="Calibri" w:hAnsi="Calibri"/>
                <w:sz w:val="19"/>
              </w:rPr>
              <w:t>Monotonicity</w:t>
            </w:r>
          </w:p>
        </w:tc>
        <w:tc>
          <w:tcPr>
            <w:tcW w:type="dxa" w:w="7060"/>
            <w:tcMar>
              <w:top w:w="80" w:type="dxa"/>
              <w:start w:w="120" w:type="dxa"/>
              <w:bottom w:w="80" w:type="dxa"/>
              <w:end w:w="120" w:type="dxa"/>
            </w:tcMar>
          </w:tcPr>
          <w:p>
            <w:pPr>
              <w:spacing w:before="0" w:after="0" w:line="269" w:lineRule="auto"/>
            </w:pPr>
            <w:r>
              <w:rPr>
                <w:rFonts w:ascii="Calibri" w:hAnsi="Calibri"/>
                <w:sz w:val="19"/>
              </w:rPr>
              <w:t>The code contains optional monotonic enforcement, but it is disabled by default.</w:t>
            </w:r>
          </w:p>
        </w:tc>
      </w:tr>
    </w:tbl>
    <w:p/>
    <w:p>
      <w:pPr>
        <w:pStyle w:val="Heading1"/>
      </w:pPr>
      <w:r>
        <w:t>Series Analyzed</w:t>
      </w:r>
    </w:p>
    <w:p>
      <w:pPr>
        <w:spacing w:before="0" w:after="120" w:line="300" w:lineRule="auto"/>
      </w:pPr>
      <w:r>
        <w:rPr>
          <w:rFonts w:ascii="Calibri" w:hAnsi="Calibri"/>
        </w:rPr>
        <w:t>The analyzer processes three series when available: Left, Right, and Average. Each series is fit independently because HWTT measurement location, side, device, and data-processing choices can influence reported rutting and stripping results (Mohammad et al., 2017; Giwa et al., 2021). The Summary sheet later transposes selected metrics into Left, Right, Average, and Abs Difference columns. The plotted and modeled Average series is based on the pointwise strict average, while the Summary table also computes numeric left/right averages for each metric where both sides are numeric.</w:t>
      </w:r>
    </w:p>
    <w:p>
      <w:pPr>
        <w:pStyle w:val="Heading1"/>
      </w:pPr>
      <w:r>
        <w:t>Modeling Workflow</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000"/>
        <w:gridCol w:w="7360"/>
      </w:tblGrid>
      <w:tr>
        <w:tc>
          <w:tcPr>
            <w:tcW w:type="dxa" w:w="2000"/>
            <w:tcMar>
              <w:top w:w="80" w:type="dxa"/>
              <w:start w:w="120" w:type="dxa"/>
              <w:bottom w:w="80" w:type="dxa"/>
              <w:end w:w="120" w:type="dxa"/>
            </w:tcMar>
            <w:vAlign w:val="center"/>
            <w:shd w:fill="E8EEF5"/>
          </w:tcPr>
          <w:p>
            <w:pPr>
              <w:spacing w:before="0" w:after="0" w:line="276" w:lineRule="auto"/>
            </w:pPr>
            <w:r>
              <w:rPr>
                <w:rFonts w:ascii="Calibri" w:hAnsi="Calibri"/>
                <w:b/>
                <w:color w:val="0B2545"/>
              </w:rPr>
              <w:t>Step</w:t>
            </w:r>
          </w:p>
        </w:tc>
        <w:tc>
          <w:tcPr>
            <w:tcW w:type="dxa" w:w="7360"/>
            <w:tcMar>
              <w:top w:w="80" w:type="dxa"/>
              <w:start w:w="120" w:type="dxa"/>
              <w:bottom w:w="80" w:type="dxa"/>
              <w:end w:w="120" w:type="dxa"/>
            </w:tcMar>
            <w:vAlign w:val="center"/>
            <w:shd w:fill="E8EEF5"/>
          </w:tcPr>
          <w:p>
            <w:pPr>
              <w:spacing w:before="0" w:after="0" w:line="276" w:lineRule="auto"/>
            </w:pPr>
            <w:r>
              <w:rPr>
                <w:rFonts w:ascii="Calibri" w:hAnsi="Calibri"/>
                <w:b/>
                <w:color w:val="0B2545"/>
              </w:rPr>
              <w:t>Description</w:t>
            </w:r>
          </w:p>
        </w:tc>
      </w:tr>
      <w:tr>
        <w:tc>
          <w:tcPr>
            <w:tcW w:type="dxa" w:w="2000"/>
            <w:tcMar>
              <w:top w:w="80" w:type="dxa"/>
              <w:start w:w="120" w:type="dxa"/>
              <w:bottom w:w="80" w:type="dxa"/>
              <w:end w:w="120" w:type="dxa"/>
            </w:tcMar>
          </w:tcPr>
          <w:p>
            <w:pPr>
              <w:spacing w:before="0" w:after="0" w:line="269" w:lineRule="auto"/>
            </w:pPr>
            <w:r>
              <w:rPr>
                <w:rFonts w:ascii="Calibri" w:hAnsi="Calibri"/>
                <w:sz w:val="19"/>
              </w:rPr>
              <w:t>1. Prepare series</w:t>
            </w:r>
          </w:p>
        </w:tc>
        <w:tc>
          <w:tcPr>
            <w:tcW w:type="dxa" w:w="7360"/>
            <w:tcMar>
              <w:top w:w="80" w:type="dxa"/>
              <w:start w:w="120" w:type="dxa"/>
              <w:bottom w:w="80" w:type="dxa"/>
              <w:end w:w="120" w:type="dxa"/>
            </w:tcMar>
          </w:tcPr>
          <w:p>
            <w:pPr>
              <w:spacing w:before="0" w:after="0" w:line="269" w:lineRule="auto"/>
            </w:pPr>
            <w:r>
              <w:rPr>
                <w:rFonts w:ascii="Calibri" w:hAnsi="Calibri"/>
                <w:sz w:val="19"/>
              </w:rPr>
              <w:t>Select PASSNUM and rut-depth column, drop missing values, sort passes, clean spikes, and truncate above 50 mm.</w:t>
            </w:r>
          </w:p>
        </w:tc>
      </w:tr>
      <w:tr>
        <w:tc>
          <w:tcPr>
            <w:tcW w:type="dxa" w:w="2000"/>
            <w:tcMar>
              <w:top w:w="80" w:type="dxa"/>
              <w:start w:w="120" w:type="dxa"/>
              <w:bottom w:w="80" w:type="dxa"/>
              <w:end w:w="120" w:type="dxa"/>
            </w:tcMar>
          </w:tcPr>
          <w:p>
            <w:pPr>
              <w:spacing w:before="0" w:after="0" w:line="269" w:lineRule="auto"/>
            </w:pPr>
            <w:r>
              <w:rPr>
                <w:rFonts w:ascii="Calibri" w:hAnsi="Calibri"/>
                <w:sz w:val="19"/>
              </w:rPr>
              <w:t>2. Fit Francken curve</w:t>
            </w:r>
          </w:p>
        </w:tc>
        <w:tc>
          <w:tcPr>
            <w:tcW w:type="dxa" w:w="7360"/>
            <w:tcMar>
              <w:top w:w="80" w:type="dxa"/>
              <w:start w:w="120" w:type="dxa"/>
              <w:bottom w:w="80" w:type="dxa"/>
              <w:end w:w="120" w:type="dxa"/>
            </w:tcMar>
          </w:tcPr>
          <w:p>
            <w:pPr>
              <w:spacing w:before="0" w:after="0" w:line="269" w:lineRule="auto"/>
            </w:pPr>
            <w:r>
              <w:rPr>
                <w:rFonts w:ascii="Calibri" w:hAnsi="Calibri"/>
                <w:sz w:val="19"/>
              </w:rPr>
              <w:t>Fit RD = A*N^B + C*(exp(D*N)-1) with positive bounded parameters. This fit is used for curve shape, R2, derivatives, the initial SN candidate, SIP calculations, and the plotted Francken line. The formulation is a Francken-type model used here as part of the project's analysis workflow; it should not be interpreted as an exact implementation of another agency or published analysis procedure (Giwa et al., 2021).</w:t>
            </w:r>
          </w:p>
        </w:tc>
      </w:tr>
      <w:tr>
        <w:tc>
          <w:tcPr>
            <w:tcW w:type="dxa" w:w="2000"/>
            <w:tcMar>
              <w:top w:w="80" w:type="dxa"/>
              <w:start w:w="120" w:type="dxa"/>
              <w:bottom w:w="80" w:type="dxa"/>
              <w:end w:w="120" w:type="dxa"/>
            </w:tcMar>
          </w:tcPr>
          <w:p>
            <w:pPr>
              <w:spacing w:before="0" w:after="0" w:line="269" w:lineRule="auto"/>
            </w:pPr>
            <w:r>
              <w:rPr>
                <w:rFonts w:ascii="Calibri" w:hAnsi="Calibri"/>
                <w:sz w:val="19"/>
              </w:rPr>
              <w:t>3. Find SN</w:t>
            </w:r>
          </w:p>
        </w:tc>
        <w:tc>
          <w:tcPr>
            <w:tcW w:type="dxa" w:w="7360"/>
            <w:tcMar>
              <w:top w:w="80" w:type="dxa"/>
              <w:start w:w="120" w:type="dxa"/>
              <w:bottom w:w="80" w:type="dxa"/>
              <w:end w:w="120" w:type="dxa"/>
            </w:tcMar>
          </w:tcPr>
          <w:p>
            <w:pPr>
              <w:spacing w:before="0" w:after="0" w:line="269" w:lineRule="auto"/>
            </w:pPr>
            <w:r>
              <w:rPr>
                <w:rFonts w:ascii="Calibri" w:hAnsi="Calibri"/>
                <w:sz w:val="19"/>
              </w:rPr>
              <w:t>The algorithm searches for a root of the Francken second derivative between 100 and 50,000 passes and treats an in-range root as an initial SN candidate. The candidate is then evaluated using the application's stripping criteria; a mathematical curvature transition alone is not treated as direct physical confirmation of moisture damage. If no usable root is found within the analyzed data range, no curvature-based SN candidate is assigned (Yin et al., 2014; Giwa et al., 2021).</w:t>
            </w:r>
          </w:p>
        </w:tc>
      </w:tr>
      <w:tr>
        <w:tc>
          <w:tcPr>
            <w:tcW w:type="dxa" w:w="2000"/>
            <w:tcMar>
              <w:top w:w="80" w:type="dxa"/>
              <w:start w:w="120" w:type="dxa"/>
              <w:bottom w:w="80" w:type="dxa"/>
              <w:end w:w="120" w:type="dxa"/>
            </w:tcMar>
          </w:tcPr>
          <w:p>
            <w:pPr>
              <w:spacing w:before="0" w:after="0" w:line="269" w:lineRule="auto"/>
            </w:pPr>
            <w:r>
              <w:rPr>
                <w:rFonts w:ascii="Calibri" w:hAnsi="Calibri"/>
                <w:sz w:val="19"/>
              </w:rPr>
              <w:t>4. Compute slopes and SIP</w:t>
            </w:r>
          </w:p>
        </w:tc>
        <w:tc>
          <w:tcPr>
            <w:tcW w:type="dxa" w:w="7360"/>
            <w:tcMar>
              <w:top w:w="80" w:type="dxa"/>
              <w:start w:w="120" w:type="dxa"/>
              <w:bottom w:w="80" w:type="dxa"/>
              <w:end w:w="120" w:type="dxa"/>
            </w:tcMar>
          </w:tcPr>
          <w:p>
            <w:pPr>
              <w:spacing w:before="0" w:after="0" w:line="269" w:lineRule="auto"/>
            </w:pPr>
            <w:r>
              <w:rPr>
                <w:rFonts w:ascii="Calibri" w:hAnsi="Calibri"/>
                <w:sz w:val="19"/>
              </w:rPr>
              <w:t>When the SN candidate is usable, the creep slope is the Francken first derivative at SN and the stripping slope is the derivative at the final pass. In this implementation, SIP is calculated from the intersection of the modeled creep and stripping tangent lines. Published HWTT analysis procedures differ in how transition points and slopes are identified, so this calculation should be interpreted as an application-specific implementation rather than a requirement of AASHTO T 324 (Giwa et al., 2021; Yin et al., 2020).</w:t>
            </w:r>
          </w:p>
        </w:tc>
      </w:tr>
      <w:tr>
        <w:tc>
          <w:tcPr>
            <w:tcW w:type="dxa" w:w="2000"/>
            <w:tcMar>
              <w:top w:w="80" w:type="dxa"/>
              <w:start w:w="120" w:type="dxa"/>
              <w:bottom w:w="80" w:type="dxa"/>
              <w:end w:w="120" w:type="dxa"/>
            </w:tcMar>
          </w:tcPr>
          <w:p>
            <w:pPr>
              <w:spacing w:before="0" w:after="0" w:line="269" w:lineRule="auto"/>
            </w:pPr>
            <w:r>
              <w:rPr>
                <w:rFonts w:ascii="Calibri" w:hAnsi="Calibri"/>
                <w:sz w:val="19"/>
              </w:rPr>
              <w:t>5. Validate stripping call</w:t>
            </w:r>
          </w:p>
        </w:tc>
        <w:tc>
          <w:tcPr>
            <w:tcW w:type="dxa" w:w="7360"/>
            <w:tcMar>
              <w:top w:w="80" w:type="dxa"/>
              <w:start w:w="120" w:type="dxa"/>
              <w:bottom w:w="80" w:type="dxa"/>
              <w:end w:w="120" w:type="dxa"/>
            </w:tcMar>
          </w:tcPr>
          <w:p>
            <w:pPr>
              <w:spacing w:before="0" w:after="0" w:line="269" w:lineRule="auto"/>
            </w:pPr>
            <w:r>
              <w:rPr>
                <w:rFonts w:ascii="Calibri" w:hAnsi="Calibri"/>
                <w:sz w:val="19"/>
              </w:rPr>
              <w:t>If the stripping/creep slope ratio is below 1.5, the code rejects the stripping call and records No stripping detected. A sustained slope-increase fallback can mark Possible stripping.</w:t>
            </w:r>
          </w:p>
        </w:tc>
      </w:tr>
      <w:tr>
        <w:tc>
          <w:tcPr>
            <w:tcW w:type="dxa" w:w="2000"/>
            <w:tcMar>
              <w:top w:w="80" w:type="dxa"/>
              <w:start w:w="120" w:type="dxa"/>
              <w:bottom w:w="80" w:type="dxa"/>
              <w:end w:w="120" w:type="dxa"/>
            </w:tcMar>
          </w:tcPr>
          <w:p>
            <w:pPr>
              <w:spacing w:before="0" w:after="0" w:line="269" w:lineRule="auto"/>
            </w:pPr>
            <w:r>
              <w:rPr>
                <w:rFonts w:ascii="Calibri" w:hAnsi="Calibri"/>
                <w:sz w:val="19"/>
              </w:rPr>
              <w:t>6. Fit CRD curve</w:t>
            </w:r>
          </w:p>
        </w:tc>
        <w:tc>
          <w:tcPr>
            <w:tcW w:type="dxa" w:w="7360"/>
            <w:tcMar>
              <w:top w:w="80" w:type="dxa"/>
              <w:start w:w="120" w:type="dxa"/>
              <w:bottom w:w="80" w:type="dxa"/>
              <w:end w:w="120" w:type="dxa"/>
            </w:tcMar>
          </w:tcPr>
          <w:p>
            <w:pPr>
              <w:spacing w:before="0" w:after="0" w:line="269" w:lineRule="auto"/>
            </w:pPr>
            <w:r>
              <w:rPr>
                <w:rFonts w:ascii="Calibri" w:hAnsi="Calibri"/>
                <w:sz w:val="19"/>
              </w:rPr>
              <w:t>Fit Tseng-Lytton RD = e0*exp(-((rho/N)^beta)). The preferred window is the pre-strip data before SN; otherwise the full usable series is used. CRD is intended to isolate rutting caused by plastic deformation from rutting caused by stripping (Yin et al., 2014, 2020; Olagunju et al., 2025).</w:t>
            </w:r>
          </w:p>
        </w:tc>
      </w:tr>
      <w:tr>
        <w:tc>
          <w:tcPr>
            <w:tcW w:type="dxa" w:w="2000"/>
            <w:tcMar>
              <w:top w:w="80" w:type="dxa"/>
              <w:start w:w="120" w:type="dxa"/>
              <w:bottom w:w="80" w:type="dxa"/>
              <w:end w:w="120" w:type="dxa"/>
            </w:tcMar>
          </w:tcPr>
          <w:p>
            <w:pPr>
              <w:spacing w:before="0" w:after="0" w:line="269" w:lineRule="auto"/>
            </w:pPr>
            <w:r>
              <w:rPr>
                <w:rFonts w:ascii="Calibri" w:hAnsi="Calibri"/>
                <w:sz w:val="19"/>
              </w:rPr>
              <w:t>7. Compute report metrics</w:t>
            </w:r>
          </w:p>
        </w:tc>
        <w:tc>
          <w:tcPr>
            <w:tcW w:type="dxa" w:w="7360"/>
            <w:tcMar>
              <w:top w:w="80" w:type="dxa"/>
              <w:start w:w="120" w:type="dxa"/>
              <w:bottom w:w="80" w:type="dxa"/>
              <w:end w:w="120" w:type="dxa"/>
            </w:tcMar>
          </w:tcPr>
          <w:p>
            <w:pPr>
              <w:spacing w:before="0" w:after="0" w:line="269" w:lineRule="auto"/>
            </w:pPr>
            <w:r>
              <w:rPr>
                <w:rFonts w:ascii="Calibri" w:hAnsi="Calibri"/>
                <w:sz w:val="19"/>
              </w:rPr>
              <w:t>Calculate final pass/final rut depth using application reporting thresholds of 12.5 mm and 20,000 passes, together with RRI, measured RD at selected pass counts, CRD at selected pass counts, status, note, and a CRD processing-status flag. These thresholds are consistent with common HWTT reporting practice but are implemented here as software rules rather than presented as a complete AASHTO T 324 analysis procedure. RRI was proposed to compare results with different test termination points (Wen et al., 2016; Yin et al., 2020).</w:t>
            </w:r>
          </w:p>
        </w:tc>
      </w:tr>
      <w:tr>
        <w:tc>
          <w:tcPr>
            <w:tcW w:type="dxa" w:w="2000"/>
            <w:tcMar>
              <w:top w:w="80" w:type="dxa"/>
              <w:start w:w="120" w:type="dxa"/>
              <w:bottom w:w="80" w:type="dxa"/>
              <w:end w:w="120" w:type="dxa"/>
            </w:tcMar>
          </w:tcPr>
          <w:p>
            <w:pPr>
              <w:spacing w:before="0" w:after="0" w:line="269" w:lineRule="auto"/>
            </w:pPr>
            <w:r>
              <w:rPr>
                <w:rFonts w:ascii="Calibri" w:hAnsi="Calibri"/>
                <w:sz w:val="19"/>
              </w:rPr>
              <w:t>8. Optional fit windows</w:t>
            </w:r>
          </w:p>
        </w:tc>
        <w:tc>
          <w:tcPr>
            <w:tcW w:type="dxa" w:w="7360"/>
            <w:tcMar>
              <w:top w:w="80" w:type="dxa"/>
              <w:start w:w="120" w:type="dxa"/>
              <w:bottom w:w="80" w:type="dxa"/>
              <w:end w:w="120" w:type="dxa"/>
            </w:tcMar>
          </w:tcPr>
          <w:p>
            <w:pPr>
              <w:spacing w:before="0" w:after="0" w:line="269" w:lineRule="auto"/>
            </w:pPr>
            <w:r>
              <w:rPr>
                <w:rFonts w:ascii="Calibri" w:hAnsi="Calibri"/>
                <w:sz w:val="19"/>
              </w:rPr>
              <w:t>If creep slope exceeds the warning threshold, repeat the analysis on truncated windows at 15,000, 10,000, 5,000, and 1,000 passes when enough data remain.</w:t>
            </w:r>
          </w:p>
        </w:tc>
      </w:tr>
    </w:tbl>
    <w:p/>
    <w:p>
      <w:pPr>
        <w:pStyle w:val="Heading1"/>
      </w:pPr>
      <w:r>
        <w:t>Metrics and Meaning</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500"/>
        <w:gridCol w:w="6860"/>
      </w:tblGrid>
      <w:tr>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color w:val="0B2545"/>
              </w:rPr>
              <w:t>Metric</w:t>
            </w:r>
          </w:p>
        </w:tc>
        <w:tc>
          <w:tcPr>
            <w:tcW w:type="dxa" w:w="6860"/>
            <w:tcMar>
              <w:top w:w="80" w:type="dxa"/>
              <w:start w:w="120" w:type="dxa"/>
              <w:bottom w:w="80" w:type="dxa"/>
              <w:end w:w="120" w:type="dxa"/>
            </w:tcMar>
            <w:vAlign w:val="center"/>
            <w:shd w:fill="E8EEF5"/>
          </w:tcPr>
          <w:p>
            <w:pPr>
              <w:spacing w:before="0" w:after="0" w:line="276" w:lineRule="auto"/>
            </w:pPr>
            <w:r>
              <w:rPr>
                <w:rFonts w:ascii="Calibri" w:hAnsi="Calibri"/>
                <w:b/>
                <w:color w:val="0B2545"/>
              </w:rPr>
              <w:t>Interpretation</w:t>
            </w:r>
          </w:p>
        </w:tc>
      </w:tr>
      <w:tr>
        <w:tc>
          <w:tcPr>
            <w:tcW w:type="dxa" w:w="2500"/>
            <w:tcMar>
              <w:top w:w="80" w:type="dxa"/>
              <w:start w:w="120" w:type="dxa"/>
              <w:bottom w:w="80" w:type="dxa"/>
              <w:end w:w="120" w:type="dxa"/>
            </w:tcMar>
          </w:tcPr>
          <w:p>
            <w:pPr>
              <w:spacing w:before="0" w:after="0" w:line="269" w:lineRule="auto"/>
            </w:pPr>
            <w:r>
              <w:rPr>
                <w:rFonts w:ascii="Calibri" w:hAnsi="Calibri"/>
                <w:sz w:val="19"/>
              </w:rPr>
              <w:t>Final Number of Passes</w:t>
            </w:r>
          </w:p>
        </w:tc>
        <w:tc>
          <w:tcPr>
            <w:tcW w:type="dxa" w:w="6860"/>
            <w:tcMar>
              <w:top w:w="80" w:type="dxa"/>
              <w:start w:w="120" w:type="dxa"/>
              <w:bottom w:w="80" w:type="dxa"/>
              <w:end w:w="120" w:type="dxa"/>
            </w:tcMar>
          </w:tcPr>
          <w:p>
            <w:pPr>
              <w:spacing w:before="0" w:after="0" w:line="269" w:lineRule="auto"/>
            </w:pPr>
            <w:r>
              <w:rPr>
                <w:rFonts w:ascii="Calibri" w:hAnsi="Calibri"/>
                <w:sz w:val="19"/>
              </w:rPr>
              <w:t>Interpolated pass count at 12.5 mm if reached by 20,000 passes; otherwise 20,000 or the last available pass in the window.</w:t>
            </w:r>
          </w:p>
        </w:tc>
      </w:tr>
      <w:tr>
        <w:tc>
          <w:tcPr>
            <w:tcW w:type="dxa" w:w="2500"/>
            <w:tcMar>
              <w:top w:w="80" w:type="dxa"/>
              <w:start w:w="120" w:type="dxa"/>
              <w:bottom w:w="80" w:type="dxa"/>
              <w:end w:w="120" w:type="dxa"/>
            </w:tcMar>
          </w:tcPr>
          <w:p>
            <w:pPr>
              <w:spacing w:before="0" w:after="0" w:line="269" w:lineRule="auto"/>
            </w:pPr>
            <w:r>
              <w:rPr>
                <w:rFonts w:ascii="Calibri" w:hAnsi="Calibri"/>
                <w:sz w:val="19"/>
              </w:rPr>
              <w:t>Final Rut Depth (mm)</w:t>
            </w:r>
          </w:p>
        </w:tc>
        <w:tc>
          <w:tcPr>
            <w:tcW w:type="dxa" w:w="6860"/>
            <w:tcMar>
              <w:top w:w="80" w:type="dxa"/>
              <w:start w:w="120" w:type="dxa"/>
              <w:bottom w:w="80" w:type="dxa"/>
              <w:end w:w="120" w:type="dxa"/>
            </w:tcMar>
          </w:tcPr>
          <w:p>
            <w:pPr>
              <w:spacing w:before="0" w:after="0" w:line="269" w:lineRule="auto"/>
            </w:pPr>
            <w:r>
              <w:rPr>
                <w:rFonts w:ascii="Calibri" w:hAnsi="Calibri"/>
                <w:sz w:val="19"/>
              </w:rPr>
              <w:t>12.5 mm if that threshold is reached; otherwise interpolated/measured rut depth at the final reported pass.</w:t>
            </w:r>
          </w:p>
        </w:tc>
      </w:tr>
      <w:tr>
        <w:tc>
          <w:tcPr>
            <w:tcW w:type="dxa" w:w="2500"/>
            <w:tcMar>
              <w:top w:w="80" w:type="dxa"/>
              <w:start w:w="120" w:type="dxa"/>
              <w:bottom w:w="80" w:type="dxa"/>
              <w:end w:w="120" w:type="dxa"/>
            </w:tcMar>
          </w:tcPr>
          <w:p>
            <w:pPr>
              <w:spacing w:before="0" w:after="0" w:line="269" w:lineRule="auto"/>
            </w:pPr>
            <w:r>
              <w:rPr>
                <w:rFonts w:ascii="Calibri" w:hAnsi="Calibri"/>
                <w:sz w:val="19"/>
              </w:rPr>
              <w:t>Measured RD @ passes</w:t>
            </w:r>
          </w:p>
        </w:tc>
        <w:tc>
          <w:tcPr>
            <w:tcW w:type="dxa" w:w="6860"/>
            <w:tcMar>
              <w:top w:w="80" w:type="dxa"/>
              <w:start w:w="120" w:type="dxa"/>
              <w:bottom w:w="80" w:type="dxa"/>
              <w:end w:w="120" w:type="dxa"/>
            </w:tcMar>
          </w:tcPr>
          <w:p>
            <w:pPr>
              <w:spacing w:before="0" w:after="0" w:line="269" w:lineRule="auto"/>
            </w:pPr>
            <w:r>
              <w:rPr>
                <w:rFonts w:ascii="Calibri" w:hAnsi="Calibri"/>
                <w:sz w:val="19"/>
              </w:rPr>
              <w:t>Linear interpolation of cleaned measured rut depth at 5,000, 10,000, 15,000, and 20,000 passes when within the observed data range.</w:t>
            </w:r>
          </w:p>
        </w:tc>
      </w:tr>
      <w:tr>
        <w:tc>
          <w:tcPr>
            <w:tcW w:type="dxa" w:w="2500"/>
            <w:tcMar>
              <w:top w:w="80" w:type="dxa"/>
              <w:start w:w="120" w:type="dxa"/>
              <w:bottom w:w="80" w:type="dxa"/>
              <w:end w:w="120" w:type="dxa"/>
            </w:tcMar>
          </w:tcPr>
          <w:p>
            <w:pPr>
              <w:spacing w:before="0" w:after="0" w:line="269" w:lineRule="auto"/>
            </w:pPr>
            <w:r>
              <w:rPr>
                <w:rFonts w:ascii="Calibri" w:hAnsi="Calibri"/>
                <w:sz w:val="19"/>
              </w:rPr>
              <w:t>RRI</w:t>
            </w:r>
          </w:p>
        </w:tc>
        <w:tc>
          <w:tcPr>
            <w:tcW w:type="dxa" w:w="6860"/>
            <w:tcMar>
              <w:top w:w="80" w:type="dxa"/>
              <w:start w:w="120" w:type="dxa"/>
              <w:bottom w:w="80" w:type="dxa"/>
              <w:end w:w="120" w:type="dxa"/>
            </w:tcMar>
          </w:tcPr>
          <w:p>
            <w:pPr>
              <w:spacing w:before="0" w:after="0" w:line="269" w:lineRule="auto"/>
            </w:pPr>
            <w:r>
              <w:rPr>
                <w:rFonts w:ascii="Calibri" w:hAnsi="Calibri"/>
                <w:sz w:val="19"/>
              </w:rPr>
              <w:t>Rutting Resistance Index calculated from pass count and rut depth in inches. Higher RRI indicates better rutting resistance (Wen et al., 2016; Yin et al., 2020).</w:t>
            </w:r>
          </w:p>
        </w:tc>
      </w:tr>
      <w:tr>
        <w:tc>
          <w:tcPr>
            <w:tcW w:type="dxa" w:w="2500"/>
            <w:tcMar>
              <w:top w:w="80" w:type="dxa"/>
              <w:start w:w="120" w:type="dxa"/>
              <w:bottom w:w="80" w:type="dxa"/>
              <w:end w:w="120" w:type="dxa"/>
            </w:tcMar>
          </w:tcPr>
          <w:p>
            <w:pPr>
              <w:spacing w:before="0" w:after="0" w:line="269" w:lineRule="auto"/>
            </w:pPr>
            <w:r>
              <w:rPr>
                <w:rFonts w:ascii="Calibri" w:hAnsi="Calibri"/>
                <w:sz w:val="19"/>
              </w:rPr>
              <w:t>Creep Slope</w:t>
            </w:r>
          </w:p>
        </w:tc>
        <w:tc>
          <w:tcPr>
            <w:tcW w:type="dxa" w:w="6860"/>
            <w:tcMar>
              <w:top w:w="80" w:type="dxa"/>
              <w:start w:w="120" w:type="dxa"/>
              <w:bottom w:w="80" w:type="dxa"/>
              <w:end w:w="120" w:type="dxa"/>
            </w:tcMar>
          </w:tcPr>
          <w:p>
            <w:pPr>
              <w:spacing w:before="0" w:after="0" w:line="269" w:lineRule="auto"/>
            </w:pPr>
            <w:r>
              <w:rPr>
                <w:rFonts w:ascii="Calibri" w:hAnsi="Calibri"/>
                <w:sz w:val="19"/>
              </w:rPr>
              <w:t>Modeled rut-depth accumulation rate in the creep region, derived from the Francken fit or a fallback line.</w:t>
            </w:r>
          </w:p>
        </w:tc>
      </w:tr>
      <w:tr>
        <w:tc>
          <w:tcPr>
            <w:tcW w:type="dxa" w:w="2500"/>
            <w:tcMar>
              <w:top w:w="80" w:type="dxa"/>
              <w:start w:w="120" w:type="dxa"/>
              <w:bottom w:w="80" w:type="dxa"/>
              <w:end w:w="120" w:type="dxa"/>
            </w:tcMar>
          </w:tcPr>
          <w:p>
            <w:pPr>
              <w:spacing w:before="0" w:after="0" w:line="269" w:lineRule="auto"/>
            </w:pPr>
            <w:r>
              <w:rPr>
                <w:rFonts w:ascii="Calibri" w:hAnsi="Calibri"/>
                <w:sz w:val="19"/>
              </w:rPr>
              <w:t>Stripping Slope</w:t>
            </w:r>
          </w:p>
        </w:tc>
        <w:tc>
          <w:tcPr>
            <w:tcW w:type="dxa" w:w="6860"/>
            <w:tcMar>
              <w:top w:w="80" w:type="dxa"/>
              <w:start w:w="120" w:type="dxa"/>
              <w:bottom w:w="80" w:type="dxa"/>
              <w:end w:w="120" w:type="dxa"/>
            </w:tcMar>
          </w:tcPr>
          <w:p>
            <w:pPr>
              <w:spacing w:before="0" w:after="0" w:line="269" w:lineRule="auto"/>
            </w:pPr>
            <w:r>
              <w:rPr>
                <w:rFonts w:ascii="Calibri" w:hAnsi="Calibri"/>
                <w:sz w:val="19"/>
              </w:rPr>
              <w:t>Modeled rut-depth accumulation rate near the end of the stripping region when stripping is identified.</w:t>
            </w:r>
          </w:p>
        </w:tc>
      </w:tr>
      <w:tr>
        <w:tc>
          <w:tcPr>
            <w:tcW w:type="dxa" w:w="2500"/>
            <w:tcMar>
              <w:top w:w="80" w:type="dxa"/>
              <w:start w:w="120" w:type="dxa"/>
              <w:bottom w:w="80" w:type="dxa"/>
              <w:end w:w="120" w:type="dxa"/>
            </w:tcMar>
          </w:tcPr>
          <w:p>
            <w:pPr>
              <w:spacing w:before="0" w:after="0" w:line="269" w:lineRule="auto"/>
            </w:pPr>
            <w:r>
              <w:rPr>
                <w:rFonts w:ascii="Calibri" w:hAnsi="Calibri"/>
                <w:sz w:val="19"/>
              </w:rPr>
              <w:t>SIP</w:t>
            </w:r>
          </w:p>
        </w:tc>
        <w:tc>
          <w:tcPr>
            <w:tcW w:type="dxa" w:w="6860"/>
            <w:tcMar>
              <w:top w:w="80" w:type="dxa"/>
              <w:start w:w="120" w:type="dxa"/>
              <w:bottom w:w="80" w:type="dxa"/>
              <w:end w:w="120" w:type="dxa"/>
            </w:tcMar>
          </w:tcPr>
          <w:p>
            <w:pPr>
              <w:spacing w:before="0" w:after="0" w:line="269" w:lineRule="auto"/>
            </w:pPr>
            <w:r>
              <w:rPr>
                <w:rFonts w:ascii="Calibri" w:hAnsi="Calibri"/>
                <w:sz w:val="19"/>
              </w:rPr>
              <w:t>Tangent-line intersection of modeled creep and stripping slopes. If unavailable, reported as greater than 20k. SIP is widely used, but published studies note that it can be sensitive to the analysis method (Mohammad et al., 2017; Giwa et al., 2021).</w:t>
            </w:r>
          </w:p>
        </w:tc>
      </w:tr>
      <w:tr>
        <w:tc>
          <w:tcPr>
            <w:tcW w:type="dxa" w:w="2500"/>
            <w:tcMar>
              <w:top w:w="80" w:type="dxa"/>
              <w:start w:w="120" w:type="dxa"/>
              <w:bottom w:w="80" w:type="dxa"/>
              <w:end w:w="120" w:type="dxa"/>
            </w:tcMar>
          </w:tcPr>
          <w:p>
            <w:pPr>
              <w:spacing w:before="0" w:after="0" w:line="269" w:lineRule="auto"/>
            </w:pPr>
            <w:r>
              <w:rPr>
                <w:rFonts w:ascii="Calibri" w:hAnsi="Calibri"/>
                <w:sz w:val="19"/>
              </w:rPr>
              <w:t>SN</w:t>
            </w:r>
          </w:p>
        </w:tc>
        <w:tc>
          <w:tcPr>
            <w:tcW w:type="dxa" w:w="6860"/>
            <w:tcMar>
              <w:top w:w="80" w:type="dxa"/>
              <w:start w:w="120" w:type="dxa"/>
              <w:bottom w:w="80" w:type="dxa"/>
              <w:end w:w="120" w:type="dxa"/>
            </w:tcMar>
          </w:tcPr>
          <w:p>
            <w:pPr>
              <w:spacing w:before="0" w:after="0" w:line="269" w:lineRule="auto"/>
            </w:pPr>
            <w:r>
              <w:rPr>
                <w:rFonts w:ascii="Calibri" w:hAnsi="Calibri"/>
                <w:sz w:val="19"/>
              </w:rPr>
              <w:t>Application-derived stripping-onset indicator based on a Francken second-derivative root or fallback slope break and subsequent stripping criteria. SN is conceptually related to fitted-curve definitions of stripping onset, but the app does not implement the exact NCAT/Yin three-parameter SN model and SN should not be treated as direct physical confirmation of stripping (Yin et al., 2014, 2020).</w:t>
            </w:r>
          </w:p>
        </w:tc>
      </w:tr>
      <w:tr>
        <w:tc>
          <w:tcPr>
            <w:tcW w:type="dxa" w:w="2500"/>
            <w:tcMar>
              <w:top w:w="80" w:type="dxa"/>
              <w:start w:w="120" w:type="dxa"/>
              <w:bottom w:w="80" w:type="dxa"/>
              <w:end w:w="120" w:type="dxa"/>
            </w:tcMar>
          </w:tcPr>
          <w:p>
            <w:pPr>
              <w:spacing w:before="0" w:after="0" w:line="269" w:lineRule="auto"/>
            </w:pPr>
            <w:r>
              <w:rPr>
                <w:rFonts w:ascii="Calibri" w:hAnsi="Calibri"/>
                <w:sz w:val="19"/>
              </w:rPr>
              <w:t>Francken R2</w:t>
            </w:r>
          </w:p>
        </w:tc>
        <w:tc>
          <w:tcPr>
            <w:tcW w:type="dxa" w:w="6860"/>
            <w:tcMar>
              <w:top w:w="80" w:type="dxa"/>
              <w:start w:w="120" w:type="dxa"/>
              <w:bottom w:w="80" w:type="dxa"/>
              <w:end w:w="120" w:type="dxa"/>
            </w:tcMar>
          </w:tcPr>
          <w:p>
            <w:pPr>
              <w:spacing w:before="0" w:after="0" w:line="269" w:lineRule="auto"/>
            </w:pPr>
            <w:r>
              <w:rPr>
                <w:rFonts w:ascii="Calibri" w:hAnsi="Calibri"/>
                <w:sz w:val="19"/>
              </w:rPr>
              <w:t>Goodness-of-fit statistic for the Francken curve on the analyzed series.</w:t>
            </w:r>
          </w:p>
        </w:tc>
      </w:tr>
      <w:tr>
        <w:tc>
          <w:tcPr>
            <w:tcW w:type="dxa" w:w="2500"/>
            <w:tcMar>
              <w:top w:w="80" w:type="dxa"/>
              <w:start w:w="120" w:type="dxa"/>
              <w:bottom w:w="80" w:type="dxa"/>
              <w:end w:w="120" w:type="dxa"/>
            </w:tcMar>
          </w:tcPr>
          <w:p>
            <w:pPr>
              <w:spacing w:before="0" w:after="0" w:line="269" w:lineRule="auto"/>
            </w:pPr>
            <w:r>
              <w:rPr>
                <w:rFonts w:ascii="Calibri" w:hAnsi="Calibri"/>
                <w:sz w:val="19"/>
              </w:rPr>
              <w:t>CRD @ passes</w:t>
            </w:r>
          </w:p>
        </w:tc>
        <w:tc>
          <w:tcPr>
            <w:tcW w:type="dxa" w:w="6860"/>
            <w:tcMar>
              <w:top w:w="80" w:type="dxa"/>
              <w:start w:w="120" w:type="dxa"/>
              <w:bottom w:w="80" w:type="dxa"/>
              <w:end w:w="120" w:type="dxa"/>
            </w:tcMar>
          </w:tcPr>
          <w:p>
            <w:pPr>
              <w:spacing w:before="0" w:after="0" w:line="269" w:lineRule="auto"/>
            </w:pPr>
            <w:r>
              <w:rPr>
                <w:rFonts w:ascii="Calibri" w:hAnsi="Calibri"/>
                <w:sz w:val="19"/>
              </w:rPr>
              <w:t>Tseng-Lytton modeled corrected rut depth at selected passes, intended to represent deformation with stripping influence reduced (Yin et al., 2020; Olagunju et al., 2025).</w:t>
            </w:r>
          </w:p>
        </w:tc>
      </w:tr>
      <w:tr>
        <w:tc>
          <w:tcPr>
            <w:tcW w:type="dxa" w:w="2500"/>
            <w:tcMar>
              <w:top w:w="80" w:type="dxa"/>
              <w:start w:w="120" w:type="dxa"/>
              <w:bottom w:w="80" w:type="dxa"/>
              <w:end w:w="120" w:type="dxa"/>
            </w:tcMar>
          </w:tcPr>
          <w:p>
            <w:pPr>
              <w:spacing w:before="0" w:after="0" w:line="269" w:lineRule="auto"/>
            </w:pPr>
            <w:r>
              <w:rPr>
                <w:rFonts w:ascii="Calibri" w:hAnsi="Calibri"/>
                <w:sz w:val="19"/>
              </w:rPr>
              <w:t>CRD Reliability</w:t>
            </w:r>
          </w:p>
        </w:tc>
        <w:tc>
          <w:tcPr>
            <w:tcW w:type="dxa" w:w="6860"/>
            <w:tcMar>
              <w:top w:w="80" w:type="dxa"/>
              <w:start w:w="120" w:type="dxa"/>
              <w:bottom w:w="80" w:type="dxa"/>
              <w:end w:w="120" w:type="dxa"/>
            </w:tcMar>
          </w:tcPr>
          <w:p>
            <w:pPr>
              <w:spacing w:before="0" w:after="0" w:line="269" w:lineRule="auto"/>
            </w:pPr>
            <w:r>
              <w:rPr>
                <w:rFonts w:ascii="Calibri" w:hAnsi="Calibri"/>
                <w:sz w:val="19"/>
              </w:rPr>
              <w:t>Application-defined CRD processing-status flag: High when a full stripping result with SN and SIP is available, Low for no/possible stripping, Moderate otherwise, and Unreliable when the CRD fit fails. These labels describe the software's analysis state; they are not statistical uncertainty estimates or independently validated accuracy ratings.</w:t>
            </w:r>
          </w:p>
        </w:tc>
      </w:tr>
    </w:tbl>
    <w:p/>
    <w:p>
      <w:pPr>
        <w:pStyle w:val="Heading1"/>
      </w:pPr>
      <w:r>
        <w:t>Output Files</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200"/>
        <w:gridCol w:w="7160"/>
      </w:tblGrid>
      <w:tr>
        <w:tc>
          <w:tcPr>
            <w:tcW w:type="dxa" w:w="2200"/>
            <w:tcMar>
              <w:top w:w="80" w:type="dxa"/>
              <w:start w:w="120" w:type="dxa"/>
              <w:bottom w:w="80" w:type="dxa"/>
              <w:end w:w="120" w:type="dxa"/>
            </w:tcMar>
            <w:vAlign w:val="center"/>
            <w:shd w:fill="E8EEF5"/>
          </w:tcPr>
          <w:p>
            <w:pPr>
              <w:spacing w:before="0" w:after="0" w:line="276" w:lineRule="auto"/>
            </w:pPr>
            <w:r>
              <w:rPr>
                <w:rFonts w:ascii="Calibri" w:hAnsi="Calibri"/>
                <w:b/>
                <w:color w:val="0B2545"/>
              </w:rPr>
              <w:t>Output</w:t>
            </w:r>
          </w:p>
        </w:tc>
        <w:tc>
          <w:tcPr>
            <w:tcW w:type="dxa" w:w="7160"/>
            <w:tcMar>
              <w:top w:w="80" w:type="dxa"/>
              <w:start w:w="120" w:type="dxa"/>
              <w:bottom w:w="80" w:type="dxa"/>
              <w:end w:w="120" w:type="dxa"/>
            </w:tcMar>
            <w:vAlign w:val="center"/>
            <w:shd w:fill="E8EEF5"/>
          </w:tcPr>
          <w:p>
            <w:pPr>
              <w:spacing w:before="0" w:after="0" w:line="276" w:lineRule="auto"/>
            </w:pPr>
            <w:r>
              <w:rPr>
                <w:rFonts w:ascii="Calibri" w:hAnsi="Calibri"/>
                <w:b/>
                <w:color w:val="0B2545"/>
              </w:rPr>
              <w:t>Contents</w:t>
            </w:r>
          </w:p>
        </w:tc>
      </w:tr>
      <w:tr>
        <w:tc>
          <w:tcPr>
            <w:tcW w:type="dxa" w:w="2200"/>
            <w:tcMar>
              <w:top w:w="80" w:type="dxa"/>
              <w:start w:w="120" w:type="dxa"/>
              <w:bottom w:w="80" w:type="dxa"/>
              <w:end w:w="120" w:type="dxa"/>
            </w:tcMar>
          </w:tcPr>
          <w:p>
            <w:pPr>
              <w:spacing w:before="0" w:after="0" w:line="269" w:lineRule="auto"/>
            </w:pPr>
            <w:r>
              <w:rPr>
                <w:rFonts w:ascii="Calibri" w:hAnsi="Calibri"/>
                <w:sz w:val="19"/>
              </w:rPr>
              <w:t>Excel workbook</w:t>
            </w:r>
          </w:p>
        </w:tc>
        <w:tc>
          <w:tcPr>
            <w:tcW w:type="dxa" w:w="7160"/>
            <w:tcMar>
              <w:top w:w="80" w:type="dxa"/>
              <w:start w:w="120" w:type="dxa"/>
              <w:bottom w:w="80" w:type="dxa"/>
              <w:end w:w="120" w:type="dxa"/>
            </w:tcMar>
          </w:tcPr>
          <w:p>
            <w:pPr>
              <w:spacing w:before="0" w:after="0" w:line="269" w:lineRule="auto"/>
            </w:pPr>
            <w:r>
              <w:rPr>
                <w:rFonts w:ascii="Calibri" w:hAnsi="Calibri"/>
                <w:sz w:val="19"/>
              </w:rPr>
              <w:t>Contains Project Info, Summary, Average Rut Depth Data with CRD columns, and Fit Windows when available.</w:t>
            </w:r>
          </w:p>
        </w:tc>
      </w:tr>
      <w:tr>
        <w:tc>
          <w:tcPr>
            <w:tcW w:type="dxa" w:w="2200"/>
            <w:tcMar>
              <w:top w:w="80" w:type="dxa"/>
              <w:start w:w="120" w:type="dxa"/>
              <w:bottom w:w="80" w:type="dxa"/>
              <w:end w:w="120" w:type="dxa"/>
            </w:tcMar>
          </w:tcPr>
          <w:p>
            <w:pPr>
              <w:spacing w:before="0" w:after="0" w:line="269" w:lineRule="auto"/>
            </w:pPr>
            <w:r>
              <w:rPr>
                <w:rFonts w:ascii="Calibri" w:hAnsi="Calibri"/>
                <w:sz w:val="19"/>
              </w:rPr>
              <w:t>Plots</w:t>
            </w:r>
          </w:p>
        </w:tc>
        <w:tc>
          <w:tcPr>
            <w:tcW w:type="dxa" w:w="7160"/>
            <w:tcMar>
              <w:top w:w="80" w:type="dxa"/>
              <w:start w:w="120" w:type="dxa"/>
              <w:bottom w:w="80" w:type="dxa"/>
              <w:end w:w="120" w:type="dxa"/>
            </w:tcMar>
          </w:tcPr>
          <w:p>
            <w:pPr>
              <w:spacing w:before="0" w:after="0" w:line="269" w:lineRule="auto"/>
            </w:pPr>
            <w:r>
              <w:rPr>
                <w:rFonts w:ascii="Calibri" w:hAnsi="Calibri"/>
                <w:sz w:val="19"/>
              </w:rPr>
              <w:t>PNG plots from the app show measured rut depth, Francken fit, creep/stripping lines when available, SIP/SN markers, and CRD curve with extrapolated styling beyond measured data.</w:t>
            </w:r>
          </w:p>
        </w:tc>
      </w:tr>
      <w:tr>
        <w:tc>
          <w:tcPr>
            <w:tcW w:type="dxa" w:w="2200"/>
            <w:tcMar>
              <w:top w:w="80" w:type="dxa"/>
              <w:start w:w="120" w:type="dxa"/>
              <w:bottom w:w="80" w:type="dxa"/>
              <w:end w:w="120" w:type="dxa"/>
            </w:tcMar>
          </w:tcPr>
          <w:p>
            <w:pPr>
              <w:spacing w:before="0" w:after="0" w:line="269" w:lineRule="auto"/>
            </w:pPr>
            <w:r>
              <w:rPr>
                <w:rFonts w:ascii="Calibri" w:hAnsi="Calibri"/>
                <w:sz w:val="19"/>
              </w:rPr>
              <w:t>Dashboard tables</w:t>
            </w:r>
          </w:p>
        </w:tc>
        <w:tc>
          <w:tcPr>
            <w:tcW w:type="dxa" w:w="7160"/>
            <w:tcMar>
              <w:top w:w="80" w:type="dxa"/>
              <w:start w:w="120" w:type="dxa"/>
              <w:bottom w:w="80" w:type="dxa"/>
              <w:end w:w="120" w:type="dxa"/>
            </w:tcMar>
          </w:tcPr>
          <w:p>
            <w:pPr>
              <w:spacing w:before="0" w:after="0" w:line="269" w:lineRule="auto"/>
            </w:pPr>
            <w:r>
              <w:rPr>
                <w:rFonts w:ascii="Calibri" w:hAnsi="Calibri"/>
                <w:sz w:val="19"/>
              </w:rPr>
              <w:t>The app displays the same Summary and Fit Windows dataframes returned by run_analysis.</w:t>
            </w:r>
          </w:p>
        </w:tc>
      </w:tr>
      <w:tr>
        <w:tc>
          <w:tcPr>
            <w:tcW w:type="dxa" w:w="2200"/>
            <w:tcMar>
              <w:top w:w="80" w:type="dxa"/>
              <w:start w:w="120" w:type="dxa"/>
              <w:bottom w:w="80" w:type="dxa"/>
              <w:end w:w="120" w:type="dxa"/>
            </w:tcMar>
          </w:tcPr>
          <w:p>
            <w:pPr>
              <w:spacing w:before="0" w:after="0" w:line="269" w:lineRule="auto"/>
            </w:pPr>
            <w:r>
              <w:rPr>
                <w:rFonts w:ascii="Calibri" w:hAnsi="Calibri"/>
                <w:sz w:val="19"/>
              </w:rPr>
              <w:t>Metric tiles</w:t>
            </w:r>
          </w:p>
        </w:tc>
        <w:tc>
          <w:tcPr>
            <w:tcW w:type="dxa" w:w="7160"/>
            <w:tcMar>
              <w:top w:w="80" w:type="dxa"/>
              <w:start w:w="120" w:type="dxa"/>
              <w:bottom w:w="80" w:type="dxa"/>
              <w:end w:w="120" w:type="dxa"/>
            </w:tcMar>
          </w:tcPr>
          <w:p>
            <w:pPr>
              <w:spacing w:before="0" w:after="0" w:line="269" w:lineRule="auto"/>
            </w:pPr>
            <w:r>
              <w:rPr>
                <w:rFonts w:ascii="Calibri" w:hAnsi="Calibri"/>
                <w:sz w:val="19"/>
              </w:rPr>
              <w:t>The app emphasizes the Average series where available: Temperature, Final RD, RRI, SIP, and Status.</w:t>
            </w:r>
          </w:p>
        </w:tc>
      </w:tr>
    </w:tbl>
    <w:p/>
    <w:p>
      <w:pPr>
        <w:pStyle w:val="Heading1"/>
      </w:pPr>
      <w:r>
        <w:t>Assumptions and Limitations</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300"/>
        <w:gridCol w:w="7060"/>
      </w:tblGrid>
      <w:tr>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B2545"/>
              </w:rPr>
              <w:t>Area</w:t>
            </w:r>
          </w:p>
        </w:tc>
        <w:tc>
          <w:tcPr>
            <w:tcW w:type="dxa" w:w="7060"/>
            <w:tcMar>
              <w:top w:w="80" w:type="dxa"/>
              <w:start w:w="120" w:type="dxa"/>
              <w:bottom w:w="80" w:type="dxa"/>
              <w:end w:w="120" w:type="dxa"/>
            </w:tcMar>
            <w:vAlign w:val="center"/>
            <w:shd w:fill="E8EEF5"/>
          </w:tcPr>
          <w:p>
            <w:pPr>
              <w:spacing w:before="0" w:after="0" w:line="276" w:lineRule="auto"/>
            </w:pPr>
            <w:r>
              <w:rPr>
                <w:rFonts w:ascii="Calibri" w:hAnsi="Calibri"/>
                <w:b/>
                <w:color w:val="0B2545"/>
              </w:rPr>
              <w:t>Current limitation</w:t>
            </w:r>
          </w:p>
        </w:tc>
      </w:tr>
      <w:tr>
        <w:tc>
          <w:tcPr>
            <w:tcW w:type="dxa" w:w="2300"/>
            <w:tcMar>
              <w:top w:w="80" w:type="dxa"/>
              <w:start w:w="120" w:type="dxa"/>
              <w:bottom w:w="80" w:type="dxa"/>
              <w:end w:w="120" w:type="dxa"/>
            </w:tcMar>
          </w:tcPr>
          <w:p>
            <w:pPr>
              <w:spacing w:before="0" w:after="0" w:line="269" w:lineRule="auto"/>
            </w:pPr>
            <w:r>
              <w:rPr>
                <w:rFonts w:ascii="Calibri" w:hAnsi="Calibri"/>
                <w:sz w:val="19"/>
              </w:rPr>
              <w:t>Method identity</w:t>
            </w:r>
          </w:p>
        </w:tc>
        <w:tc>
          <w:tcPr>
            <w:tcW w:type="dxa" w:w="7060"/>
            <w:tcMar>
              <w:top w:w="80" w:type="dxa"/>
              <w:start w:w="120" w:type="dxa"/>
              <w:bottom w:w="80" w:type="dxa"/>
              <w:end w:w="120" w:type="dxa"/>
            </w:tcMar>
          </w:tcPr>
          <w:p>
            <w:pPr>
              <w:spacing w:before="0" w:after="0" w:line="269" w:lineRule="auto"/>
            </w:pPr>
            <w:r>
              <w:rPr>
                <w:rFonts w:ascii="Calibri" w:hAnsi="Calibri"/>
                <w:sz w:val="19"/>
              </w:rPr>
              <w:t>The current implementation is a project-specific analysis workflow using Francken-type and Tseng-Lytton models and reporting several conventional HWTT parameters. It is not a direct implementation of an Iowa DOT, NCAT/Yin, or other agency-specific analysis procedure (Mohammad et al., 2017; Yin et al., 2020; Giwa et al., 2021).</w:t>
            </w:r>
          </w:p>
        </w:tc>
      </w:tr>
      <w:tr>
        <w:tc>
          <w:tcPr>
            <w:tcW w:type="dxa" w:w="2300"/>
            <w:tcMar>
              <w:top w:w="80" w:type="dxa"/>
              <w:start w:w="120" w:type="dxa"/>
              <w:bottom w:w="80" w:type="dxa"/>
              <w:end w:w="120" w:type="dxa"/>
            </w:tcMar>
          </w:tcPr>
          <w:p>
            <w:pPr>
              <w:spacing w:before="0" w:after="0" w:line="269" w:lineRule="auto"/>
            </w:pPr>
            <w:r>
              <w:rPr>
                <w:rFonts w:ascii="Calibri" w:hAnsi="Calibri"/>
                <w:sz w:val="19"/>
              </w:rPr>
              <w:t>Thresholds</w:t>
            </w:r>
          </w:p>
        </w:tc>
        <w:tc>
          <w:tcPr>
            <w:tcW w:type="dxa" w:w="7060"/>
            <w:tcMar>
              <w:top w:w="80" w:type="dxa"/>
              <w:start w:w="120" w:type="dxa"/>
              <w:bottom w:w="80" w:type="dxa"/>
              <w:end w:w="120" w:type="dxa"/>
            </w:tcMar>
          </w:tcPr>
          <w:p>
            <w:pPr>
              <w:spacing w:before="0" w:after="0" w:line="269" w:lineRule="auto"/>
            </w:pPr>
            <w:r>
              <w:rPr>
                <w:rFonts w:ascii="Calibri" w:hAnsi="Calibri"/>
                <w:sz w:val="19"/>
              </w:rPr>
              <w:t>Important thresholds are currently constants in code: 12.5 mm final criterion, 20,000-pass window, 50 mm cutoff, 1.5 stripping/creep ratio, and creep-slope warning thresholds.</w:t>
            </w:r>
          </w:p>
        </w:tc>
      </w:tr>
      <w:tr>
        <w:tc>
          <w:tcPr>
            <w:tcW w:type="dxa" w:w="2300"/>
            <w:tcMar>
              <w:top w:w="80" w:type="dxa"/>
              <w:start w:w="120" w:type="dxa"/>
              <w:bottom w:w="80" w:type="dxa"/>
              <w:end w:w="120" w:type="dxa"/>
            </w:tcMar>
          </w:tcPr>
          <w:p>
            <w:pPr>
              <w:spacing w:before="0" w:after="0" w:line="269" w:lineRule="auto"/>
            </w:pPr>
            <w:r>
              <w:rPr>
                <w:rFonts w:ascii="Calibri" w:hAnsi="Calibri"/>
                <w:sz w:val="19"/>
              </w:rPr>
              <w:t>CRD basis</w:t>
            </w:r>
          </w:p>
        </w:tc>
        <w:tc>
          <w:tcPr>
            <w:tcW w:type="dxa" w:w="7060"/>
            <w:tcMar>
              <w:top w:w="80" w:type="dxa"/>
              <w:start w:w="120" w:type="dxa"/>
              <w:bottom w:w="80" w:type="dxa"/>
              <w:end w:w="120" w:type="dxa"/>
            </w:tcMar>
          </w:tcPr>
          <w:p>
            <w:pPr>
              <w:spacing w:before="0" w:after="0" w:line="269" w:lineRule="auto"/>
            </w:pPr>
            <w:r>
              <w:rPr>
                <w:rFonts w:ascii="Calibri" w:hAnsi="Calibri"/>
                <w:sz w:val="19"/>
              </w:rPr>
              <w:t>The application records a CRD processing-status flag but does not currently expose whether CRD came from pre-strip or full-series fitting in the Summary sheet.</w:t>
            </w:r>
          </w:p>
        </w:tc>
      </w:tr>
      <w:tr>
        <w:tc>
          <w:tcPr>
            <w:tcW w:type="dxa" w:w="2300"/>
            <w:tcMar>
              <w:top w:w="80" w:type="dxa"/>
              <w:start w:w="120" w:type="dxa"/>
              <w:bottom w:w="80" w:type="dxa"/>
              <w:end w:w="120" w:type="dxa"/>
            </w:tcMar>
          </w:tcPr>
          <w:p>
            <w:pPr>
              <w:spacing w:before="0" w:after="0" w:line="269" w:lineRule="auto"/>
            </w:pPr>
            <w:r>
              <w:rPr>
                <w:rFonts w:ascii="Calibri" w:hAnsi="Calibri"/>
                <w:sz w:val="19"/>
              </w:rPr>
              <w:t>No MR/VR</w:t>
            </w:r>
          </w:p>
        </w:tc>
        <w:tc>
          <w:tcPr>
            <w:tcW w:type="dxa" w:w="7060"/>
            <w:tcMar>
              <w:top w:w="80" w:type="dxa"/>
              <w:start w:w="120" w:type="dxa"/>
              <w:bottom w:w="80" w:type="dxa"/>
              <w:end w:w="120" w:type="dxa"/>
            </w:tcMar>
          </w:tcPr>
          <w:p>
            <w:pPr>
              <w:spacing w:before="0" w:after="0" w:line="269" w:lineRule="auto"/>
            </w:pPr>
            <w:r>
              <w:rPr>
                <w:rFonts w:ascii="Calibri" w:hAnsi="Calibri"/>
                <w:sz w:val="19"/>
              </w:rPr>
              <w:t>The Bahia-Lv moisture ratio and viscoplastic ratio workflow is not implemented, so the app cannot currently compute MR, VR, or critical stripping temperature (Bahia &amp; Lv, 2019; Feener et al., 2021).</w:t>
            </w:r>
          </w:p>
        </w:tc>
      </w:tr>
      <w:tr>
        <w:tc>
          <w:tcPr>
            <w:tcW w:type="dxa" w:w="2300"/>
            <w:tcMar>
              <w:top w:w="80" w:type="dxa"/>
              <w:start w:w="120" w:type="dxa"/>
              <w:bottom w:w="80" w:type="dxa"/>
              <w:end w:w="120" w:type="dxa"/>
            </w:tcMar>
          </w:tcPr>
          <w:p>
            <w:pPr>
              <w:spacing w:before="0" w:after="0" w:line="269" w:lineRule="auto"/>
            </w:pPr>
            <w:r>
              <w:rPr>
                <w:rFonts w:ascii="Calibri" w:hAnsi="Calibri"/>
                <w:sz w:val="19"/>
              </w:rPr>
              <w:t>No agency method selector</w:t>
            </w:r>
          </w:p>
        </w:tc>
        <w:tc>
          <w:tcPr>
            <w:tcW w:type="dxa" w:w="7060"/>
            <w:tcMar>
              <w:top w:w="80" w:type="dxa"/>
              <w:start w:w="120" w:type="dxa"/>
              <w:bottom w:w="80" w:type="dxa"/>
              <w:end w:w="120" w:type="dxa"/>
            </w:tcMar>
          </w:tcPr>
          <w:p>
            <w:pPr>
              <w:spacing w:before="0" w:after="0" w:line="269" w:lineRule="auto"/>
            </w:pPr>
            <w:r>
              <w:rPr>
                <w:rFonts w:ascii="Calibri" w:hAnsi="Calibri"/>
                <w:sz w:val="19"/>
              </w:rPr>
              <w:t>Users cannot choose Iowa, Oklahoma, Texas/NCAT exact, Weibull, or third-order curvature methods from the UI (Al-Khateeb &amp; Basheer, 2009; Tsai et al., 2016; Giwa et al., 2021).</w:t>
            </w:r>
          </w:p>
        </w:tc>
      </w:tr>
      <w:tr>
        <w:tc>
          <w:tcPr>
            <w:tcW w:type="dxa" w:w="2300"/>
            <w:tcMar>
              <w:top w:w="80" w:type="dxa"/>
              <w:start w:w="120" w:type="dxa"/>
              <w:bottom w:w="80" w:type="dxa"/>
              <w:end w:w="120" w:type="dxa"/>
            </w:tcMar>
          </w:tcPr>
          <w:p>
            <w:pPr>
              <w:spacing w:before="0" w:after="0" w:line="269" w:lineRule="auto"/>
            </w:pPr>
            <w:r>
              <w:rPr>
                <w:rFonts w:ascii="Calibri" w:hAnsi="Calibri"/>
                <w:sz w:val="19"/>
              </w:rPr>
              <w:t>Fit sensitivity</w:t>
            </w:r>
          </w:p>
        </w:tc>
        <w:tc>
          <w:tcPr>
            <w:tcW w:type="dxa" w:w="7060"/>
            <w:tcMar>
              <w:top w:w="80" w:type="dxa"/>
              <w:start w:w="120" w:type="dxa"/>
              <w:bottom w:w="80" w:type="dxa"/>
              <w:end w:w="120" w:type="dxa"/>
            </w:tcMar>
          </w:tcPr>
          <w:p>
            <w:pPr>
              <w:spacing w:before="0" w:after="0" w:line="269" w:lineRule="auto"/>
            </w:pPr>
            <w:r>
              <w:rPr>
                <w:rFonts w:ascii="Calibri" w:hAnsi="Calibri"/>
                <w:sz w:val="19"/>
              </w:rPr>
              <w:t>Nonlinear fits can be sensitive to noisy data, test termination, early stripping, and unusual equipment exports. Plots and Fit Windows should be reviewed rather than relying on a single metric (Mohammad et al., 2017; Giwa et al., 2021).</w:t>
            </w:r>
          </w:p>
        </w:tc>
      </w:tr>
    </w:tbl>
    <w:p/>
    <w:p>
      <w:pPr>
        <w:pStyle w:val="Heading1"/>
      </w:pPr>
      <w:r>
        <w:t>Maintenance Notes</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500"/>
        <w:gridCol w:w="6860"/>
      </w:tblGrid>
      <w:tr>
        <w:tc>
          <w:tcPr>
            <w:tcW w:type="dxa" w:w="2500"/>
            <w:tcMar>
              <w:top w:w="80" w:type="dxa"/>
              <w:start w:w="120" w:type="dxa"/>
              <w:bottom w:w="80" w:type="dxa"/>
              <w:end w:w="120" w:type="dxa"/>
            </w:tcMar>
            <w:vAlign w:val="center"/>
            <w:shd w:fill="E8EEF5"/>
          </w:tcPr>
          <w:p>
            <w:r>
              <w:t>Item</w:t>
            </w:r>
          </w:p>
        </w:tc>
        <w:tc>
          <w:tcPr>
            <w:tcW w:type="dxa" w:w="6860"/>
            <w:tcMar>
              <w:top w:w="80" w:type="dxa"/>
              <w:start w:w="120" w:type="dxa"/>
              <w:bottom w:w="80" w:type="dxa"/>
              <w:end w:w="120" w:type="dxa"/>
            </w:tcMar>
            <w:vAlign w:val="center"/>
            <w:shd w:fill="E8EEF5"/>
          </w:tcPr>
          <w:p>
            <w:r>
              <w:t>Note</w:t>
            </w:r>
          </w:p>
        </w:tc>
      </w:tr>
      <w:tr>
        <w:tc>
          <w:tcPr>
            <w:tcW w:type="dxa" w:w="2500"/>
            <w:tcMar>
              <w:top w:w="80" w:type="dxa"/>
              <w:start w:w="120" w:type="dxa"/>
              <w:bottom w:w="80" w:type="dxa"/>
              <w:end w:w="120" w:type="dxa"/>
            </w:tcMar>
          </w:tcPr>
          <w:p>
            <w:r>
              <w:t>Public distribution</w:t>
            </w:r>
          </w:p>
        </w:tc>
        <w:tc>
          <w:tcPr>
            <w:tcW w:type="dxa" w:w="6860"/>
            <w:tcMar>
              <w:top w:w="80" w:type="dxa"/>
              <w:start w:w="120" w:type="dxa"/>
              <w:bottom w:w="80" w:type="dxa"/>
              <w:end w:w="120" w:type="dxa"/>
            </w:tcMar>
          </w:tcPr>
          <w:p>
            <w:r>
              <w:t>The public package contains the compiled Windows application, documentation, examples, and third-party notices. Implementation source code is not included.</w:t>
            </w:r>
          </w:p>
        </w:tc>
      </w:tr>
      <w:tr>
        <w:tc>
          <w:tcPr>
            <w:tcW w:type="dxa" w:w="2500"/>
            <w:tcMar>
              <w:top w:w="80" w:type="dxa"/>
              <w:start w:w="120" w:type="dxa"/>
              <w:bottom w:w="80" w:type="dxa"/>
              <w:end w:w="120" w:type="dxa"/>
            </w:tcMar>
          </w:tcPr>
          <w:p>
            <w:r>
              <w:t>User documentation</w:t>
            </w:r>
          </w:p>
        </w:tc>
        <w:tc>
          <w:tcPr>
            <w:tcW w:type="dxa" w:w="6860"/>
            <w:tcMar>
              <w:top w:w="80" w:type="dxa"/>
              <w:start w:w="120" w:type="dxa"/>
              <w:bottom w:w="80" w:type="dxa"/>
              <w:end w:w="120" w:type="dxa"/>
            </w:tcMar>
          </w:tcPr>
          <w:p>
            <w:r>
              <w:t>The user manual describes installation and operation; this background document describes the analysis concepts and current software behavior.</w:t>
            </w:r>
          </w:p>
        </w:tc>
      </w:tr>
      <w:tr>
        <w:tc>
          <w:tcPr>
            <w:tcW w:type="dxa" w:w="2500"/>
            <w:tcMar>
              <w:top w:w="80" w:type="dxa"/>
              <w:start w:w="120" w:type="dxa"/>
              <w:bottom w:w="80" w:type="dxa"/>
              <w:end w:w="120" w:type="dxa"/>
            </w:tcMar>
          </w:tcPr>
          <w:p>
            <w:r>
              <w:t>Future documentation</w:t>
            </w:r>
          </w:p>
        </w:tc>
        <w:tc>
          <w:tcPr>
            <w:tcW w:type="dxa" w:w="6860"/>
            <w:tcMar>
              <w:top w:w="80" w:type="dxa"/>
              <w:start w:w="120" w:type="dxa"/>
              <w:bottom w:w="80" w:type="dxa"/>
              <w:end w:w="120" w:type="dxa"/>
            </w:tcMar>
          </w:tcPr>
          <w:p>
            <w:r>
              <w:t>For future releases, record the methodology name and threshold values in exported metadata and document any new agency-specific analysis methods separately.</w:t>
            </w:r>
          </w:p>
        </w:tc>
      </w:tr>
    </w:tbl>
    <w:p/>
    <w:p>
      <w:pPr>
        <w:pStyle w:val="Heading1"/>
      </w:pPr>
      <w:r>
        <w:t>References</w:t>
      </w:r>
    </w:p>
    <w:p>
      <w:pPr>
        <w:spacing w:before="0" w:after="120" w:line="276" w:lineRule="auto"/>
        <w:ind w:left="360" w:hanging="360"/>
      </w:pPr>
      <w:r>
        <w:rPr>
          <w:rFonts w:ascii="Calibri" w:hAnsi="Calibri"/>
          <w:sz w:val="19"/>
        </w:rPr>
        <w:t>AASHTO. (2019). AASHTO T 324-19: Standard method of test for Hamburg wheel-track testing of compacted asphalt mixtures. American Association of State Highway and Transportation Officials.</w:t>
      </w:r>
    </w:p>
    <w:p>
      <w:pPr>
        <w:spacing w:before="0" w:after="120" w:line="276" w:lineRule="auto"/>
        <w:ind w:left="360" w:hanging="360"/>
      </w:pPr>
      <w:r>
        <w:rPr>
          <w:rFonts w:ascii="Calibri" w:hAnsi="Calibri"/>
          <w:sz w:val="19"/>
        </w:rPr>
        <w:t>Al-Khateeb, G., &amp; Basheer, I. (2009). A three-stage rutting model utilising rutting performance data from the Hamburg Wheel-Tracking Device (WTD). Road and Transport Research, 18(3), 12-25.</w:t>
      </w:r>
    </w:p>
    <w:p>
      <w:pPr>
        <w:spacing w:before="0" w:after="120" w:line="276" w:lineRule="auto"/>
        <w:ind w:left="360" w:hanging="360"/>
      </w:pPr>
      <w:r>
        <w:rPr>
          <w:rFonts w:ascii="Calibri" w:hAnsi="Calibri"/>
          <w:sz w:val="19"/>
        </w:rPr>
        <w:t>Bahia, H. U., &amp; Lv, Q. (2019). Separating effects of loading from moisture in wet Hamburg wheel-track test. Journal of the Association of Asphalt Paving Technologists, 88, 751-781.</w:t>
      </w:r>
    </w:p>
    <w:p>
      <w:pPr>
        <w:spacing w:before="0" w:after="120" w:line="276" w:lineRule="auto"/>
        <w:ind w:left="360" w:hanging="360"/>
      </w:pPr>
      <w:r>
        <w:rPr>
          <w:rFonts w:ascii="Calibri" w:hAnsi="Calibri"/>
          <w:sz w:val="19"/>
        </w:rPr>
        <w:t>Chaturabong, P., &amp; Bahia, H. U. (2017a). The evaluation of relative effect of moisture in Hamburg wheel tracking test. Construction and Building Materials, 153, 337-345.</w:t>
      </w:r>
    </w:p>
    <w:p>
      <w:pPr>
        <w:spacing w:before="0" w:after="120" w:line="276" w:lineRule="auto"/>
        <w:ind w:left="360" w:hanging="360"/>
      </w:pPr>
      <w:r>
        <w:rPr>
          <w:rFonts w:ascii="Calibri" w:hAnsi="Calibri"/>
          <w:sz w:val="19"/>
        </w:rPr>
        <w:t>Chaturabong, P., &amp; Bahia, H. U. (2017b). Mechanisms of asphalt mixture rutting in the dry Hamburg Wheel Tracking test and the potential to be alternative test in measuring rutting resistance. Construction and Building Materials, 146, 175-182.</w:t>
      </w:r>
    </w:p>
    <w:p>
      <w:pPr>
        <w:spacing w:before="0" w:after="120" w:line="276" w:lineRule="auto"/>
        <w:ind w:left="360" w:hanging="360"/>
      </w:pPr>
      <w:r>
        <w:rPr>
          <w:rFonts w:ascii="Calibri" w:hAnsi="Calibri"/>
          <w:sz w:val="19"/>
        </w:rPr>
        <w:t>Feener, B., Barnes, C., &amp; Marlin, A. (2021). Determination of critical stripping temperatures for typical asphalt concrete mixtures used in Nova Scotia. Transportation Association of Canada Conference.</w:t>
      </w:r>
    </w:p>
    <w:p>
      <w:pPr>
        <w:spacing w:before="0" w:after="120" w:line="276" w:lineRule="auto"/>
        <w:ind w:left="360" w:hanging="360"/>
      </w:pPr>
      <w:r>
        <w:rPr>
          <w:rFonts w:ascii="Calibri" w:hAnsi="Calibri"/>
          <w:sz w:val="19"/>
        </w:rPr>
        <w:t>Giwa, I., Sadek, H., &amp; Zaremotekhases, F. (2021). Evaluation of different analysis approaches for Hamburg Wheel-Tracking testing (HWTT) data. Construction and Building Materials, 280, 122420.</w:t>
      </w:r>
    </w:p>
    <w:p>
      <w:pPr>
        <w:spacing w:before="0" w:after="120" w:line="276" w:lineRule="auto"/>
        <w:ind w:left="360" w:hanging="360"/>
      </w:pPr>
      <w:r>
        <w:rPr>
          <w:rFonts w:ascii="Calibri" w:hAnsi="Calibri"/>
          <w:sz w:val="19"/>
        </w:rPr>
        <w:t>Mohammad, L. N., Elseifi, M., Cao, W., Raghavendra, A., &amp; Ye, M. (2017). Evaluation of various Hamburg wheel-tracking devices and AASHTO T 324 specification for rutting testing of asphalt mixtures. Road Materials and Pavement Design, 18(sup4), 128-143.</w:t>
      </w:r>
    </w:p>
    <w:p>
      <w:pPr>
        <w:spacing w:before="0" w:after="120" w:line="276" w:lineRule="auto"/>
        <w:ind w:left="360" w:hanging="360"/>
      </w:pPr>
      <w:r>
        <w:rPr>
          <w:rFonts w:ascii="Calibri" w:hAnsi="Calibri"/>
          <w:sz w:val="19"/>
        </w:rPr>
        <w:t>Olagunju, M., Mousavi Rad, S., Sadeghi, M., Vivanco, D., &amp; Elkashef, M. (2025). Evaluating the rutting and moisture resistance of asphalt mixes in Oklahoma using indirect tensile test at high temperature strength and Hamburg Wheel Tracking Test corrected rut depth and stripping number. Transportation Research Record, 2679(7), 109-123.</w:t>
      </w:r>
    </w:p>
    <w:p>
      <w:pPr>
        <w:spacing w:before="0" w:after="120" w:line="276" w:lineRule="auto"/>
        <w:ind w:left="360" w:hanging="360"/>
      </w:pPr>
      <w:r>
        <w:rPr>
          <w:rFonts w:ascii="Calibri" w:hAnsi="Calibri"/>
          <w:sz w:val="19"/>
        </w:rPr>
        <w:t>Tsai, B.-W., Coleri, E., Harvey, J. T., &amp; Monismith, C. L. (2016). Evaluation of AASHTO T 324 Hamburg-Wheel Track Device test. Construction and Building Materials, 114, 248-260.</w:t>
      </w:r>
    </w:p>
    <w:p>
      <w:pPr>
        <w:spacing w:before="0" w:after="120" w:line="276" w:lineRule="auto"/>
        <w:ind w:left="360" w:hanging="360"/>
      </w:pPr>
      <w:r>
        <w:rPr>
          <w:rFonts w:ascii="Calibri" w:hAnsi="Calibri"/>
          <w:sz w:val="19"/>
        </w:rPr>
        <w:t>Walubita, L. F., Faruk, A. N. M., Zhang, J., Komba, J. J., Alrashydah, E. I., &amp; Simate, G. S. (2019). The Hamburg Rutting Test (HWTT) alternative data analysis methods and HMA screening criteria. International Journal of Pavement Research and Technology, 12, 110-116.</w:t>
      </w:r>
    </w:p>
    <w:p>
      <w:pPr>
        <w:spacing w:before="0" w:after="120" w:line="276" w:lineRule="auto"/>
        <w:ind w:left="360" w:hanging="360"/>
      </w:pPr>
      <w:r>
        <w:rPr>
          <w:rFonts w:ascii="Calibri" w:hAnsi="Calibri"/>
          <w:sz w:val="19"/>
        </w:rPr>
        <w:t>Wen, H., Wu, S., Mohammad, L. N., Zhang, W., Shen, S., &amp; Faheem, A. (2016). Long-term field rutting and moisture susceptibility performance of warm-mix asphalt pavement. Transportation Research Record, 2575(1), 103-112.</w:t>
      </w:r>
    </w:p>
    <w:p>
      <w:pPr>
        <w:spacing w:before="0" w:after="120" w:line="276" w:lineRule="auto"/>
        <w:ind w:left="360" w:hanging="360"/>
      </w:pPr>
      <w:r>
        <w:rPr>
          <w:rFonts w:ascii="Calibri" w:hAnsi="Calibri"/>
          <w:sz w:val="19"/>
        </w:rPr>
        <w:t>Yin, F., Arambula, E., Lytton, R., Martin, A. E., &amp; Cucalon, L. G. (2014). Novel method for moisture susceptibility and rutting evaluation using Hamburg wheel tracking test. Transportation Research Record, 2446(1), 1-7.</w:t>
      </w:r>
    </w:p>
    <w:p>
      <w:pPr>
        <w:spacing w:before="0" w:after="120" w:line="276" w:lineRule="auto"/>
        <w:ind w:left="360" w:hanging="360"/>
      </w:pPr>
      <w:r>
        <w:rPr>
          <w:rFonts w:ascii="Calibri" w:hAnsi="Calibri"/>
          <w:sz w:val="19"/>
        </w:rPr>
        <w:t>Yin, F., Chen, C., West, R., Martin, A. E., &amp; Arambula-Mercado, E. (2020). Determining the relationship among Hamburg wheel-tracking test parameters and correlation to field performance of asphalt pavements. Transportation Research Record, 2674(4), 281-291.</w:t>
      </w:r>
    </w:p>
    <w:p>
      <w:pPr>
        <w:spacing w:before="0" w:after="120" w:line="276" w:lineRule="auto"/>
        <w:ind w:left="360" w:hanging="360"/>
      </w:pPr>
      <w:r>
        <w:rPr>
          <w:rFonts w:ascii="Calibri" w:hAnsi="Calibri"/>
          <w:sz w:val="19"/>
        </w:rPr>
        <w:t>Zhang, W., Shen, S., Wu, S., &amp; Mohammad, L. N. (2017). Prediction model for field rut depth of asphalt pavement based on Hamburg wheel tracking test properties. Journal of Materials in Civil Engineering, 29(9), 04017098.</w:t>
      </w:r>
    </w:p>
    <w:p>
      <w:pPr>
        <w:spacing w:before="0" w:after="120" w:line="276" w:lineRule="auto"/>
        <w:ind w:left="360" w:hanging="360"/>
      </w:pPr>
      <w:r>
        <w:rPr>
          <w:rFonts w:ascii="Calibri" w:hAnsi="Calibri"/>
          <w:sz w:val="19"/>
        </w:rPr>
        <w:t>Zhou, F., Scullion, T., &amp; Sun, L. (2004). Verification and modeling of three-stage permanent deformation behavior of asphalt mixes. Journal of Transportation Engineering, 130(4), 486-494.</w:t>
      </w:r>
    </w:p>
    <w:p>
      <w:pPr>
        <w:pStyle w:val="Heading1"/>
      </w:pPr>
      <w:r>
        <w:t>Project Files Consulted</w:t>
      </w:r>
    </w:p>
    <w:tbl>
      <w:tblPr>
        <w:tblStyle w:val="TableGrid"/>
        <w:tblW w:type="dxa" w:w="9360"/>
        <w:tblLook w:firstColumn="1" w:firstRow="1" w:lastColumn="0" w:lastRow="0" w:noHBand="0" w:noVBand="1" w:val="04A0"/>
        <w:tblLayout w:type="fixed"/>
        <w:tblInd w:w="12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Pr>
      <w:tblGrid>
        <w:gridCol w:w="2500"/>
        <w:gridCol w:w="6860"/>
      </w:tblGrid>
      <w:tr>
        <w:tc>
          <w:tcPr>
            <w:tcW w:type="dxa" w:w="2500"/>
            <w:tcMar>
              <w:top w:w="80" w:type="dxa"/>
              <w:start w:w="120" w:type="dxa"/>
              <w:bottom w:w="80" w:type="dxa"/>
              <w:end w:w="120" w:type="dxa"/>
            </w:tcMar>
            <w:vAlign w:val="center"/>
            <w:shd w:fill="E8EEF5"/>
          </w:tcPr>
          <w:p>
            <w:r>
              <w:t>Public reference</w:t>
            </w:r>
          </w:p>
        </w:tc>
        <w:tc>
          <w:tcPr>
            <w:tcW w:type="dxa" w:w="6860"/>
            <w:tcMar>
              <w:top w:w="80" w:type="dxa"/>
              <w:start w:w="120" w:type="dxa"/>
              <w:bottom w:w="80" w:type="dxa"/>
              <w:end w:w="120" w:type="dxa"/>
            </w:tcMar>
            <w:vAlign w:val="center"/>
            <w:shd w:fill="E8EEF5"/>
          </w:tcPr>
          <w:p>
            <w:r>
              <w:t>File</w:t>
            </w:r>
          </w:p>
        </w:tc>
      </w:tr>
      <w:tr>
        <w:tc>
          <w:tcPr>
            <w:tcW w:type="dxa" w:w="2500"/>
            <w:tcMar>
              <w:top w:w="80" w:type="dxa"/>
              <w:start w:w="120" w:type="dxa"/>
              <w:bottom w:w="80" w:type="dxa"/>
              <w:end w:w="120" w:type="dxa"/>
            </w:tcMar>
          </w:tcPr>
          <w:p>
            <w:r>
              <w:t>Repository overview</w:t>
            </w:r>
          </w:p>
        </w:tc>
        <w:tc>
          <w:tcPr>
            <w:tcW w:type="dxa" w:w="6860"/>
            <w:tcMar>
              <w:top w:w="80" w:type="dxa"/>
              <w:start w:w="120" w:type="dxa"/>
              <w:bottom w:w="80" w:type="dxa"/>
              <w:end w:w="120" w:type="dxa"/>
            </w:tcMar>
          </w:tcPr>
          <w:p>
            <w:r>
              <w:t>README.md</w:t>
            </w:r>
          </w:p>
        </w:tc>
      </w:tr>
      <w:tr>
        <w:tc>
          <w:tcPr>
            <w:tcW w:type="dxa" w:w="2500"/>
            <w:tcMar>
              <w:top w:w="80" w:type="dxa"/>
              <w:start w:w="120" w:type="dxa"/>
              <w:bottom w:w="80" w:type="dxa"/>
              <w:end w:w="120" w:type="dxa"/>
            </w:tcMar>
          </w:tcPr>
          <w:p>
            <w:r>
              <w:t>User documentation</w:t>
            </w:r>
          </w:p>
        </w:tc>
        <w:tc>
          <w:tcPr>
            <w:tcW w:type="dxa" w:w="6860"/>
            <w:tcMar>
              <w:top w:w="80" w:type="dxa"/>
              <w:start w:w="120" w:type="dxa"/>
              <w:bottom w:w="80" w:type="dxa"/>
              <w:end w:w="120" w:type="dxa"/>
            </w:tcMar>
          </w:tcPr>
          <w:p>
            <w:r>
              <w:t>docs/HWTT_Analyzer_User_Manual.md and .docx</w:t>
            </w:r>
          </w:p>
        </w:tc>
      </w:tr>
      <w:tr>
        <w:tc>
          <w:tcPr>
            <w:tcW w:type="dxa" w:w="2500"/>
            <w:tcMar>
              <w:top w:w="80" w:type="dxa"/>
              <w:start w:w="120" w:type="dxa"/>
              <w:bottom w:w="80" w:type="dxa"/>
              <w:end w:w="120" w:type="dxa"/>
            </w:tcMar>
          </w:tcPr>
          <w:p>
            <w:r>
              <w:t>Analysis background</w:t>
            </w:r>
          </w:p>
        </w:tc>
        <w:tc>
          <w:tcPr>
            <w:tcW w:type="dxa" w:w="6860"/>
            <w:tcMar>
              <w:top w:w="80" w:type="dxa"/>
              <w:start w:w="120" w:type="dxa"/>
              <w:bottom w:w="80" w:type="dxa"/>
              <w:end w:w="120" w:type="dxa"/>
            </w:tcMar>
          </w:tcPr>
          <w:p>
            <w:r>
              <w:t>docs/HWTT_Analyzer_Background_Data_Analysis_and_Modeling.docx</w:t>
            </w:r>
          </w:p>
        </w:tc>
      </w:tr>
      <w:tr>
        <w:tc>
          <w:tcPr>
            <w:tcW w:type="dxa" w:w="2500"/>
            <w:tcMar>
              <w:top w:w="80" w:type="dxa"/>
              <w:start w:w="120" w:type="dxa"/>
              <w:bottom w:w="80" w:type="dxa"/>
              <w:end w:w="120" w:type="dxa"/>
            </w:tcMar>
          </w:tcPr>
          <w:p>
            <w:r>
              <w:t>Licensing and notices</w:t>
            </w:r>
          </w:p>
        </w:tc>
        <w:tc>
          <w:tcPr>
            <w:tcW w:type="dxa" w:w="6860"/>
            <w:tcMar>
              <w:top w:w="80" w:type="dxa"/>
              <w:start w:w="120" w:type="dxa"/>
              <w:bottom w:w="80" w:type="dxa"/>
              <w:end w:w="120" w:type="dxa"/>
            </w:tcMar>
          </w:tcPr>
          <w:p>
            <w:r>
              <w:t>docs/HWTT_Analyzer_EULA.txt and docs/THIRD_PARTY_NOTICES.txt</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