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8C1D40"/>
          <w:sz w:val="52"/>
        </w:rPr>
        <w:t>HWTT Analyzer</w:t>
      </w:r>
    </w:p>
    <w:p>
      <w:r>
        <w:rPr>
          <w:color w:val="52616F"/>
          <w:sz w:val="26"/>
        </w:rPr>
        <w:t>User Manual and Input Template Guide</w:t>
      </w:r>
    </w:p>
    <w:p>
      <w:r>
        <w:t>For Windows standalone use. This guide explains how to run analyses, select input files, use templates, customize plots, and review outputs.</w:t>
      </w:r>
    </w:p>
    <w:tbl>
      <w:tblPr>
        <w:tblW w:type="auto" w:w="0"/>
        <w:tblLayout w:type="fixed"/>
        <w:tblLook w:firstColumn="1" w:firstRow="1" w:lastColumn="0" w:lastRow="0" w:noHBand="0" w:noVBand="1" w:val="04A0"/>
      </w:tblPr>
      <w:tblGrid>
        <w:gridCol w:w="9792"/>
      </w:tblGrid>
      <w:tr>
        <w:tc>
          <w:tcPr>
            <w:tcW w:type="dxa" w:w="9792"/>
            <w:shd w:fill="FFF7D6"/>
            <w:tcBorders>
              <w:top w:val="single" w:sz="4" w:color="E6CA64"/>
              <w:left w:val="single" w:sz="4" w:color="E6CA64"/>
              <w:bottom w:val="single" w:sz="4" w:color="E6CA64"/>
              <w:right w:val="single" w:sz="4" w:color="E6CA64"/>
            </w:tcBorders>
          </w:tcPr>
          <w:p>
            <w:r>
              <w:rPr>
                <w:b/>
              </w:rPr>
              <w:t xml:space="preserve">Standalone package: </w:t>
            </w:r>
            <w:r>
              <w:t>Copy the entire HWTT_Analyzer_Share_Package folder, or at minimum the full HWTTAnalyzer folder inside it, to another Windows computer. Keep HWTTAnalyzer.exe and the _internal folder together.</w:t>
            </w:r>
          </w:p>
        </w:tc>
      </w:tr>
    </w:tbl>
    <w:p/>
    <w:p>
      <w:pPr>
        <w:pStyle w:val="Heading1"/>
      </w:pPr>
      <w:r>
        <w:rPr>
          <w:color w:val="8C1D40"/>
        </w:rPr>
        <w:t>Quick Start</w:t>
      </w:r>
    </w:p>
    <w:p>
      <w:pPr>
        <w:pStyle w:val="ListNumber"/>
        <w:spacing w:after="60"/>
      </w:pPr>
      <w:r>
        <w:t>Open the HWTTAnalyzer folder.</w:t>
      </w:r>
    </w:p>
    <w:p>
      <w:pPr>
        <w:pStyle w:val="ListNumber"/>
        <w:spacing w:after="60"/>
      </w:pPr>
      <w:r>
        <w:t>Double-click HWTTAnalyzer.exe.</w:t>
      </w:r>
    </w:p>
    <w:p>
      <w:pPr>
        <w:pStyle w:val="ListNumber"/>
        <w:spacing w:after="60"/>
      </w:pPr>
      <w:r>
        <w:t>Choose the source type that matches your data file.</w:t>
      </w:r>
    </w:p>
    <w:p>
      <w:pPr>
        <w:pStyle w:val="ListNumber"/>
        <w:spacing w:after="60"/>
      </w:pPr>
      <w:r>
        <w:t>Select the input file or Instrotech left/right pair.</w:t>
      </w:r>
    </w:p>
    <w:p>
      <w:pPr>
        <w:pStyle w:val="ListNumber"/>
        <w:spacing w:after="60"/>
      </w:pPr>
      <w:r>
        <w:t>Choose Metric or U.S. customary display units from Settings &gt; Units.</w:t>
      </w:r>
    </w:p>
    <w:p>
      <w:pPr>
        <w:pStyle w:val="ListNumber"/>
        <w:spacing w:after="60"/>
      </w:pPr>
      <w:r>
        <w:t>Enter project details and optional test temperature.</w:t>
      </w:r>
    </w:p>
    <w:p>
      <w:pPr>
        <w:pStyle w:val="ListNumber"/>
        <w:spacing w:after="60"/>
      </w:pPr>
      <w:r>
        <w:t>Choose which figure files and Excel workbook sections should be saved.</w:t>
      </w:r>
    </w:p>
    <w:p>
      <w:pPr>
        <w:pStyle w:val="ListNumber"/>
        <w:spacing w:after="60"/>
      </w:pPr>
      <w:r>
        <w:t>Choose plot colors if the defaults should change.</w:t>
      </w:r>
    </w:p>
    <w:p>
      <w:pPr>
        <w:pStyle w:val="ListNumber"/>
        <w:spacing w:after="60"/>
      </w:pPr>
      <w:r>
        <w:t>Click Analyze.</w:t>
      </w:r>
    </w:p>
    <w:p>
      <w:pPr>
        <w:pStyle w:val="ListNumber"/>
        <w:spacing w:after="60"/>
      </w:pPr>
      <w:r>
        <w:t>Review metric cards, Summary, Fit Review, and Plots.</w:t>
      </w:r>
    </w:p>
    <w:p>
      <w:pPr>
        <w:pStyle w:val="ListNumber"/>
        <w:spacing w:after="60"/>
      </w:pPr>
      <w:r>
        <w:t>Click Open Excel to review the exported workbook when Excel output was selected.</w:t>
      </w:r>
    </w:p>
    <w:p>
      <w:pPr>
        <w:pStyle w:val="ListNumber"/>
        <w:spacing w:after="60"/>
      </w:pPr>
      <w:r>
        <w:t>Use Plot Comparison, or Tools &gt; Plot Comparison, to overlay results from multiple analysis workbooks.</w:t>
      </w:r>
    </w:p>
    <w:p>
      <w:pPr>
        <w:pStyle w:val="Heading1"/>
      </w:pPr>
      <w:r>
        <w:rPr>
          <w:color w:val="8C1D40"/>
        </w:rPr>
        <w:t>Input Types</w:t>
      </w:r>
    </w:p>
    <w:tbl>
      <w:tblPr>
        <w:tblW w:type="auto" w:w="0"/>
        <w:tblLayout w:type="fixed"/>
        <w:tblLook w:firstColumn="1" w:firstRow="1" w:lastColumn="0" w:lastRow="0" w:noHBand="0" w:noVBand="1" w:val="04A0"/>
      </w:tblPr>
      <w:tblGrid>
        <w:gridCol w:w="2448"/>
        <w:gridCol w:w="2448"/>
        <w:gridCol w:w="2448"/>
        <w:gridCol w:w="2448"/>
      </w:tblGrid>
      <w:tr>
        <w:trPr>
          <w:tblHeader w:val="true"/>
        </w:trPr>
        <w:tc>
          <w:tcPr>
            <w:tcW w:type="dxa" w:w="2448"/>
            <w:shd w:fill="8C1D40"/>
            <w:tcBorders>
              <w:top w:val="single" w:sz="4" w:color="D9DEE8"/>
              <w:left w:val="single" w:sz="4" w:color="D9DEE8"/>
              <w:bottom w:val="single" w:sz="4" w:color="D9DEE8"/>
              <w:right w:val="single" w:sz="4" w:color="D9DEE8"/>
            </w:tcBorders>
            <w:vAlign w:val="center"/>
          </w:tcPr>
          <w:p>
            <w:r>
              <w:rPr>
                <w:b/>
                <w:color w:val="FFFFFF"/>
              </w:rPr>
              <w:t>Source type</w:t>
            </w:r>
          </w:p>
        </w:tc>
        <w:tc>
          <w:tcPr>
            <w:tcW w:type="dxa" w:w="2448"/>
            <w:shd w:fill="8C1D40"/>
            <w:tcBorders>
              <w:top w:val="single" w:sz="4" w:color="D9DEE8"/>
              <w:left w:val="single" w:sz="4" w:color="D9DEE8"/>
              <w:bottom w:val="single" w:sz="4" w:color="D9DEE8"/>
              <w:right w:val="single" w:sz="4" w:color="D9DEE8"/>
            </w:tcBorders>
            <w:vAlign w:val="center"/>
          </w:tcPr>
          <w:p>
            <w:r>
              <w:rPr>
                <w:b/>
                <w:color w:val="FFFFFF"/>
              </w:rPr>
              <w:t>Template</w:t>
            </w:r>
          </w:p>
        </w:tc>
        <w:tc>
          <w:tcPr>
            <w:tcW w:type="dxa" w:w="2448"/>
            <w:shd w:fill="8C1D40"/>
            <w:tcBorders>
              <w:top w:val="single" w:sz="4" w:color="D9DEE8"/>
              <w:left w:val="single" w:sz="4" w:color="D9DEE8"/>
              <w:bottom w:val="single" w:sz="4" w:color="D9DEE8"/>
              <w:right w:val="single" w:sz="4" w:color="D9DEE8"/>
            </w:tcBorders>
            <w:vAlign w:val="center"/>
          </w:tcPr>
          <w:p>
            <w:r>
              <w:rPr>
                <w:b/>
                <w:color w:val="FFFFFF"/>
              </w:rPr>
              <w:t>Required structure</w:t>
            </w:r>
          </w:p>
        </w:tc>
        <w:tc>
          <w:tcPr>
            <w:tcW w:type="dxa" w:w="2448"/>
            <w:shd w:fill="8C1D40"/>
            <w:tcBorders>
              <w:top w:val="single" w:sz="4" w:color="D9DEE8"/>
              <w:left w:val="single" w:sz="4" w:color="D9DEE8"/>
              <w:bottom w:val="single" w:sz="4" w:color="D9DEE8"/>
              <w:right w:val="single" w:sz="4" w:color="D9DEE8"/>
            </w:tcBorders>
            <w:vAlign w:val="center"/>
          </w:tcPr>
          <w:p>
            <w:r>
              <w:rPr>
                <w:b/>
                <w:color w:val="FFFFFF"/>
              </w:rPr>
              <w:t>Notes</w:t>
            </w:r>
          </w:p>
        </w:tc>
      </w:tr>
      <w:tr>
        <w:tc>
          <w:tcPr>
            <w:tcW w:type="dxa" w:w="2448"/>
            <w:tcBorders>
              <w:top w:val="single" w:sz="4" w:color="D9DEE8"/>
              <w:left w:val="single" w:sz="4" w:color="D9DEE8"/>
              <w:bottom w:val="single" w:sz="4" w:color="D9DEE8"/>
              <w:right w:val="single" w:sz="4" w:color="D9DEE8"/>
            </w:tcBorders>
            <w:vAlign w:val="center"/>
          </w:tcPr>
          <w:p>
            <w:r>
              <w:t>PTI workbook</w:t>
            </w:r>
          </w:p>
        </w:tc>
        <w:tc>
          <w:tcPr>
            <w:tcW w:type="dxa" w:w="2448"/>
            <w:tcBorders>
              <w:top w:val="single" w:sz="4" w:color="D9DEE8"/>
              <w:left w:val="single" w:sz="4" w:color="D9DEE8"/>
              <w:bottom w:val="single" w:sz="4" w:color="D9DEE8"/>
              <w:right w:val="single" w:sz="4" w:color="D9DEE8"/>
            </w:tcBorders>
            <w:vAlign w:val="center"/>
          </w:tcPr>
          <w:p>
            <w:r>
              <w:t>PTI_Equipment_Output_Example.xlsm</w:t>
            </w:r>
          </w:p>
        </w:tc>
        <w:tc>
          <w:tcPr>
            <w:tcW w:type="dxa" w:w="2448"/>
            <w:tcBorders>
              <w:top w:val="single" w:sz="4" w:color="D9DEE8"/>
              <w:left w:val="single" w:sz="4" w:color="D9DEE8"/>
              <w:bottom w:val="single" w:sz="4" w:color="D9DEE8"/>
              <w:right w:val="single" w:sz="4" w:color="D9DEE8"/>
            </w:tcBorders>
            <w:vAlign w:val="center"/>
          </w:tcPr>
          <w:p>
            <w:r>
              <w:t>Equipment-style PTI workbook with a RawData sheet.</w:t>
            </w:r>
          </w:p>
        </w:tc>
        <w:tc>
          <w:tcPr>
            <w:tcW w:type="dxa" w:w="2448"/>
            <w:tcBorders>
              <w:top w:val="single" w:sz="4" w:color="D9DEE8"/>
              <w:left w:val="single" w:sz="4" w:color="D9DEE8"/>
              <w:bottom w:val="single" w:sz="4" w:color="D9DEE8"/>
              <w:right w:val="single" w:sz="4" w:color="D9DEE8"/>
            </w:tcBorders>
            <w:vAlign w:val="center"/>
          </w:tcPr>
          <w:p>
            <w:r>
              <w:t>Use directly as a PTI example; keep .xlsm exports intact.</w:t>
            </w:r>
          </w:p>
        </w:tc>
      </w:tr>
      <w:tr>
        <w:tc>
          <w:tcPr>
            <w:tcW w:type="dxa" w:w="2448"/>
            <w:tcBorders>
              <w:top w:val="single" w:sz="4" w:color="D9DEE8"/>
              <w:left w:val="single" w:sz="4" w:color="D9DEE8"/>
              <w:bottom w:val="single" w:sz="4" w:color="D9DEE8"/>
              <w:right w:val="single" w:sz="4" w:color="D9DEE8"/>
            </w:tcBorders>
            <w:vAlign w:val="center"/>
          </w:tcPr>
          <w:p>
            <w:r>
              <w:t>Troxler workbook</w:t>
            </w:r>
          </w:p>
        </w:tc>
        <w:tc>
          <w:tcPr>
            <w:tcW w:type="dxa" w:w="2448"/>
            <w:tcBorders>
              <w:top w:val="single" w:sz="4" w:color="D9DEE8"/>
              <w:left w:val="single" w:sz="4" w:color="D9DEE8"/>
              <w:bottom w:val="single" w:sz="4" w:color="D9DEE8"/>
              <w:right w:val="single" w:sz="4" w:color="D9DEE8"/>
            </w:tcBorders>
            <w:vAlign w:val="center"/>
          </w:tcPr>
          <w:p>
            <w:r>
              <w:t>Troxler_Equipment_Output_Example.xls</w:t>
            </w:r>
          </w:p>
        </w:tc>
        <w:tc>
          <w:tcPr>
            <w:tcW w:type="dxa" w:w="2448"/>
            <w:tcBorders>
              <w:top w:val="single" w:sz="4" w:color="D9DEE8"/>
              <w:left w:val="single" w:sz="4" w:color="D9DEE8"/>
              <w:bottom w:val="single" w:sz="4" w:color="D9DEE8"/>
              <w:right w:val="single" w:sz="4" w:color="D9DEE8"/>
            </w:tcBorders>
            <w:vAlign w:val="center"/>
          </w:tcPr>
          <w:p>
            <w:r>
              <w:t>Equipment-style Troxler workbook with TEMPSET, PASSNUM, L4-L8, R4-R8.</w:t>
            </w:r>
          </w:p>
        </w:tc>
        <w:tc>
          <w:tcPr>
            <w:tcW w:type="dxa" w:w="2448"/>
            <w:tcBorders>
              <w:top w:val="single" w:sz="4" w:color="D9DEE8"/>
              <w:left w:val="single" w:sz="4" w:color="D9DEE8"/>
              <w:bottom w:val="single" w:sz="4" w:color="D9DEE8"/>
              <w:right w:val="single" w:sz="4" w:color="D9DEE8"/>
            </w:tcBorders>
            <w:vAlign w:val="center"/>
          </w:tcPr>
          <w:p>
            <w:r>
              <w:t>Use directly as a Troxler example; legacy .xls is supported.</w:t>
            </w:r>
          </w:p>
        </w:tc>
      </w:tr>
      <w:tr>
        <w:tc>
          <w:tcPr>
            <w:tcW w:type="dxa" w:w="2448"/>
            <w:tcBorders>
              <w:top w:val="single" w:sz="4" w:color="D9DEE8"/>
              <w:left w:val="single" w:sz="4" w:color="D9DEE8"/>
              <w:bottom w:val="single" w:sz="4" w:color="D9DEE8"/>
              <w:right w:val="single" w:sz="4" w:color="D9DEE8"/>
            </w:tcBorders>
            <w:vAlign w:val="center"/>
          </w:tcPr>
          <w:p>
            <w:r>
              <w:t>Instrotech pair</w:t>
            </w:r>
          </w:p>
        </w:tc>
        <w:tc>
          <w:tcPr>
            <w:tcW w:type="dxa" w:w="2448"/>
            <w:tcBorders>
              <w:top w:val="single" w:sz="4" w:color="D9DEE8"/>
              <w:left w:val="single" w:sz="4" w:color="D9DEE8"/>
              <w:bottom w:val="single" w:sz="4" w:color="D9DEE8"/>
              <w:right w:val="single" w:sz="4" w:color="D9DEE8"/>
            </w:tcBorders>
            <w:vAlign w:val="center"/>
          </w:tcPr>
          <w:p>
            <w:r>
              <w:t>Instrotech_LEFT_Equipment_Output_Example.txt and Instrotech_RIGHT_Equipment_Output_Example.txt</w:t>
            </w:r>
          </w:p>
        </w:tc>
        <w:tc>
          <w:tcPr>
            <w:tcW w:type="dxa" w:w="2448"/>
            <w:tcBorders>
              <w:top w:val="single" w:sz="4" w:color="D9DEE8"/>
              <w:left w:val="single" w:sz="4" w:color="D9DEE8"/>
              <w:bottom w:val="single" w:sz="4" w:color="D9DEE8"/>
              <w:right w:val="single" w:sz="4" w:color="D9DEE8"/>
            </w:tcBorders>
            <w:vAlign w:val="center"/>
          </w:tcPr>
          <w:p>
            <w:r>
              <w:t>Two equipment-style text or DOCX reports with [GRAPH] data rows: Passes, rut depth, temperature.</w:t>
            </w:r>
          </w:p>
        </w:tc>
        <w:tc>
          <w:tcPr>
            <w:tcW w:type="dxa" w:w="2448"/>
            <w:tcBorders>
              <w:top w:val="single" w:sz="4" w:color="D9DEE8"/>
              <w:left w:val="single" w:sz="4" w:color="D9DEE8"/>
              <w:bottom w:val="single" w:sz="4" w:color="D9DEE8"/>
              <w:right w:val="single" w:sz="4" w:color="D9DEE8"/>
            </w:tcBorders>
            <w:vAlign w:val="center"/>
          </w:tcPr>
          <w:p>
            <w:r>
              <w:t>Select left file first, right file second.</w:t>
            </w:r>
          </w:p>
        </w:tc>
      </w:tr>
      <w:tr>
        <w:tc>
          <w:tcPr>
            <w:tcW w:type="dxa" w:w="2448"/>
            <w:tcBorders>
              <w:top w:val="single" w:sz="4" w:color="D9DEE8"/>
              <w:left w:val="single" w:sz="4" w:color="D9DEE8"/>
              <w:bottom w:val="single" w:sz="4" w:color="D9DEE8"/>
              <w:right w:val="single" w:sz="4" w:color="D9DEE8"/>
            </w:tcBorders>
            <w:vAlign w:val="center"/>
          </w:tcPr>
          <w:p>
            <w:r>
              <w:t>Custom Excel</w:t>
            </w:r>
          </w:p>
        </w:tc>
        <w:tc>
          <w:tcPr>
            <w:tcW w:type="dxa" w:w="2448"/>
            <w:tcBorders>
              <w:top w:val="single" w:sz="4" w:color="D9DEE8"/>
              <w:left w:val="single" w:sz="4" w:color="D9DEE8"/>
              <w:bottom w:val="single" w:sz="4" w:color="D9DEE8"/>
              <w:right w:val="single" w:sz="4" w:color="D9DEE8"/>
            </w:tcBorders>
            <w:vAlign w:val="center"/>
          </w:tcPr>
          <w:p>
            <w:r>
              <w:t>Custom_Excel_Template.xlsx</w:t>
            </w:r>
          </w:p>
        </w:tc>
        <w:tc>
          <w:tcPr>
            <w:tcW w:type="dxa" w:w="2448"/>
            <w:tcBorders>
              <w:top w:val="single" w:sz="4" w:color="D9DEE8"/>
              <w:left w:val="single" w:sz="4" w:color="D9DEE8"/>
              <w:bottom w:val="single" w:sz="4" w:color="D9DEE8"/>
              <w:right w:val="single" w:sz="4" w:color="D9DEE8"/>
            </w:tcBorders>
            <w:vAlign w:val="center"/>
          </w:tcPr>
          <w:p>
            <w:r>
              <w:t>First sheet with Number of Passes, Left Rut Depth (mm), Right Rut Depth (mm).</w:t>
            </w:r>
          </w:p>
        </w:tc>
        <w:tc>
          <w:tcPr>
            <w:tcW w:type="dxa" w:w="2448"/>
            <w:tcBorders>
              <w:top w:val="single" w:sz="4" w:color="D9DEE8"/>
              <w:left w:val="single" w:sz="4" w:color="D9DEE8"/>
              <w:bottom w:val="single" w:sz="4" w:color="D9DEE8"/>
              <w:right w:val="single" w:sz="4" w:color="D9DEE8"/>
            </w:tcBorders>
            <w:vAlign w:val="center"/>
          </w:tcPr>
          <w:p>
            <w:r>
              <w:t>Test Temperature (°C) is optional; imported values remain metric.</w:t>
            </w:r>
          </w:p>
        </w:tc>
      </w:tr>
    </w:tbl>
    <w:p>
      <w:pPr>
        <w:pStyle w:val="Heading1"/>
      </w:pPr>
      <w:r>
        <w:rPr>
          <w:color w:val="8C1D40"/>
        </w:rPr>
        <w:t>Batch Folder Analysis</w:t>
      </w:r>
    </w:p>
    <w:p>
      <w:r>
        <w:t>Choose Auto detect when one folder contains one or more HWTT input files. The analyzer identifies the supported source type for each case before processing it.</w:t>
      </w:r>
    </w:p>
    <w:p>
      <w:pPr>
        <w:pStyle w:val="ListBullet"/>
        <w:spacing w:after="60"/>
      </w:pPr>
      <w:r>
        <w:t>The selected folder is scanned for PTI, Troxler, custom Excel, and complete Instrotech left/right pairs.</w:t>
      </w:r>
    </w:p>
    <w:p>
      <w:pPr>
        <w:pStyle w:val="ListBullet"/>
        <w:spacing w:after="60"/>
      </w:pPr>
      <w:r>
        <w:t>Each recognized workbook is treated as one case; a matched Instrotech left/right pair is treated as one case.</w:t>
      </w:r>
    </w:p>
    <w:p>
      <w:pPr>
        <w:pStyle w:val="ListBullet"/>
        <w:spacing w:after="60"/>
      </w:pPr>
      <w:r>
        <w:t>When multiple cases are found, each case is written to a separate result subfolder and HWTT_Batch_Summary.xlsx is written in the selected output folder.</w:t>
      </w:r>
    </w:p>
    <w:p>
      <w:pPr>
        <w:pStyle w:val="ListBullet"/>
        <w:spacing w:after="60"/>
      </w:pPr>
      <w:r>
        <w:t>If one case fails, the remaining detected cases continue. Review the batch summary for Completed or Failed status and the detected file type.</w:t>
      </w:r>
    </w:p>
    <w:p>
      <w:pPr>
        <w:pStyle w:val="ListBullet"/>
        <w:spacing w:after="60"/>
      </w:pPr>
      <w:r>
        <w:t>The progress indicator appears after Analyze is clicked and shows the current batch stage until processing finishes.</w:t>
      </w:r>
    </w:p>
    <w:p>
      <w:pPr>
        <w:pStyle w:val="Heading1"/>
      </w:pPr>
      <w:r>
        <w:rPr>
          <w:color w:val="8C1D40"/>
        </w:rPr>
        <w:t>Using the Example Templates</w:t>
      </w:r>
    </w:p>
    <w:p>
      <w:pPr>
        <w:pStyle w:val="ListBullet"/>
        <w:spacing w:after="60"/>
      </w:pPr>
      <w:r>
        <w:t>Open the examples folder shipped with the app.</w:t>
      </w:r>
    </w:p>
    <w:p>
      <w:pPr>
        <w:pStyle w:val="ListBullet"/>
        <w:spacing w:after="60"/>
      </w:pPr>
      <w:r>
        <w:t>Use the template that matches the data source.</w:t>
      </w:r>
    </w:p>
    <w:p>
      <w:pPr>
        <w:pStyle w:val="ListBullet"/>
        <w:spacing w:after="60"/>
      </w:pPr>
      <w:r>
        <w:t>Equipment examples are sanitized and do not include real project identifiers.</w:t>
      </w:r>
    </w:p>
    <w:p>
      <w:pPr>
        <w:pStyle w:val="ListBullet"/>
        <w:spacing w:after="60"/>
      </w:pPr>
      <w:r>
        <w:t>Replace the synthetic example data with actual project measurements.</w:t>
      </w:r>
    </w:p>
    <w:p>
      <w:pPr>
        <w:pStyle w:val="ListBullet"/>
        <w:spacing w:after="60"/>
      </w:pPr>
      <w:r>
        <w:t>Keep required sheet names and column headers unchanged.</w:t>
      </w:r>
    </w:p>
    <w:p>
      <w:pPr>
        <w:pStyle w:val="ListBullet"/>
        <w:spacing w:after="60"/>
      </w:pPr>
      <w:r>
        <w:t>Keep input-file rut depth in millimeters and temperature in degrees Celsius, even when the app displays U.S. customary units.</w:t>
      </w:r>
    </w:p>
    <w:p>
      <w:pPr>
        <w:pStyle w:val="ListBullet"/>
        <w:spacing w:after="60"/>
      </w:pPr>
      <w:r>
        <w:t>Save the edited workbook or report files before running analysis.</w:t>
      </w:r>
    </w:p>
    <w:p>
      <w:pPr>
        <w:pStyle w:val="Heading1"/>
      </w:pPr>
      <w:r>
        <w:rPr>
          <w:color w:val="8C1D40"/>
        </w:rPr>
        <w:t>Project Details</w:t>
      </w:r>
    </w:p>
    <w:p>
      <w:r>
        <w:t>The Project Details fields are optional, but they make the exported report easier to trace.</w:t>
      </w:r>
    </w:p>
    <w:p>
      <w:pPr>
        <w:pStyle w:val="ListBullet"/>
        <w:spacing w:after="60"/>
      </w:pPr>
      <w:r>
        <w:t>Project name: mixture, job, or sample set name.</w:t>
      </w:r>
    </w:p>
    <w:p>
      <w:pPr>
        <w:pStyle w:val="ListBullet"/>
        <w:spacing w:after="60"/>
      </w:pPr>
      <w:r>
        <w:t>Project ID / client: lab ID, client, or internal tracking code.</w:t>
      </w:r>
    </w:p>
    <w:p>
      <w:pPr>
        <w:pStyle w:val="ListBullet"/>
        <w:spacing w:after="60"/>
      </w:pPr>
      <w:r>
        <w:t>Test temperature: overrides or supplies TEMPSET when entered. The field follows the selected display unit and is converted to canonical Celsius for analysis.</w:t>
      </w:r>
    </w:p>
    <w:p>
      <w:pPr>
        <w:pStyle w:val="ListBullet"/>
        <w:spacing w:after="60"/>
      </w:pPr>
      <w:r>
        <w:t>Description: short note about sample, date, conditioning, or test context.</w:t>
      </w:r>
    </w:p>
    <w:p>
      <w:pPr>
        <w:pStyle w:val="Heading1"/>
      </w:pPr>
      <w:r>
        <w:rPr>
          <w:color w:val="8C1D40"/>
        </w:rPr>
        <w:t>Unit Settings</w:t>
      </w:r>
    </w:p>
    <w:p>
      <w:r>
        <w:t>Settings &gt; Units controls how results and the manual test-temperature entry are displayed.</w:t>
      </w:r>
    </w:p>
    <w:p>
      <w:pPr>
        <w:pStyle w:val="ListBullet"/>
        <w:spacing w:after="60"/>
      </w:pPr>
      <w:r>
        <w:t>Metric displays rut depth in millimeters, slopes in millimeters per pass, and temperature in degrees Celsius.</w:t>
      </w:r>
    </w:p>
    <w:p>
      <w:pPr>
        <w:pStyle w:val="ListBullet"/>
        <w:spacing w:after="60"/>
      </w:pPr>
      <w:r>
        <w:t>U.S. customary displays rut depth in inches, slopes in inches per pass, and temperature in degrees Fahrenheit.</w:t>
      </w:r>
    </w:p>
    <w:p>
      <w:pPr>
        <w:pStyle w:val="ListBullet"/>
        <w:spacing w:after="60"/>
      </w:pPr>
      <w:r>
        <w:t>Changing units after an analysis reruns the last completed configuration and regenerates the enabled plots and Excel workbook in the selected units.</w:t>
      </w:r>
    </w:p>
    <w:p>
      <w:pPr>
        <w:pStyle w:val="ListBullet"/>
        <w:spacing w:after="60"/>
      </w:pPr>
      <w:r>
        <w:t>Input readers and all calculations remain in millimeters and degrees Celsius. The unit setting does not reinterpret equipment files or custom Excel data.</w:t>
      </w:r>
    </w:p>
    <w:p>
      <w:pPr>
        <w:pStyle w:val="ListBullet"/>
        <w:spacing w:after="60"/>
      </w:pPr>
      <w:r>
        <w:t>Pass counts, RRI, R-squared, slope ratios, SIP, SN, fit selection, and classifications do not change when display units change.</w:t>
      </w:r>
    </w:p>
    <w:p>
      <w:pPr>
        <w:pStyle w:val="Heading1"/>
      </w:pPr>
      <w:r>
        <w:rPr>
          <w:color w:val="8C1D40"/>
        </w:rPr>
        <w:t>Saved Figures, Excel Outputs, and Plot Colors</w:t>
      </w:r>
    </w:p>
    <w:p>
      <w:r>
        <w:t>The output controls let the operator choose which files are written before running analysis.</w:t>
      </w:r>
    </w:p>
    <w:p>
      <w:pPr>
        <w:pStyle w:val="ListBullet"/>
        <w:spacing w:after="60"/>
      </w:pPr>
      <w:r>
        <w:t>Saved Figures controls whether figure files are saved and whether the app saves selected-fit, full 20k, selected plus full 20k, or all candidate-fit figures.</w:t>
      </w:r>
    </w:p>
    <w:p>
      <w:pPr>
        <w:pStyle w:val="ListBullet"/>
        <w:spacing w:after="60"/>
      </w:pPr>
      <w:r>
        <w:t>Figure series checkboxes control whether Left, Right, Average, or any combination of those series is saved.</w:t>
      </w:r>
    </w:p>
    <w:p>
      <w:pPr>
        <w:pStyle w:val="ListBullet"/>
        <w:spacing w:after="60"/>
      </w:pPr>
      <w:r>
        <w:t>Excel Outputs controls whether the workbook is saved and which sheets are included.</w:t>
      </w:r>
    </w:p>
    <w:p>
      <w:pPr>
        <w:pStyle w:val="ListBullet"/>
        <w:spacing w:after="60"/>
      </w:pPr>
      <w:r>
        <w:t>Dashboard values, generated plots, and newly written Excel sheets use the selected display units consistently.</w:t>
      </w:r>
    </w:p>
    <w:p>
      <w:pPr>
        <w:pStyle w:val="ListBullet"/>
        <w:spacing w:after="60"/>
      </w:pPr>
      <w:r>
        <w:t>Average Rut Depth Data keeps measured values only through the reporting endpoint, then leaves measured cells blank while modeled CRD continues through 20,000 passes. Data Region labels measured and CRD-extrapolation rows explicitly.</w:t>
      </w:r>
    </w:p>
    <w:p>
      <w:pPr>
        <w:pStyle w:val="ListBullet"/>
        <w:spacing w:after="60"/>
      </w:pPr>
      <w:r>
        <w:t>Simple mode keeps the workbook focused. Advanced Research mode can include the detailed Fit Windows sheet.</w:t>
      </w:r>
    </w:p>
    <w:p>
      <w:pPr>
        <w:pStyle w:val="ListBullet"/>
        <w:spacing w:after="60"/>
      </w:pPr>
      <w:r>
        <w:t>Plot Colors controls the generated PNG plot appearance. Click any color button to choose a new color before running analysis.</w:t>
      </w:r>
    </w:p>
    <w:p>
      <w:pPr>
        <w:pStyle w:val="ListBullet"/>
        <w:spacing w:after="60"/>
      </w:pPr>
      <w:r>
        <w:t>Data line and data points control the measured rut-depth series.</w:t>
      </w:r>
    </w:p>
    <w:p>
      <w:pPr>
        <w:pStyle w:val="ListBullet"/>
        <w:spacing w:after="60"/>
      </w:pPr>
      <w:r>
        <w:t>Francken line controls the fitted Francken model.</w:t>
      </w:r>
    </w:p>
    <w:p>
      <w:pPr>
        <w:pStyle w:val="ListBullet"/>
        <w:spacing w:after="60"/>
      </w:pPr>
      <w:r>
        <w:t>CRD line controls the corrected rut-depth model.</w:t>
      </w:r>
    </w:p>
    <w:p>
      <w:pPr>
        <w:pStyle w:val="ListBullet"/>
        <w:spacing w:after="60"/>
      </w:pPr>
      <w:r>
        <w:t>Creep and stripping lines control slope guide lines.</w:t>
      </w:r>
    </w:p>
    <w:p>
      <w:pPr>
        <w:pStyle w:val="ListBullet"/>
        <w:spacing w:after="60"/>
      </w:pPr>
      <w:r>
        <w:t>SIP marker shows the stripping inflection point as a point marker.</w:t>
      </w:r>
    </w:p>
    <w:p>
      <w:pPr>
        <w:pStyle w:val="ListBullet"/>
        <w:spacing w:after="60"/>
      </w:pPr>
      <w:r>
        <w:t>SN marker shows the stripping number as a point marker.</w:t>
      </w:r>
    </w:p>
    <w:p>
      <w:pPr>
        <w:pStyle w:val="Heading1"/>
      </w:pPr>
      <w:r>
        <w:rPr>
          <w:color w:val="8C1D40"/>
        </w:rPr>
        <w:t>Comparing Multiple Runs</w:t>
      </w:r>
    </w:p>
    <w:p>
      <w:r/>
    </w:p>
    <w:p>
      <w:pPr>
        <w:pStyle w:val="ListNumber"/>
        <w:spacing w:after="60"/>
      </w:pPr>
      <w:r>
        <w:t>Click Add Workbooks to select one or more HWTT output workbooks, or click Add Current Results after an analysis.</w:t>
      </w:r>
    </w:p>
    <w:p>
      <w:pPr>
        <w:pStyle w:val="ListNumber"/>
        <w:spacing w:after="60"/>
      </w:pPr>
      <w:r>
        <w:t>Use one table row per plotted line. Duplicate Selected Line when the same workbook should contribute another curve.</w:t>
      </w:r>
    </w:p>
    <w:p>
      <w:pPr>
        <w:pStyle w:val="ListNumber"/>
        <w:spacing w:after="60"/>
      </w:pPr>
      <w:r>
        <w:t>Choose Measured rut depth or CRD and choose Average, Left, or Right for each line.</w:t>
      </w:r>
    </w:p>
    <w:p>
      <w:pPr>
        <w:pStyle w:val="ListNumber"/>
        <w:spacing w:after="60"/>
      </w:pPr>
      <w:r>
        <w:t>Edit the legend name, click the color button, and select Solid, Dashed, Dotted, or Dash-dot line style.</w:t>
      </w:r>
    </w:p>
    <w:p>
      <w:pPr>
        <w:pStyle w:val="ListNumber"/>
        <w:spacing w:after="60"/>
      </w:pPr>
      <w:r>
        <w:t>Select one table row. The highlighted row, numbered Legend Order column, and Selected line banner identify exactly which line will move. Use the arrow-labeled Move Up or Move Down button to set its legend position.</w:t>
      </w:r>
    </w:p>
    <w:p>
      <w:pPr>
        <w:pStyle w:val="ListNumber"/>
        <w:spacing w:after="60"/>
      </w:pPr>
      <w:r>
        <w:t>Use Export Excel to save the Comparison Line Details rows for reuse. Edit that workbook if needed, then use Import Excel to replace the current line table. The file contains line details only, not plot titles, axes, or other plot settings.</w:t>
      </w:r>
    </w:p>
    <w:p>
      <w:pPr>
        <w:pStyle w:val="ListNumber"/>
        <w:spacing w:after="60"/>
      </w:pPr>
      <w:r>
        <w:t>Set plot and axis titles, numeric axis limits, depth-axis direction, grid visibility, legend location, and font sizes for the chart title, axis titles, tick labels, and legend.</w:t>
      </w:r>
    </w:p>
    <w:p>
      <w:pPr>
        <w:pStyle w:val="ListNumber"/>
        <w:spacing w:after="60"/>
      </w:pPr>
      <w:r>
        <w:t>Click Refresh Preview, then Save Comparison Plot to write SVG, PNG, or PDF output.</w:t>
      </w:r>
    </w:p>
    <w:tbl>
      <w:tblPr>
        <w:tblW w:type="auto" w:w="0"/>
        <w:tblLayout w:type="fixed"/>
        <w:tblLook w:firstColumn="1" w:firstRow="1" w:lastColumn="0" w:lastRow="0" w:noHBand="0" w:noVBand="1" w:val="04A0"/>
      </w:tblPr>
      <w:tblGrid>
        <w:gridCol w:w="9792"/>
      </w:tblGrid>
      <w:tr>
        <w:tc>
          <w:tcPr>
            <w:tcW w:type="dxa" w:w="9792"/>
            <w:shd w:fill="FFF7D6"/>
            <w:tcBorders>
              <w:top w:val="single" w:sz="4" w:color="E6CA64"/>
              <w:left w:val="single" w:sz="4" w:color="E6CA64"/>
              <w:bottom w:val="single" w:sz="4" w:color="E6CA64"/>
              <w:right w:val="single" w:sz="4" w:color="E6CA64"/>
            </w:tcBorders>
          </w:tcPr>
          <w:p>
            <w:r>
              <w:rPr>
                <w:b/>
              </w:rPr>
              <w:t xml:space="preserve">Comparison units: </w:t>
            </w:r>
            <w:r>
              <w:t>Metric and U.S.-unit output workbooks can be mixed in one comparison. The app reads the unit from each depth-column header, normalizes internally, and plots every line in the unit selected under Settings &gt; Units.</w:t>
            </w:r>
          </w:p>
        </w:tc>
      </w:tr>
    </w:tbl>
    <w:p/>
    <w:p>
      <w:pPr>
        <w:pStyle w:val="Heading1"/>
      </w:pPr>
      <w:r>
        <w:rPr>
          <w:color w:val="8C1D40"/>
        </w:rPr>
        <w:t>Help Menu</w:t>
      </w:r>
    </w:p>
    <w:p>
      <w:r>
        <w:t>The Help menu opens documentation and support resources included with the app package.</w:t>
      </w:r>
    </w:p>
    <w:p>
      <w:pPr>
        <w:pStyle w:val="ListBullet"/>
        <w:spacing w:after="60"/>
      </w:pPr>
      <w:r>
        <w:t>User Manual opens the local user manual, using the Word document when available and Markdown as a fallback.</w:t>
      </w:r>
    </w:p>
    <w:p>
      <w:pPr>
        <w:pStyle w:val="ListBullet"/>
        <w:spacing w:after="60"/>
      </w:pPr>
      <w:r>
        <w:t>Analysis Background opens the background documentation for data analysis and modeling.</w:t>
      </w:r>
    </w:p>
    <w:p>
      <w:pPr>
        <w:pStyle w:val="ListBullet"/>
        <w:spacing w:after="60"/>
      </w:pPr>
      <w:r/>
    </w:p>
    <w:p>
      <w:pPr>
        <w:pStyle w:val="ListBullet"/>
        <w:spacing w:after="60"/>
      </w:pPr>
      <w:r>
        <w:t>Open Examples Folder opens the packaged examples folder.</w:t>
      </w:r>
    </w:p>
    <w:p>
      <w:pPr>
        <w:pStyle w:val="ListBullet"/>
        <w:spacing w:after="60"/>
      </w:pPr>
      <w:r>
        <w:t>Support Contact shows Morshed Washif Hasan and mwhauvi@gmail.com.</w:t>
      </w:r>
    </w:p>
    <w:p>
      <w:pPr>
        <w:pStyle w:val="ListBullet"/>
        <w:spacing w:after="60"/>
      </w:pPr>
      <w:r>
        <w:t>About HWTT Analyzer summarizes the app purpose and documentation location.</w:t>
      </w:r>
    </w:p>
    <w:p>
      <w:pPr>
        <w:pStyle w:val="Heading1"/>
      </w:pPr>
      <w:r>
        <w:rPr>
          <w:color w:val="8C1D40"/>
        </w:rPr>
        <w:t>Reading Results</w:t>
      </w:r>
    </w:p>
    <w:p>
      <w:pPr>
        <w:pStyle w:val="ListBullet"/>
        <w:spacing w:after="60"/>
      </w:pPr>
      <w:r>
        <w:t>Metric cards summarize temperature, final rut depth, RRI, SIP, and status for the average series.</w:t>
      </w:r>
    </w:p>
    <w:p>
      <w:pPr>
        <w:pStyle w:val="ListBullet"/>
        <w:spacing w:after="60"/>
      </w:pPr>
      <w:r>
        <w:t>Summary tab shows the main report metrics for left, right, and average series.</w:t>
      </w:r>
    </w:p>
    <w:p>
      <w:pPr>
        <w:pStyle w:val="ListBullet"/>
        <w:spacing w:after="60"/>
      </w:pPr>
      <w:r>
        <w:t>Fit Review tab compares fit candidates and supports manual fit override.</w:t>
      </w:r>
    </w:p>
    <w:p>
      <w:pPr>
        <w:pStyle w:val="ListBullet"/>
        <w:spacing w:after="60"/>
      </w:pPr>
      <w:r>
        <w:t>Fit Windows tab appears in Advanced Research mode.</w:t>
      </w:r>
    </w:p>
    <w:p>
      <w:pPr>
        <w:pStyle w:val="ListBullet"/>
        <w:spacing w:after="60"/>
      </w:pPr>
      <w:r>
        <w:t>Plots tab shows generated PNG plots for the selected figure set.</w:t>
      </w:r>
    </w:p>
    <w:p>
      <w:pPr>
        <w:pStyle w:val="ListBullet"/>
        <w:spacing w:after="60"/>
      </w:pPr>
      <w:r>
        <w:t>Plot Comparison overlays measured or CRD curves from multiple workbooks with per-line formatting controls.</w:t>
      </w:r>
    </w:p>
    <w:p>
      <w:pPr>
        <w:pStyle w:val="ListBullet"/>
        <w:spacing w:after="60"/>
      </w:pPr>
      <w:r>
        <w:t>Open Excel opens the exported workbook when Excel output was selected.</w:t>
      </w:r>
    </w:p>
    <w:p>
      <w:pPr>
        <w:pStyle w:val="Heading1"/>
      </w:pPr>
      <w:r>
        <w:rPr>
          <w:color w:val="8C1D40"/>
        </w:rPr>
        <w:t>Troubleshooting</w:t>
      </w:r>
    </w:p>
    <w:tbl>
      <w:tblPr>
        <w:tblW w:type="auto" w:w="0"/>
        <w:tblLayout w:type="fixed"/>
        <w:tblLook w:firstColumn="1" w:firstRow="1" w:lastColumn="0" w:lastRow="0" w:noHBand="0" w:noVBand="1" w:val="04A0"/>
      </w:tblPr>
      <w:tblGrid>
        <w:gridCol w:w="4896"/>
        <w:gridCol w:w="4896"/>
      </w:tblGrid>
      <w:tr>
        <w:trPr>
          <w:tblHeader w:val="true"/>
        </w:trPr>
        <w:tc>
          <w:tcPr>
            <w:tcW w:type="dxa" w:w="4896"/>
            <w:shd w:fill="8C1D40"/>
            <w:tcBorders>
              <w:top w:val="single" w:sz="4" w:color="D9DEE8"/>
              <w:left w:val="single" w:sz="4" w:color="D9DEE8"/>
              <w:bottom w:val="single" w:sz="4" w:color="D9DEE8"/>
              <w:right w:val="single" w:sz="4" w:color="D9DEE8"/>
            </w:tcBorders>
            <w:vAlign w:val="center"/>
          </w:tcPr>
          <w:p>
            <w:r>
              <w:rPr>
                <w:b/>
                <w:color w:val="FFFFFF"/>
              </w:rPr>
              <w:t>Issue</w:t>
            </w:r>
          </w:p>
        </w:tc>
        <w:tc>
          <w:tcPr>
            <w:tcW w:type="dxa" w:w="4896"/>
            <w:shd w:fill="8C1D40"/>
            <w:tcBorders>
              <w:top w:val="single" w:sz="4" w:color="D9DEE8"/>
              <w:left w:val="single" w:sz="4" w:color="D9DEE8"/>
              <w:bottom w:val="single" w:sz="4" w:color="D9DEE8"/>
              <w:right w:val="single" w:sz="4" w:color="D9DEE8"/>
            </w:tcBorders>
            <w:vAlign w:val="center"/>
          </w:tcPr>
          <w:p>
            <w:r>
              <w:rPr>
                <w:b/>
                <w:color w:val="FFFFFF"/>
              </w:rPr>
              <w:t>What to check</w:t>
            </w:r>
          </w:p>
        </w:tc>
      </w:tr>
      <w:tr>
        <w:tc>
          <w:tcPr>
            <w:tcW w:type="dxa" w:w="4896"/>
            <w:tcBorders>
              <w:top w:val="single" w:sz="4" w:color="D9DEE8"/>
              <w:left w:val="single" w:sz="4" w:color="D9DEE8"/>
              <w:bottom w:val="single" w:sz="4" w:color="D9DEE8"/>
              <w:right w:val="single" w:sz="4" w:color="D9DEE8"/>
            </w:tcBorders>
            <w:vAlign w:val="center"/>
          </w:tcPr>
          <w:p>
            <w:r>
              <w:t>App does not open</w:t>
            </w:r>
          </w:p>
        </w:tc>
        <w:tc>
          <w:tcPr>
            <w:tcW w:type="dxa" w:w="4896"/>
            <w:tcBorders>
              <w:top w:val="single" w:sz="4" w:color="D9DEE8"/>
              <w:left w:val="single" w:sz="4" w:color="D9DEE8"/>
              <w:bottom w:val="single" w:sz="4" w:color="D9DEE8"/>
              <w:right w:val="single" w:sz="4" w:color="D9DEE8"/>
            </w:tcBorders>
            <w:vAlign w:val="center"/>
          </w:tcPr>
          <w:p>
            <w:r>
              <w:t>Make sure the full HWTTAnalyzer folder was copied, not only the .exe.</w:t>
            </w:r>
          </w:p>
        </w:tc>
      </w:tr>
      <w:tr>
        <w:tc>
          <w:tcPr>
            <w:tcW w:type="dxa" w:w="4896"/>
            <w:tcBorders>
              <w:top w:val="single" w:sz="4" w:color="D9DEE8"/>
              <w:left w:val="single" w:sz="4" w:color="D9DEE8"/>
              <w:bottom w:val="single" w:sz="4" w:color="D9DEE8"/>
              <w:right w:val="single" w:sz="4" w:color="D9DEE8"/>
            </w:tcBorders>
            <w:vAlign w:val="center"/>
          </w:tcPr>
          <w:p>
            <w:r>
              <w:t>No valid rows after cleaning</w:t>
            </w:r>
          </w:p>
        </w:tc>
        <w:tc>
          <w:tcPr>
            <w:tcW w:type="dxa" w:w="4896"/>
            <w:tcBorders>
              <w:top w:val="single" w:sz="4" w:color="D9DEE8"/>
              <w:left w:val="single" w:sz="4" w:color="D9DEE8"/>
              <w:bottom w:val="single" w:sz="4" w:color="D9DEE8"/>
              <w:right w:val="single" w:sz="4" w:color="D9DEE8"/>
            </w:tcBorders>
            <w:vAlign w:val="center"/>
          </w:tcPr>
          <w:p>
            <w:r>
              <w:t>Confirm the selected source type matches the file and required headers are present.</w:t>
            </w:r>
          </w:p>
        </w:tc>
      </w:tr>
      <w:tr>
        <w:tc>
          <w:tcPr>
            <w:tcW w:type="dxa" w:w="4896"/>
            <w:tcBorders>
              <w:top w:val="single" w:sz="4" w:color="D9DEE8"/>
              <w:left w:val="single" w:sz="4" w:color="D9DEE8"/>
              <w:bottom w:val="single" w:sz="4" w:color="D9DEE8"/>
              <w:right w:val="single" w:sz="4" w:color="D9DEE8"/>
            </w:tcBorders>
            <w:vAlign w:val="center"/>
          </w:tcPr>
          <w:p>
            <w:r>
              <w:t>Custom Excel missing columns</w:t>
            </w:r>
          </w:p>
        </w:tc>
        <w:tc>
          <w:tcPr>
            <w:tcW w:type="dxa" w:w="4896"/>
            <w:tcBorders>
              <w:top w:val="single" w:sz="4" w:color="D9DEE8"/>
              <w:left w:val="single" w:sz="4" w:color="D9DEE8"/>
              <w:bottom w:val="single" w:sz="4" w:color="D9DEE8"/>
              <w:right w:val="single" w:sz="4" w:color="D9DEE8"/>
            </w:tcBorders>
            <w:vAlign w:val="center"/>
          </w:tcPr>
          <w:p>
            <w:r>
              <w:t>Use Number of Passes, Left Rut Depth (mm), and Right Rut Depth (mm) headers.</w:t>
            </w:r>
          </w:p>
        </w:tc>
      </w:tr>
      <w:tr>
        <w:tc>
          <w:tcPr>
            <w:tcW w:type="dxa" w:w="4896"/>
            <w:tcBorders>
              <w:top w:val="single" w:sz="4" w:color="D9DEE8"/>
              <w:left w:val="single" w:sz="4" w:color="D9DEE8"/>
              <w:bottom w:val="single" w:sz="4" w:color="D9DEE8"/>
              <w:right w:val="single" w:sz="4" w:color="D9DEE8"/>
            </w:tcBorders>
            <w:vAlign w:val="center"/>
          </w:tcPr>
          <w:p>
            <w:r>
              <w:t>Unexpected values after changing units</w:t>
            </w:r>
          </w:p>
        </w:tc>
        <w:tc>
          <w:tcPr>
            <w:tcW w:type="dxa" w:w="4896"/>
            <w:tcBorders>
              <w:top w:val="single" w:sz="4" w:color="D9DEE8"/>
              <w:left w:val="single" w:sz="4" w:color="D9DEE8"/>
              <w:bottom w:val="single" w:sz="4" w:color="D9DEE8"/>
              <w:right w:val="single" w:sz="4" w:color="D9DEE8"/>
            </w:tcBorders>
            <w:vAlign w:val="center"/>
          </w:tcPr>
          <w:p>
            <w:r>
              <w:t>Confirm the input file itself is still metric; Settings &gt; Units changes display and export units, not imported-file interpretation.</w:t>
            </w:r>
          </w:p>
        </w:tc>
      </w:tr>
      <w:tr>
        <w:tc>
          <w:tcPr>
            <w:tcW w:type="dxa" w:w="4896"/>
            <w:tcBorders>
              <w:top w:val="single" w:sz="4" w:color="D9DEE8"/>
              <w:left w:val="single" w:sz="4" w:color="D9DEE8"/>
              <w:bottom w:val="single" w:sz="4" w:color="D9DEE8"/>
              <w:right w:val="single" w:sz="4" w:color="D9DEE8"/>
            </w:tcBorders>
            <w:vAlign w:val="center"/>
          </w:tcPr>
          <w:p>
            <w:r>
              <w:t>Instrotech analysis fails</w:t>
            </w:r>
          </w:p>
        </w:tc>
        <w:tc>
          <w:tcPr>
            <w:tcW w:type="dxa" w:w="4896"/>
            <w:tcBorders>
              <w:top w:val="single" w:sz="4" w:color="D9DEE8"/>
              <w:left w:val="single" w:sz="4" w:color="D9DEE8"/>
              <w:bottom w:val="single" w:sz="4" w:color="D9DEE8"/>
              <w:right w:val="single" w:sz="4" w:color="D9DEE8"/>
            </w:tcBorders>
            <w:vAlign w:val="center"/>
          </w:tcPr>
          <w:p>
            <w:r>
              <w:t>Select both left and right files and confirm each contains a [GRAPH] section.</w:t>
            </w:r>
          </w:p>
        </w:tc>
      </w:tr>
      <w:tr>
        <w:tc>
          <w:tcPr>
            <w:tcW w:type="dxa" w:w="4896"/>
            <w:tcBorders>
              <w:top w:val="single" w:sz="4" w:color="D9DEE8"/>
              <w:left w:val="single" w:sz="4" w:color="D9DEE8"/>
              <w:bottom w:val="single" w:sz="4" w:color="D9DEE8"/>
              <w:right w:val="single" w:sz="4" w:color="D9DEE8"/>
            </w:tcBorders>
            <w:vAlign w:val="center"/>
          </w:tcPr>
          <w:p>
            <w:r>
              <w:t>Plots or Excel are missing</w:t>
            </w:r>
          </w:p>
        </w:tc>
        <w:tc>
          <w:tcPr>
            <w:tcW w:type="dxa" w:w="4896"/>
            <w:tcBorders>
              <w:top w:val="single" w:sz="4" w:color="D9DEE8"/>
              <w:left w:val="single" w:sz="4" w:color="D9DEE8"/>
              <w:bottom w:val="single" w:sz="4" w:color="D9DEE8"/>
              <w:right w:val="single" w:sz="4" w:color="D9DEE8"/>
            </w:tcBorders>
            <w:vAlign w:val="center"/>
          </w:tcPr>
          <w:p>
            <w:r>
              <w:t>Check that Save figure files or Save Excel workbook was selected and that the output folder is writable.</w:t>
            </w:r>
          </w:p>
        </w:tc>
      </w:tr>
      <w:tr>
        <w:tc>
          <w:tcPr>
            <w:tcW w:type="dxa" w:w="4896"/>
            <w:tcBorders>
              <w:top w:val="single" w:sz="4" w:color="D9DEE8"/>
              <w:left w:val="single" w:sz="4" w:color="D9DEE8"/>
              <w:bottom w:val="single" w:sz="4" w:color="D9DEE8"/>
              <w:right w:val="single" w:sz="4" w:color="D9DEE8"/>
            </w:tcBorders>
            <w:vAlign w:val="center"/>
          </w:tcPr>
          <w:p>
            <w:r>
              <w:t>A comparison workbook will not load</w:t>
            </w:r>
          </w:p>
        </w:tc>
        <w:tc>
          <w:tcPr>
            <w:tcW w:type="dxa" w:w="4896"/>
            <w:tcBorders>
              <w:top w:val="single" w:sz="4" w:color="D9DEE8"/>
              <w:left w:val="single" w:sz="4" w:color="D9DEE8"/>
              <w:bottom w:val="single" w:sz="4" w:color="D9DEE8"/>
              <w:right w:val="single" w:sz="4" w:color="D9DEE8"/>
            </w:tcBorders>
            <w:vAlign w:val="center"/>
          </w:tcPr>
          <w:p>
            <w:r>
              <w:t>Confirm it is an HWTT output workbook containing the Average Rut Depth Data sheet and PASSNUM column.</w:t>
            </w:r>
          </w:p>
        </w:tc>
      </w:tr>
      <w:tr>
        <w:tc>
          <w:tcPr>
            <w:tcW w:type="dxa" w:w="4896"/>
            <w:tcBorders>
              <w:top w:val="single" w:sz="4" w:color="D9DEE8"/>
              <w:left w:val="single" w:sz="4" w:color="D9DEE8"/>
              <w:bottom w:val="single" w:sz="4" w:color="D9DEE8"/>
              <w:right w:val="single" w:sz="4" w:color="D9DEE8"/>
            </w:tcBorders>
            <w:vAlign w:val="center"/>
          </w:tcPr>
          <w:p>
            <w:r>
              <w:t>SmartScreen warning</w:t>
            </w:r>
          </w:p>
        </w:tc>
        <w:tc>
          <w:tcPr>
            <w:tcW w:type="dxa" w:w="4896"/>
            <w:tcBorders>
              <w:top w:val="single" w:sz="4" w:color="D9DEE8"/>
              <w:left w:val="single" w:sz="4" w:color="D9DEE8"/>
              <w:bottom w:val="single" w:sz="4" w:color="D9DEE8"/>
              <w:right w:val="single" w:sz="4" w:color="D9DEE8"/>
            </w:tcBorders>
            <w:vAlign w:val="center"/>
          </w:tcPr>
          <w:p>
            <w:r>
              <w:t>Unsigned custom Windows apps can trigger a warning; code signing is recommended for wide distribution.</w:t>
            </w:r>
          </w:p>
        </w:tc>
      </w:tr>
    </w:tbl>
    <w:p>
      <w:r>
        <w:br w:type="page"/>
      </w:r>
    </w:p>
    <w:p>
      <w:pPr>
        <w:pStyle w:val="Heading1"/>
      </w:pPr>
      <w:r>
        <w:rPr>
          <w:color w:val="8C1D40"/>
        </w:rPr>
        <w:t>Distribution Checklist</w:t>
      </w:r>
    </w:p>
    <w:p>
      <w:pPr>
        <w:pStyle w:val="ListBullet"/>
        <w:spacing w:after="60"/>
      </w:pPr>
      <w:r>
        <w:t>Copy HWTT_Analyzer_Share_Package as the easiest shareable package.</w:t>
      </w:r>
    </w:p>
    <w:p>
      <w:pPr>
        <w:pStyle w:val="ListBullet"/>
        <w:spacing w:after="60"/>
      </w:pPr>
      <w:r>
        <w:t>Keep the examples and docs folders with the app for user support.</w:t>
      </w:r>
    </w:p>
    <w:p>
      <w:pPr>
        <w:pStyle w:val="ListBullet"/>
        <w:spacing w:after="60"/>
      </w:pPr>
      <w:r>
        <w:t>Do not move HWTTAnalyzer.exe away from _internal.</w:t>
      </w:r>
    </w:p>
    <w:p>
      <w:pPr>
        <w:pStyle w:val="ListBullet"/>
        <w:spacing w:after="60"/>
      </w:pPr>
      <w:r>
        <w:t>For a polished release, create an installer and code-sign the executable.</w:t>
      </w:r>
    </w:p>
    <w:sectPr w:rsidR="00FC693F" w:rsidRPr="0006063C" w:rsidSect="00034616">
      <w:headerReference w:type="default" r:id="rId9"/>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16F"/>
        <w:sz w:val="18"/>
      </w:rPr>
      <w:t>HWTT Analyzer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8C1D40"/>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b/>
      <w:bCs/>
      <w:color w:val="8C1D40"/>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