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86A" w:rsidRPr="0029117F" w:rsidRDefault="008A5D6C" w:rsidP="00A310BE">
      <w:pPr>
        <w:pStyle w:val="Titre1"/>
        <w:spacing w:before="120" w:line="240" w:lineRule="auto"/>
        <w:jc w:val="center"/>
        <w:rPr>
          <w:color w:val="auto"/>
        </w:rPr>
      </w:pPr>
      <w:r>
        <w:rPr>
          <w:color w:val="auto"/>
        </w:rPr>
        <w:t>P</w:t>
      </w:r>
      <w:r w:rsidR="00F85811">
        <w:rPr>
          <w:color w:val="auto"/>
        </w:rPr>
        <w:t>réparation pour la séance n°2</w:t>
      </w:r>
    </w:p>
    <w:p w:rsidR="00F85811" w:rsidRDefault="00F85811" w:rsidP="00F85811">
      <w:pPr>
        <w:jc w:val="center"/>
        <w:rPr>
          <w:b/>
          <w:sz w:val="28"/>
        </w:rPr>
      </w:pPr>
      <w:r w:rsidRPr="00F9473D">
        <w:rPr>
          <w:b/>
          <w:sz w:val="28"/>
        </w:rPr>
        <w:t xml:space="preserve"> </w:t>
      </w:r>
      <w:r>
        <w:rPr>
          <w:b/>
          <w:sz w:val="28"/>
        </w:rPr>
        <w:t>Les barrières</w:t>
      </w:r>
      <w:r w:rsidRPr="00E5752F">
        <w:rPr>
          <w:b/>
          <w:sz w:val="28"/>
        </w:rPr>
        <w:t xml:space="preserve"> </w:t>
      </w:r>
      <w:r>
        <w:rPr>
          <w:b/>
          <w:sz w:val="28"/>
        </w:rPr>
        <w:t xml:space="preserve">stratégiques à l’entrée </w:t>
      </w:r>
    </w:p>
    <w:p w:rsidR="00F85811" w:rsidRDefault="00F85811" w:rsidP="00F85811">
      <w:pPr>
        <w:jc w:val="both"/>
        <w:rPr>
          <w:b/>
        </w:rPr>
      </w:pPr>
    </w:p>
    <w:p w:rsidR="00352707" w:rsidRDefault="00352707" w:rsidP="00F85811">
      <w:pPr>
        <w:jc w:val="both"/>
        <w:rPr>
          <w:b/>
        </w:rPr>
      </w:pPr>
      <w:r>
        <w:rPr>
          <w:b/>
        </w:rPr>
        <w:t>Cadrage sur les barrières à l’entrée : définition, typologie…</w:t>
      </w:r>
    </w:p>
    <w:p w:rsidR="001A3F4A" w:rsidRDefault="001A3F4A" w:rsidP="00F85811">
      <w:pPr>
        <w:jc w:val="both"/>
      </w:pPr>
      <w:r>
        <w:t>Ce 2</w:t>
      </w:r>
      <w:r w:rsidRPr="0094776C">
        <w:rPr>
          <w:vertAlign w:val="superscript"/>
        </w:rPr>
        <w:t>ème</w:t>
      </w:r>
      <w:r>
        <w:t xml:space="preserve"> Td est consacré au barrières à l’entrée </w:t>
      </w:r>
      <w:r w:rsidRPr="0094776C">
        <w:rPr>
          <w:b/>
        </w:rPr>
        <w:t>stratégique</w:t>
      </w:r>
      <w:r>
        <w:rPr>
          <w:b/>
        </w:rPr>
        <w:t xml:space="preserve">s. </w:t>
      </w:r>
      <w:r>
        <w:t xml:space="preserve"> Il s’agit d’une thématique fondamentale en économie industrielle en termes d’importance et d’ancienneté puisque - par l’étude des BE - nous touchons à l’analyse de la </w:t>
      </w:r>
      <w:r w:rsidRPr="00446BB7">
        <w:rPr>
          <w:b/>
        </w:rPr>
        <w:t>dynamique concurrentielle</w:t>
      </w:r>
      <w:r>
        <w:t xml:space="preserve"> d’un secteur. En outre les BE constituent l’un des concepts importants introduit par les fondateurs de l’éco industrielle de l’école de Harvard, en particulier J. Bain. De manière la plus générale possible, les BE renvoient à l’ensemble des obstacles qui empêchent l’entrée d’une nouvelle firme sur un marché donné, ce qui permet aux firmes en place de définir des prix supérieurs au prix d’équilibre de CPP </w:t>
      </w:r>
      <w:r>
        <w:rPr>
          <w:b/>
        </w:rPr>
        <w:t xml:space="preserve">sans attirer de nouvelles entrées. </w:t>
      </w:r>
      <w:r>
        <w:t>J. Bain appréhende les BE comme l’ensemble des avantages des firmes en place par rapport aux firmes qui souhaitaient entrer sur le marché. Toujours selon Bain, ces avantages proviennent à la fois des conditions structurelles du secteur (ex : éco d’échelle) et du comportement des firmes (stratégie de prix-limite).</w:t>
      </w:r>
      <w:r w:rsidRPr="001A3F4A">
        <w:rPr>
          <w:iCs/>
        </w:rPr>
        <w:t xml:space="preserve"> </w:t>
      </w:r>
      <w:r>
        <w:rPr>
          <w:iCs/>
        </w:rPr>
        <w:t xml:space="preserve">Ce TD est donc consacré aux BE stratégiques, </w:t>
      </w:r>
      <w:proofErr w:type="spellStart"/>
      <w:r>
        <w:rPr>
          <w:iCs/>
        </w:rPr>
        <w:t>c-a-d</w:t>
      </w:r>
      <w:proofErr w:type="spellEnd"/>
      <w:r>
        <w:rPr>
          <w:iCs/>
        </w:rPr>
        <w:t xml:space="preserve"> aux BE qui sont endogènes aux comportements des firmes au sein d’un marché et </w:t>
      </w:r>
      <w:proofErr w:type="gramStart"/>
      <w:r>
        <w:rPr>
          <w:iCs/>
        </w:rPr>
        <w:t xml:space="preserve">qui  </w:t>
      </w:r>
      <w:r w:rsidRPr="00BF193F">
        <w:rPr>
          <w:b/>
          <w:iCs/>
        </w:rPr>
        <w:t>visent</w:t>
      </w:r>
      <w:proofErr w:type="gramEnd"/>
      <w:r w:rsidRPr="00BF193F">
        <w:rPr>
          <w:b/>
          <w:iCs/>
        </w:rPr>
        <w:t xml:space="preserve"> explicitement</w:t>
      </w:r>
      <w:r>
        <w:rPr>
          <w:iCs/>
        </w:rPr>
        <w:t xml:space="preserve"> à dissuader l’entrée des concurrents potentiels, voire à exclure les concurrents présents.</w:t>
      </w:r>
    </w:p>
    <w:p w:rsidR="00B14630" w:rsidRDefault="00B14630" w:rsidP="00B14630">
      <w:pPr>
        <w:jc w:val="both"/>
        <w:rPr>
          <w:b/>
        </w:rPr>
      </w:pPr>
      <w:r>
        <w:rPr>
          <w:b/>
        </w:rPr>
        <w:t xml:space="preserve">Partie 1. Analyse d’une décision de la DG concurrence de la Commission européenne relative à un comportement de prédation </w:t>
      </w:r>
    </w:p>
    <w:p w:rsidR="00B14630" w:rsidRPr="0095739C" w:rsidRDefault="00B14630" w:rsidP="00B14630">
      <w:pPr>
        <w:jc w:val="both"/>
      </w:pPr>
      <w:r w:rsidRPr="0095739C">
        <w:t>En juillet 2019</w:t>
      </w:r>
      <w:r>
        <w:t xml:space="preserve">, la Commission européenne de la concurrence a sanctionné </w:t>
      </w:r>
      <w:proofErr w:type="spellStart"/>
      <w:r>
        <w:rPr>
          <w:b/>
        </w:rPr>
        <w:t>Qualcomm</w:t>
      </w:r>
      <w:proofErr w:type="spellEnd"/>
      <w:r>
        <w:rPr>
          <w:b/>
        </w:rPr>
        <w:t xml:space="preserve"> </w:t>
      </w:r>
      <w:r>
        <w:t xml:space="preserve">pour abus de position dominante. Plus précisément, </w:t>
      </w:r>
      <w:proofErr w:type="spellStart"/>
      <w:r w:rsidRPr="00FD3F00">
        <w:rPr>
          <w:b/>
        </w:rPr>
        <w:t>Qualcomm</w:t>
      </w:r>
      <w:proofErr w:type="spellEnd"/>
      <w:r>
        <w:t xml:space="preserve"> a mis en place une politique d’éviction de ses concurrents. </w:t>
      </w:r>
    </w:p>
    <w:p w:rsidR="00B14630" w:rsidRPr="0095739C" w:rsidRDefault="00B14630" w:rsidP="00B14630">
      <w:pPr>
        <w:pStyle w:val="Paragraphedeliste"/>
        <w:numPr>
          <w:ilvl w:val="0"/>
          <w:numId w:val="13"/>
        </w:numPr>
        <w:jc w:val="both"/>
        <w:rPr>
          <w:i/>
        </w:rPr>
      </w:pPr>
      <w:r>
        <w:t xml:space="preserve">Définissez une politique de prix de prédation/d’éviction et rappelez les raisons pour lesquelles il s’agit d’une politique tarifaire sanctionnée par les autorités de la concurrence. </w:t>
      </w:r>
    </w:p>
    <w:p w:rsidR="00043E46" w:rsidRPr="002667F9" w:rsidRDefault="00043E46" w:rsidP="00043E46">
      <w:pPr>
        <w:jc w:val="both"/>
        <w:rPr>
          <w:rFonts w:ascii="Times New Roman" w:hAnsi="Times New Roman" w:cs="Times New Roman"/>
        </w:rPr>
      </w:pPr>
      <w:r w:rsidRPr="002667F9">
        <w:rPr>
          <w:rFonts w:ascii="Times New Roman" w:hAnsi="Times New Roman" w:cs="Times New Roman"/>
        </w:rPr>
        <w:t>Définition présentée en cours : « </w:t>
      </w:r>
      <w:r w:rsidRPr="002667F9">
        <w:rPr>
          <w:rFonts w:ascii="Times New Roman" w:hAnsi="Times New Roman" w:cs="Times New Roman"/>
          <w:i/>
          <w:iCs/>
        </w:rPr>
        <w:t xml:space="preserve">La prédation est une pratique tarifaire consistant, pour un opérateur dominant, à vendre </w:t>
      </w:r>
      <w:r w:rsidRPr="002667F9">
        <w:rPr>
          <w:rFonts w:ascii="Times New Roman" w:hAnsi="Times New Roman" w:cs="Times New Roman"/>
          <w:b/>
          <w:bCs/>
          <w:i/>
          <w:iCs/>
        </w:rPr>
        <w:t>en dessous de ses coûts de production dans le but d’éliminer</w:t>
      </w:r>
      <w:r w:rsidRPr="002667F9">
        <w:rPr>
          <w:rFonts w:ascii="Times New Roman" w:hAnsi="Times New Roman" w:cs="Times New Roman"/>
          <w:i/>
          <w:iCs/>
        </w:rPr>
        <w:t xml:space="preserve">, </w:t>
      </w:r>
      <w:r w:rsidRPr="002667F9">
        <w:rPr>
          <w:rFonts w:ascii="Times New Roman" w:hAnsi="Times New Roman" w:cs="Times New Roman"/>
          <w:b/>
          <w:bCs/>
          <w:i/>
          <w:iCs/>
        </w:rPr>
        <w:t>d’affaiblir</w:t>
      </w:r>
      <w:r w:rsidRPr="002667F9">
        <w:rPr>
          <w:rFonts w:ascii="Times New Roman" w:hAnsi="Times New Roman" w:cs="Times New Roman"/>
          <w:i/>
          <w:iCs/>
        </w:rPr>
        <w:t xml:space="preserve"> ou de </w:t>
      </w:r>
      <w:r w:rsidRPr="002667F9">
        <w:rPr>
          <w:rFonts w:ascii="Times New Roman" w:hAnsi="Times New Roman" w:cs="Times New Roman"/>
          <w:b/>
          <w:bCs/>
          <w:i/>
          <w:iCs/>
        </w:rPr>
        <w:t>discipliner</w:t>
      </w:r>
      <w:r w:rsidRPr="002667F9">
        <w:rPr>
          <w:rFonts w:ascii="Times New Roman" w:hAnsi="Times New Roman" w:cs="Times New Roman"/>
          <w:i/>
          <w:iCs/>
        </w:rPr>
        <w:t xml:space="preserve"> ses concurrents sous réserve de la possibilité </w:t>
      </w:r>
      <w:r w:rsidRPr="002667F9">
        <w:rPr>
          <w:rFonts w:ascii="Times New Roman" w:hAnsi="Times New Roman" w:cs="Times New Roman"/>
          <w:b/>
          <w:bCs/>
          <w:i/>
          <w:iCs/>
        </w:rPr>
        <w:t xml:space="preserve">de récupérer à terme </w:t>
      </w:r>
      <w:r w:rsidRPr="002667F9">
        <w:rPr>
          <w:rFonts w:ascii="Times New Roman" w:hAnsi="Times New Roman" w:cs="Times New Roman"/>
          <w:i/>
          <w:iCs/>
        </w:rPr>
        <w:t>et sous quelque forme que ce soit les pertes accumulées délibérément</w:t>
      </w:r>
      <w:r w:rsidRPr="002667F9">
        <w:rPr>
          <w:rFonts w:ascii="Times New Roman" w:hAnsi="Times New Roman" w:cs="Times New Roman"/>
        </w:rPr>
        <w:t xml:space="preserve"> » Autorité de la concurrence, affaire Wanadoo, 2002.   </w:t>
      </w:r>
    </w:p>
    <w:p w:rsidR="00B14630" w:rsidRDefault="00B14630" w:rsidP="00B14630">
      <w:pPr>
        <w:jc w:val="both"/>
      </w:pPr>
      <w:r>
        <w:t xml:space="preserve">Deux éléments importants ressortent de cette définition et sont à la base des difficultés rencontrées par les autorités de la concurrence lorsqu’elles doivent se prononcer sur une plainte </w:t>
      </w:r>
      <w:proofErr w:type="gramStart"/>
      <w:r>
        <w:t>relative  à</w:t>
      </w:r>
      <w:proofErr w:type="gramEnd"/>
      <w:r>
        <w:t xml:space="preserve"> une pratique prédatrice.  </w:t>
      </w:r>
    </w:p>
    <w:p w:rsidR="00B14630" w:rsidRDefault="00B14630" w:rsidP="00B14630">
      <w:pPr>
        <w:pStyle w:val="Paragraphedeliste"/>
        <w:numPr>
          <w:ilvl w:val="0"/>
          <w:numId w:val="19"/>
        </w:numPr>
        <w:jc w:val="both"/>
      </w:pPr>
      <w:r>
        <w:t xml:space="preserve">La prédation suppose </w:t>
      </w:r>
      <w:r w:rsidRPr="00B14630">
        <w:rPr>
          <w:b/>
        </w:rPr>
        <w:t xml:space="preserve">l’intention </w:t>
      </w:r>
      <w:r w:rsidRPr="00142BF1">
        <w:t>d’exclure du marché</w:t>
      </w:r>
      <w:r>
        <w:t xml:space="preserve"> un concurrent </w:t>
      </w:r>
      <w:r w:rsidRPr="00B14630">
        <w:rPr>
          <w:b/>
        </w:rPr>
        <w:t>au moins aussi efficace</w:t>
      </w:r>
      <w:r>
        <w:t xml:space="preserve"> que le prédateur (stratégie de verrouillage de marché). En effet, il convient de distinguer les pratiques prédatrices des politiques « innocentes » qui participent de la dynamique concurrentielle « normale », « par le mérite » ;</w:t>
      </w:r>
    </w:p>
    <w:p w:rsidR="00B14630" w:rsidRDefault="00B14630" w:rsidP="00B14630">
      <w:pPr>
        <w:pStyle w:val="Paragraphedeliste"/>
        <w:numPr>
          <w:ilvl w:val="0"/>
          <w:numId w:val="19"/>
        </w:numPr>
        <w:jc w:val="both"/>
      </w:pPr>
      <w:r>
        <w:t xml:space="preserve">La prédation repose nécessairement sur un </w:t>
      </w:r>
      <w:r w:rsidRPr="00B23167">
        <w:rPr>
          <w:b/>
        </w:rPr>
        <w:t xml:space="preserve">arbitrage temporel. </w:t>
      </w:r>
      <w:r>
        <w:t xml:space="preserve">L’entreprise en position dominante consent à renoncer à des bénéfices à court terme (voire à subir des pertes) afin de maintenir ou augmenter son pouvoir de marché ce qui lui permet, par la suite, de retirer un bénéfice supérieur aux pertes consenties.  </w:t>
      </w:r>
    </w:p>
    <w:p w:rsidR="00B14630" w:rsidRDefault="00B14630" w:rsidP="00B14630">
      <w:pPr>
        <w:autoSpaceDE w:val="0"/>
        <w:autoSpaceDN w:val="0"/>
        <w:adjustRightInd w:val="0"/>
        <w:spacing w:after="0" w:line="240" w:lineRule="auto"/>
        <w:ind w:left="360"/>
        <w:jc w:val="both"/>
        <w:rPr>
          <w:sz w:val="10"/>
          <w:szCs w:val="10"/>
        </w:rPr>
      </w:pPr>
      <w:r>
        <w:rPr>
          <w:rFonts w:ascii="Times New Roman" w:hAnsi="Times New Roman" w:cs="Times New Roman"/>
          <w:color w:val="000000"/>
          <w:sz w:val="23"/>
          <w:szCs w:val="23"/>
        </w:rPr>
        <w:t>U</w:t>
      </w:r>
      <w:r w:rsidRPr="00B14630">
        <w:rPr>
          <w:rFonts w:ascii="Times New Roman" w:hAnsi="Times New Roman" w:cs="Times New Roman"/>
          <w:color w:val="000000"/>
          <w:sz w:val="23"/>
          <w:szCs w:val="23"/>
        </w:rPr>
        <w:t xml:space="preserve">ne entreprise dominante adopte un comportement prédateur </w:t>
      </w:r>
      <w:r w:rsidRPr="00B14630">
        <w:rPr>
          <w:rFonts w:ascii="Times New Roman" w:hAnsi="Times New Roman" w:cs="Times New Roman"/>
          <w:b/>
          <w:color w:val="000000"/>
          <w:sz w:val="23"/>
          <w:szCs w:val="23"/>
        </w:rPr>
        <w:t xml:space="preserve">en supportant des pertes ou en renonçant à des bénéfices à court terme, et ce délibérément, de façon à évincer un ou plusieurs concurrents réels ou potentiels en vue de renforcer ou de maintenir son pouvoir </w:t>
      </w:r>
      <w:r w:rsidRPr="00B14630">
        <w:rPr>
          <w:rFonts w:ascii="Times New Roman" w:hAnsi="Times New Roman" w:cs="Times New Roman"/>
          <w:b/>
          <w:color w:val="000000"/>
          <w:sz w:val="23"/>
          <w:szCs w:val="23"/>
        </w:rPr>
        <w:lastRenderedPageBreak/>
        <w:t>de marché</w:t>
      </w:r>
      <w:r w:rsidRPr="00B14630">
        <w:rPr>
          <w:rFonts w:ascii="Times New Roman" w:hAnsi="Times New Roman" w:cs="Times New Roman"/>
          <w:color w:val="000000"/>
          <w:sz w:val="23"/>
          <w:szCs w:val="23"/>
        </w:rPr>
        <w:t>. Le scénario de prédation suppose donc que l’opérateur dominant supporte un sacrifice à court terme, une telle stratégie tendant à évincer ses concurrents et à permettre une récupération à plus long terme. »</w:t>
      </w:r>
      <w:r>
        <w:rPr>
          <w:rFonts w:ascii="Times New Roman" w:hAnsi="Times New Roman" w:cs="Times New Roman"/>
          <w:color w:val="000000"/>
          <w:sz w:val="23"/>
          <w:szCs w:val="23"/>
        </w:rPr>
        <w:t xml:space="preserve"> </w:t>
      </w:r>
      <w:r>
        <w:rPr>
          <w:sz w:val="23"/>
          <w:szCs w:val="23"/>
        </w:rPr>
        <w:t xml:space="preserve">La politique de prix de prédation constitue donc un </w:t>
      </w:r>
      <w:r w:rsidRPr="003F0B0B">
        <w:rPr>
          <w:b/>
          <w:sz w:val="23"/>
          <w:szCs w:val="23"/>
        </w:rPr>
        <w:t>abus de position dominante</w:t>
      </w:r>
      <w:r>
        <w:rPr>
          <w:sz w:val="23"/>
          <w:szCs w:val="23"/>
        </w:rPr>
        <w:t xml:space="preserve"> qui est à ce titre sanctionné par le droit de la concurrence national et européen. </w:t>
      </w:r>
    </w:p>
    <w:p w:rsidR="00B14630" w:rsidRDefault="00B14630" w:rsidP="00B14630">
      <w:pPr>
        <w:jc w:val="both"/>
        <w:rPr>
          <w:rFonts w:ascii="Times New Roman" w:hAnsi="Times New Roman" w:cs="Times New Roman"/>
          <w:b/>
        </w:rPr>
      </w:pPr>
    </w:p>
    <w:p w:rsidR="00B14630" w:rsidRDefault="00B14630" w:rsidP="00B14630">
      <w:pPr>
        <w:pStyle w:val="Paragraphedeliste"/>
        <w:numPr>
          <w:ilvl w:val="0"/>
          <w:numId w:val="20"/>
        </w:numPr>
        <w:jc w:val="both"/>
      </w:pPr>
      <w:r>
        <w:t xml:space="preserve">Développez de manière synthétique la méthode et les arguments de la Commission européenne pour conclure sur l’existence effective de prix prédateurs de la part de </w:t>
      </w:r>
      <w:proofErr w:type="spellStart"/>
      <w:r>
        <w:t>Qualcomm</w:t>
      </w:r>
      <w:proofErr w:type="spellEnd"/>
      <w:r>
        <w:t xml:space="preserve">. </w:t>
      </w:r>
    </w:p>
    <w:p w:rsidR="002667F9" w:rsidRDefault="00737840" w:rsidP="002667F9">
      <w:pPr>
        <w:jc w:val="both"/>
      </w:pPr>
      <w:r>
        <w:t xml:space="preserve">Quatre éléments sont me semble-t-il importants </w:t>
      </w:r>
      <w:r w:rsidR="002667F9">
        <w:t xml:space="preserve">: </w:t>
      </w:r>
    </w:p>
    <w:p w:rsidR="00F85811" w:rsidRDefault="002667F9" w:rsidP="002667F9">
      <w:pPr>
        <w:pStyle w:val="Paragraphedeliste"/>
        <w:numPr>
          <w:ilvl w:val="0"/>
          <w:numId w:val="9"/>
        </w:numPr>
        <w:jc w:val="both"/>
      </w:pPr>
      <w:r w:rsidRPr="00737840">
        <w:rPr>
          <w:i/>
        </w:rPr>
        <w:t>Définition du marché en cause/marché pertinent</w:t>
      </w:r>
      <w:r w:rsidR="00B14630">
        <w:t xml:space="preserve"> : </w:t>
      </w:r>
      <w:r w:rsidR="001A3F4A">
        <w:t xml:space="preserve">RAS si ce n’est que la </w:t>
      </w:r>
      <w:r w:rsidR="00B14630">
        <w:t xml:space="preserve">part de marché de </w:t>
      </w:r>
      <w:proofErr w:type="spellStart"/>
      <w:proofErr w:type="gramStart"/>
      <w:r w:rsidR="00B14630">
        <w:t>QUalcomm</w:t>
      </w:r>
      <w:proofErr w:type="spellEnd"/>
      <w:r w:rsidR="00B14630">
        <w:t xml:space="preserve"> </w:t>
      </w:r>
      <w:r w:rsidR="001A3F4A">
        <w:t xml:space="preserve"> =</w:t>
      </w:r>
      <w:proofErr w:type="gramEnd"/>
      <w:r w:rsidR="001A3F4A">
        <w:t xml:space="preserve"> </w:t>
      </w:r>
      <w:r w:rsidR="00B14630">
        <w:t>80%</w:t>
      </w:r>
    </w:p>
    <w:p w:rsidR="00737840" w:rsidRDefault="00737840" w:rsidP="001A3F4A">
      <w:pPr>
        <w:pStyle w:val="Paragraphedeliste"/>
        <w:ind w:left="1080"/>
        <w:jc w:val="both"/>
      </w:pPr>
    </w:p>
    <w:p w:rsidR="001A3F4A" w:rsidRPr="001A3F4A" w:rsidRDefault="001A3F4A" w:rsidP="001A3F4A">
      <w:pPr>
        <w:pStyle w:val="Paragraphedeliste"/>
        <w:numPr>
          <w:ilvl w:val="0"/>
          <w:numId w:val="9"/>
        </w:numPr>
        <w:jc w:val="both"/>
      </w:pPr>
      <w:r>
        <w:t xml:space="preserve">Caractéristiques structurelles du secteur qui ont permis la mise en œuvre de la politique de prix de prédation : existence de barrières </w:t>
      </w:r>
      <w:r>
        <w:rPr>
          <w:b/>
        </w:rPr>
        <w:t xml:space="preserve">structurelles à l’entrée. </w:t>
      </w:r>
    </w:p>
    <w:p w:rsidR="001A3F4A" w:rsidRPr="001A3F4A" w:rsidRDefault="001A3F4A" w:rsidP="001A3F4A">
      <w:pPr>
        <w:autoSpaceDE w:val="0"/>
        <w:autoSpaceDN w:val="0"/>
        <w:adjustRightInd w:val="0"/>
        <w:spacing w:after="0" w:line="240" w:lineRule="auto"/>
        <w:rPr>
          <w:rFonts w:ascii="EUAlbertina" w:hAnsi="EUAlbertina" w:cs="EUAlbertina"/>
          <w:color w:val="000000"/>
          <w:sz w:val="24"/>
          <w:szCs w:val="24"/>
        </w:rPr>
      </w:pPr>
    </w:p>
    <w:p w:rsidR="001A3F4A" w:rsidRPr="00737840" w:rsidRDefault="001A3F4A" w:rsidP="001A3F4A">
      <w:pPr>
        <w:pStyle w:val="Paragraphedeliste"/>
        <w:ind w:left="1080"/>
        <w:jc w:val="both"/>
      </w:pPr>
      <w:r w:rsidRPr="001A3F4A">
        <w:rPr>
          <w:rFonts w:ascii="EUAlbertina" w:hAnsi="EUAlbertina" w:cs="EUAlbertina"/>
          <w:color w:val="000000"/>
          <w:sz w:val="24"/>
          <w:szCs w:val="24"/>
        </w:rPr>
        <w:t xml:space="preserve"> </w:t>
      </w:r>
      <w:r w:rsidRPr="001A3F4A">
        <w:rPr>
          <w:rFonts w:ascii="EUAlbertina" w:hAnsi="EUAlbertina" w:cs="EUAlbertina"/>
          <w:color w:val="000000"/>
          <w:sz w:val="19"/>
          <w:szCs w:val="19"/>
        </w:rPr>
        <w:t xml:space="preserve">Deuxièmement, le marché mondial des chipsets UMTS est caractérisé par l’existence d’un certain nombre d’obstacles à l’entrée et à l’expansion (par exemple des investissements initiaux importants dans la recherche et le développement pour la conception des chipsets UMTS et différents obstacles liés aux droits de propriété intellectuelle de </w:t>
      </w:r>
      <w:proofErr w:type="spellStart"/>
      <w:r w:rsidRPr="001A3F4A">
        <w:rPr>
          <w:rFonts w:ascii="EUAlbertina" w:hAnsi="EUAlbertina" w:cs="EUAlbertina"/>
          <w:color w:val="000000"/>
          <w:sz w:val="19"/>
          <w:szCs w:val="19"/>
        </w:rPr>
        <w:t>Qualcomm</w:t>
      </w:r>
      <w:proofErr w:type="spellEnd"/>
      <w:r w:rsidRPr="001A3F4A">
        <w:rPr>
          <w:rFonts w:ascii="EUAlbertina" w:hAnsi="EUAlbertina" w:cs="EUAlbertina"/>
          <w:color w:val="000000"/>
          <w:sz w:val="19"/>
          <w:szCs w:val="19"/>
        </w:rPr>
        <w:t>).</w:t>
      </w:r>
    </w:p>
    <w:p w:rsidR="00B14630" w:rsidRDefault="00B14630" w:rsidP="00B14630">
      <w:pPr>
        <w:pStyle w:val="Paragraphedeliste"/>
        <w:ind w:left="1080"/>
        <w:jc w:val="both"/>
      </w:pPr>
    </w:p>
    <w:p w:rsidR="002667F9" w:rsidRDefault="002667F9" w:rsidP="00400BB1">
      <w:pPr>
        <w:pStyle w:val="Paragraphedeliste"/>
        <w:numPr>
          <w:ilvl w:val="0"/>
          <w:numId w:val="9"/>
        </w:numPr>
        <w:jc w:val="both"/>
      </w:pPr>
      <w:r w:rsidRPr="00B14630">
        <w:rPr>
          <w:b/>
        </w:rPr>
        <w:t>Test de coûts</w:t>
      </w:r>
      <w:r w:rsidR="008037B4" w:rsidRPr="00737840">
        <w:t xml:space="preserve">. </w:t>
      </w:r>
      <w:r w:rsidR="001A3F4A">
        <w:t>Les différentes</w:t>
      </w:r>
      <w:r w:rsidR="008037B4" w:rsidRPr="00737840">
        <w:t xml:space="preserve"> zones ont été présentée</w:t>
      </w:r>
      <w:r w:rsidR="00B17132">
        <w:t>s</w:t>
      </w:r>
      <w:r w:rsidR="008037B4" w:rsidRPr="00737840">
        <w:t xml:space="preserve"> en CM</w:t>
      </w:r>
      <w:r w:rsidR="00B14630">
        <w:t xml:space="preserve">. </w:t>
      </w:r>
    </w:p>
    <w:p w:rsidR="00B14630" w:rsidRDefault="00B14630" w:rsidP="00B14630">
      <w:pPr>
        <w:jc w:val="both"/>
      </w:pPr>
    </w:p>
    <w:p w:rsidR="00B14630" w:rsidRDefault="00B14630" w:rsidP="001A3F4A">
      <w:pPr>
        <w:jc w:val="center"/>
      </w:pPr>
      <w:r w:rsidRPr="00B14630">
        <w:drawing>
          <wp:inline distT="0" distB="0" distL="0" distR="0" wp14:anchorId="2717EF78" wp14:editId="32A8EFFC">
            <wp:extent cx="4572638" cy="34294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29479"/>
                    </a:xfrm>
                    <a:prstGeom prst="rect">
                      <a:avLst/>
                    </a:prstGeom>
                  </pic:spPr>
                </pic:pic>
              </a:graphicData>
            </a:graphic>
          </wp:inline>
        </w:drawing>
      </w:r>
    </w:p>
    <w:p w:rsidR="00B14630" w:rsidRDefault="001A3F4A" w:rsidP="00B14630">
      <w:pPr>
        <w:pStyle w:val="Paragraphedeliste"/>
        <w:ind w:left="1080"/>
        <w:jc w:val="both"/>
      </w:pPr>
      <w:r>
        <w:rPr>
          <w:sz w:val="19"/>
          <w:szCs w:val="19"/>
        </w:rPr>
        <w:t xml:space="preserve">L’analyse des prix facturés par </w:t>
      </w:r>
      <w:proofErr w:type="spellStart"/>
      <w:r>
        <w:rPr>
          <w:sz w:val="19"/>
          <w:szCs w:val="19"/>
        </w:rPr>
        <w:t>Qualcomm</w:t>
      </w:r>
      <w:proofErr w:type="spellEnd"/>
      <w:r>
        <w:rPr>
          <w:sz w:val="19"/>
          <w:szCs w:val="19"/>
        </w:rPr>
        <w:t xml:space="preserve"> à </w:t>
      </w:r>
      <w:proofErr w:type="spellStart"/>
      <w:r>
        <w:rPr>
          <w:sz w:val="19"/>
          <w:szCs w:val="19"/>
        </w:rPr>
        <w:t>Huawei</w:t>
      </w:r>
      <w:proofErr w:type="spellEnd"/>
      <w:r>
        <w:rPr>
          <w:sz w:val="19"/>
          <w:szCs w:val="19"/>
        </w:rPr>
        <w:t xml:space="preserve"> et à ZTE et les coûts de </w:t>
      </w:r>
      <w:proofErr w:type="spellStart"/>
      <w:r>
        <w:rPr>
          <w:sz w:val="19"/>
          <w:szCs w:val="19"/>
        </w:rPr>
        <w:t>Qualcomm</w:t>
      </w:r>
      <w:proofErr w:type="spellEnd"/>
      <w:r>
        <w:rPr>
          <w:sz w:val="19"/>
          <w:szCs w:val="19"/>
        </w:rPr>
        <w:t xml:space="preserve"> pour la fabrication de ces chipsets démontrent que </w:t>
      </w:r>
      <w:proofErr w:type="spellStart"/>
      <w:r>
        <w:rPr>
          <w:sz w:val="19"/>
          <w:szCs w:val="19"/>
        </w:rPr>
        <w:t>Qualcomm</w:t>
      </w:r>
      <w:proofErr w:type="spellEnd"/>
      <w:r>
        <w:rPr>
          <w:sz w:val="19"/>
          <w:szCs w:val="19"/>
        </w:rPr>
        <w:t xml:space="preserve"> a vendu un certain nombre de ces chipsets à des prix inférieurs aux coûts marginaux moyens à long terme et, en tout état de cause, à des prix inférieurs à la moyenne des coûts totaux,</w:t>
      </w:r>
    </w:p>
    <w:p w:rsidR="001A3F4A" w:rsidRPr="00737840" w:rsidRDefault="001A3F4A" w:rsidP="00B14630">
      <w:pPr>
        <w:pStyle w:val="Paragraphedeliste"/>
        <w:ind w:left="1080"/>
        <w:jc w:val="both"/>
      </w:pPr>
    </w:p>
    <w:p w:rsidR="001A3F4A" w:rsidRPr="00B14630" w:rsidRDefault="001A3F4A" w:rsidP="001A3F4A">
      <w:pPr>
        <w:pStyle w:val="Paragraphedeliste"/>
        <w:numPr>
          <w:ilvl w:val="0"/>
          <w:numId w:val="9"/>
        </w:numPr>
        <w:jc w:val="both"/>
      </w:pPr>
      <w:r>
        <w:rPr>
          <w:b/>
        </w:rPr>
        <w:t xml:space="preserve">Cette tarification agressive  s’inscrivait bien dans une logique prédatrice (volonté d’empêcher le développement d’un concurrent) : </w:t>
      </w:r>
      <w:proofErr w:type="spellStart"/>
      <w:r>
        <w:rPr>
          <w:sz w:val="19"/>
          <w:szCs w:val="19"/>
        </w:rPr>
        <w:t>Qualcomm</w:t>
      </w:r>
      <w:proofErr w:type="spellEnd"/>
      <w:r>
        <w:rPr>
          <w:sz w:val="19"/>
          <w:szCs w:val="19"/>
        </w:rPr>
        <w:t xml:space="preserve"> avait l’intention d’empêcher </w:t>
      </w:r>
      <w:proofErr w:type="spellStart"/>
      <w:r>
        <w:rPr>
          <w:sz w:val="19"/>
          <w:szCs w:val="19"/>
        </w:rPr>
        <w:t>Icera</w:t>
      </w:r>
      <w:proofErr w:type="spellEnd"/>
      <w:r>
        <w:rPr>
          <w:sz w:val="19"/>
          <w:szCs w:val="19"/>
        </w:rPr>
        <w:t xml:space="preserve">, une start-up de petite taille et financièrement limitée, d’acquérir la réputation et l’échelle nécessaires pour attaquer la position dominante de </w:t>
      </w:r>
      <w:proofErr w:type="spellStart"/>
      <w:r>
        <w:rPr>
          <w:sz w:val="19"/>
          <w:szCs w:val="19"/>
        </w:rPr>
        <w:t>Qualcomm</w:t>
      </w:r>
      <w:proofErr w:type="spellEnd"/>
      <w:r>
        <w:rPr>
          <w:sz w:val="19"/>
          <w:szCs w:val="19"/>
        </w:rPr>
        <w:t xml:space="preserve"> sur le marché des chipsets UMTS, étant donné, notamment, le potentiel de croissance prévu du segment de pointe en raison de l’adoption à l’échelle mondiale des dispositifs mobiles intelligents, privant ainsi les fabricants d’équipements d’origine de ce segment de l’accès à une autre source de chipsets pour leurs téléphones mobiles et réduisant le choix des consommateurs.</w:t>
      </w:r>
    </w:p>
    <w:p w:rsidR="008037B4" w:rsidRDefault="008037B4" w:rsidP="008037B4">
      <w:pPr>
        <w:pStyle w:val="Paragraphedeliste"/>
        <w:numPr>
          <w:ilvl w:val="0"/>
          <w:numId w:val="9"/>
        </w:numPr>
        <w:jc w:val="both"/>
        <w:rPr>
          <w:b/>
        </w:rPr>
      </w:pPr>
    </w:p>
    <w:p w:rsidR="00F85811" w:rsidRDefault="00F85811" w:rsidP="008037B4">
      <w:pPr>
        <w:pStyle w:val="Default"/>
        <w:rPr>
          <w:b/>
        </w:rPr>
      </w:pPr>
    </w:p>
    <w:p w:rsidR="00F85811" w:rsidRDefault="00F85811" w:rsidP="00F85811">
      <w:pPr>
        <w:rPr>
          <w:b/>
        </w:rPr>
      </w:pPr>
    </w:p>
    <w:p w:rsidR="00F85811" w:rsidRDefault="00F85811" w:rsidP="00F85811">
      <w:pPr>
        <w:rPr>
          <w:b/>
        </w:rPr>
      </w:pPr>
    </w:p>
    <w:p w:rsidR="00F85811" w:rsidRDefault="00F85811" w:rsidP="00F85811">
      <w:pPr>
        <w:rPr>
          <w:b/>
        </w:rPr>
      </w:pPr>
      <w:bookmarkStart w:id="0" w:name="_GoBack"/>
      <w:bookmarkEnd w:id="0"/>
    </w:p>
    <w:p w:rsidR="00F85811" w:rsidRDefault="00F85811" w:rsidP="00F85811">
      <w:pPr>
        <w:rPr>
          <w:b/>
        </w:rPr>
      </w:pPr>
    </w:p>
    <w:p w:rsidR="00CF5B31" w:rsidRDefault="00CF5B31" w:rsidP="00F85811">
      <w:pPr>
        <w:rPr>
          <w:b/>
        </w:rPr>
      </w:pPr>
    </w:p>
    <w:p w:rsidR="00CF5B31" w:rsidRDefault="00CF5B31" w:rsidP="00F85811">
      <w:pPr>
        <w:rPr>
          <w:b/>
        </w:rPr>
      </w:pPr>
    </w:p>
    <w:p w:rsidR="00CF5B31" w:rsidRDefault="00CF5B31" w:rsidP="00F85811">
      <w:pPr>
        <w:rPr>
          <w:b/>
        </w:rPr>
      </w:pPr>
    </w:p>
    <w:p w:rsidR="00CF5B31" w:rsidRDefault="00CF5B31" w:rsidP="00F85811">
      <w:pPr>
        <w:rPr>
          <w:b/>
        </w:rPr>
      </w:pPr>
    </w:p>
    <w:p w:rsidR="000973DC" w:rsidRDefault="000973DC" w:rsidP="00F85811">
      <w:pPr>
        <w:rPr>
          <w:b/>
        </w:rPr>
      </w:pPr>
    </w:p>
    <w:p w:rsidR="000973DC" w:rsidRDefault="000973DC" w:rsidP="00F85811">
      <w:pPr>
        <w:rPr>
          <w:b/>
        </w:rPr>
      </w:pPr>
    </w:p>
    <w:p w:rsidR="000973DC" w:rsidRDefault="000973DC" w:rsidP="00F85811">
      <w:pPr>
        <w:rPr>
          <w:b/>
        </w:rPr>
      </w:pPr>
    </w:p>
    <w:p w:rsidR="00CF5B31" w:rsidRDefault="00CF5B31" w:rsidP="00F85811">
      <w:pPr>
        <w:rPr>
          <w:b/>
        </w:rPr>
      </w:pPr>
    </w:p>
    <w:p w:rsidR="00CF5B31" w:rsidRDefault="00CF5B31" w:rsidP="00F85811">
      <w:pPr>
        <w:rPr>
          <w:b/>
        </w:rPr>
      </w:pPr>
    </w:p>
    <w:p w:rsidR="005A786A" w:rsidRPr="005A786A" w:rsidRDefault="005A786A" w:rsidP="00AD4EFE">
      <w:pPr>
        <w:pStyle w:val="Paragraphedeliste"/>
        <w:jc w:val="both"/>
      </w:pPr>
    </w:p>
    <w:sectPr w:rsidR="005A786A" w:rsidRPr="005A786A" w:rsidSect="00A3301F">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3E4" w:rsidRDefault="008563E4" w:rsidP="00FD69E7">
      <w:pPr>
        <w:spacing w:after="0" w:line="240" w:lineRule="auto"/>
      </w:pPr>
      <w:r>
        <w:separator/>
      </w:r>
    </w:p>
  </w:endnote>
  <w:endnote w:type="continuationSeparator" w:id="0">
    <w:p w:rsidR="008563E4" w:rsidRDefault="008563E4" w:rsidP="00FD6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UAlbertina">
    <w:altName w:val="EU Alberti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956902"/>
      <w:docPartObj>
        <w:docPartGallery w:val="Page Numbers (Bottom of Page)"/>
        <w:docPartUnique/>
      </w:docPartObj>
    </w:sdtPr>
    <w:sdtEndPr/>
    <w:sdtContent>
      <w:p w:rsidR="00A3301F" w:rsidRDefault="00A3301F">
        <w:pPr>
          <w:pStyle w:val="Pieddepage"/>
          <w:jc w:val="right"/>
        </w:pPr>
        <w:r>
          <w:fldChar w:fldCharType="begin"/>
        </w:r>
        <w:r>
          <w:instrText>PAGE   \* MERGEFORMAT</w:instrText>
        </w:r>
        <w:r>
          <w:fldChar w:fldCharType="separate"/>
        </w:r>
        <w:r w:rsidR="001A3F4A">
          <w:rPr>
            <w:noProof/>
          </w:rPr>
          <w:t>3</w:t>
        </w:r>
        <w:r>
          <w:fldChar w:fldCharType="end"/>
        </w:r>
      </w:p>
    </w:sdtContent>
  </w:sdt>
  <w:p w:rsidR="00A3301F" w:rsidRDefault="00A330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3E4" w:rsidRDefault="008563E4" w:rsidP="00FD69E7">
      <w:pPr>
        <w:spacing w:after="0" w:line="240" w:lineRule="auto"/>
      </w:pPr>
      <w:r>
        <w:separator/>
      </w:r>
    </w:p>
  </w:footnote>
  <w:footnote w:type="continuationSeparator" w:id="0">
    <w:p w:rsidR="008563E4" w:rsidRDefault="008563E4" w:rsidP="00FD6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702"/>
    <w:multiLevelType w:val="hybridMultilevel"/>
    <w:tmpl w:val="3228B69A"/>
    <w:lvl w:ilvl="0" w:tplc="D08883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BA516B"/>
    <w:multiLevelType w:val="hybridMultilevel"/>
    <w:tmpl w:val="90CC4EB4"/>
    <w:lvl w:ilvl="0" w:tplc="E5F80B4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EC5AFA"/>
    <w:multiLevelType w:val="hybridMultilevel"/>
    <w:tmpl w:val="710EBE6E"/>
    <w:lvl w:ilvl="0" w:tplc="6F7C513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870D13"/>
    <w:multiLevelType w:val="hybridMultilevel"/>
    <w:tmpl w:val="76262FE4"/>
    <w:lvl w:ilvl="0" w:tplc="BF223360">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ED08AF"/>
    <w:multiLevelType w:val="hybridMultilevel"/>
    <w:tmpl w:val="27D69C7A"/>
    <w:lvl w:ilvl="0" w:tplc="65423182">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EF4D06"/>
    <w:multiLevelType w:val="hybridMultilevel"/>
    <w:tmpl w:val="C57A8C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0B75DA"/>
    <w:multiLevelType w:val="hybridMultilevel"/>
    <w:tmpl w:val="53289D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5C6A1A"/>
    <w:multiLevelType w:val="hybridMultilevel"/>
    <w:tmpl w:val="F13C40F4"/>
    <w:lvl w:ilvl="0" w:tplc="49849E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7F64CD9"/>
    <w:multiLevelType w:val="hybridMultilevel"/>
    <w:tmpl w:val="F2400AB2"/>
    <w:lvl w:ilvl="0" w:tplc="A352342A">
      <w:start w:val="1"/>
      <w:numFmt w:val="decimal"/>
      <w:lvlText w:val="%1."/>
      <w:lvlJc w:val="left"/>
      <w:pPr>
        <w:ind w:left="1080"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A704B7B"/>
    <w:multiLevelType w:val="hybridMultilevel"/>
    <w:tmpl w:val="F2400AB2"/>
    <w:lvl w:ilvl="0" w:tplc="A352342A">
      <w:start w:val="1"/>
      <w:numFmt w:val="decimal"/>
      <w:lvlText w:val="%1."/>
      <w:lvlJc w:val="left"/>
      <w:pPr>
        <w:ind w:left="1080"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2BB917A9"/>
    <w:multiLevelType w:val="hybridMultilevel"/>
    <w:tmpl w:val="90CC4EB4"/>
    <w:lvl w:ilvl="0" w:tplc="E5F80B4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D0309F2"/>
    <w:multiLevelType w:val="hybridMultilevel"/>
    <w:tmpl w:val="8B7EDB78"/>
    <w:lvl w:ilvl="0" w:tplc="4BD20A46">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762969"/>
    <w:multiLevelType w:val="hybridMultilevel"/>
    <w:tmpl w:val="3684D704"/>
    <w:lvl w:ilvl="0" w:tplc="D986ACF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44A93C0D"/>
    <w:multiLevelType w:val="hybridMultilevel"/>
    <w:tmpl w:val="6948565C"/>
    <w:lvl w:ilvl="0" w:tplc="48067EB6">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47CF21A0"/>
    <w:multiLevelType w:val="hybridMultilevel"/>
    <w:tmpl w:val="227A2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9A6C54"/>
    <w:multiLevelType w:val="hybridMultilevel"/>
    <w:tmpl w:val="AD1824F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4B37198"/>
    <w:multiLevelType w:val="hybridMultilevel"/>
    <w:tmpl w:val="7AD24820"/>
    <w:lvl w:ilvl="0" w:tplc="6C567DA6">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846342"/>
    <w:multiLevelType w:val="hybridMultilevel"/>
    <w:tmpl w:val="CBBCA690"/>
    <w:lvl w:ilvl="0" w:tplc="8CDC75AA">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173BB5"/>
    <w:multiLevelType w:val="hybridMultilevel"/>
    <w:tmpl w:val="53289D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A53281"/>
    <w:multiLevelType w:val="hybridMultilevel"/>
    <w:tmpl w:val="660C7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8"/>
  </w:num>
  <w:num w:numId="3">
    <w:abstractNumId w:val="14"/>
  </w:num>
  <w:num w:numId="4">
    <w:abstractNumId w:val="12"/>
  </w:num>
  <w:num w:numId="5">
    <w:abstractNumId w:val="1"/>
  </w:num>
  <w:num w:numId="6">
    <w:abstractNumId w:val="11"/>
  </w:num>
  <w:num w:numId="7">
    <w:abstractNumId w:val="4"/>
  </w:num>
  <w:num w:numId="8">
    <w:abstractNumId w:val="6"/>
  </w:num>
  <w:num w:numId="9">
    <w:abstractNumId w:val="13"/>
  </w:num>
  <w:num w:numId="10">
    <w:abstractNumId w:val="19"/>
  </w:num>
  <w:num w:numId="11">
    <w:abstractNumId w:val="10"/>
  </w:num>
  <w:num w:numId="12">
    <w:abstractNumId w:val="5"/>
  </w:num>
  <w:num w:numId="13">
    <w:abstractNumId w:val="8"/>
  </w:num>
  <w:num w:numId="14">
    <w:abstractNumId w:val="17"/>
  </w:num>
  <w:num w:numId="15">
    <w:abstractNumId w:val="16"/>
  </w:num>
  <w:num w:numId="16">
    <w:abstractNumId w:val="3"/>
  </w:num>
  <w:num w:numId="17">
    <w:abstractNumId w:val="7"/>
  </w:num>
  <w:num w:numId="18">
    <w:abstractNumId w:val="15"/>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E7"/>
    <w:rsid w:val="000155DB"/>
    <w:rsid w:val="00027140"/>
    <w:rsid w:val="00043E46"/>
    <w:rsid w:val="00064F7A"/>
    <w:rsid w:val="000657F6"/>
    <w:rsid w:val="000973DC"/>
    <w:rsid w:val="000A0A9B"/>
    <w:rsid w:val="000B742B"/>
    <w:rsid w:val="000C643B"/>
    <w:rsid w:val="000F6229"/>
    <w:rsid w:val="001026C7"/>
    <w:rsid w:val="00121EB6"/>
    <w:rsid w:val="00124BC2"/>
    <w:rsid w:val="001451FC"/>
    <w:rsid w:val="00171FF8"/>
    <w:rsid w:val="001A3F4A"/>
    <w:rsid w:val="001A6197"/>
    <w:rsid w:val="001A69E7"/>
    <w:rsid w:val="001B06F1"/>
    <w:rsid w:val="001B2B07"/>
    <w:rsid w:val="001B3386"/>
    <w:rsid w:val="001B42E9"/>
    <w:rsid w:val="001D54B7"/>
    <w:rsid w:val="00203815"/>
    <w:rsid w:val="00221EFE"/>
    <w:rsid w:val="0023477A"/>
    <w:rsid w:val="00241EB7"/>
    <w:rsid w:val="002604E6"/>
    <w:rsid w:val="002667F9"/>
    <w:rsid w:val="00273CFA"/>
    <w:rsid w:val="0027594C"/>
    <w:rsid w:val="002855A2"/>
    <w:rsid w:val="0029117F"/>
    <w:rsid w:val="00295A5A"/>
    <w:rsid w:val="002A4326"/>
    <w:rsid w:val="002E1412"/>
    <w:rsid w:val="002F5B11"/>
    <w:rsid w:val="00317088"/>
    <w:rsid w:val="00325093"/>
    <w:rsid w:val="0034510A"/>
    <w:rsid w:val="0034570E"/>
    <w:rsid w:val="00352707"/>
    <w:rsid w:val="00353AC3"/>
    <w:rsid w:val="003745A7"/>
    <w:rsid w:val="00376444"/>
    <w:rsid w:val="0038006A"/>
    <w:rsid w:val="003A2598"/>
    <w:rsid w:val="003C04AD"/>
    <w:rsid w:val="00410E95"/>
    <w:rsid w:val="00416C88"/>
    <w:rsid w:val="00420FB4"/>
    <w:rsid w:val="00490195"/>
    <w:rsid w:val="004A5F0E"/>
    <w:rsid w:val="004C2520"/>
    <w:rsid w:val="004C7988"/>
    <w:rsid w:val="00515355"/>
    <w:rsid w:val="00521D43"/>
    <w:rsid w:val="00530AF7"/>
    <w:rsid w:val="00530BEA"/>
    <w:rsid w:val="0054132A"/>
    <w:rsid w:val="00587594"/>
    <w:rsid w:val="00591506"/>
    <w:rsid w:val="005937A6"/>
    <w:rsid w:val="005976EF"/>
    <w:rsid w:val="005A786A"/>
    <w:rsid w:val="005E7D7E"/>
    <w:rsid w:val="005F218E"/>
    <w:rsid w:val="00624D96"/>
    <w:rsid w:val="00630B5E"/>
    <w:rsid w:val="00637E82"/>
    <w:rsid w:val="00653B73"/>
    <w:rsid w:val="00661676"/>
    <w:rsid w:val="00687283"/>
    <w:rsid w:val="006963CE"/>
    <w:rsid w:val="006A07F7"/>
    <w:rsid w:val="006C14FD"/>
    <w:rsid w:val="006D0131"/>
    <w:rsid w:val="00706E2F"/>
    <w:rsid w:val="00714C35"/>
    <w:rsid w:val="00737840"/>
    <w:rsid w:val="007D1A0F"/>
    <w:rsid w:val="007E4C12"/>
    <w:rsid w:val="008037B4"/>
    <w:rsid w:val="008169B8"/>
    <w:rsid w:val="008475BC"/>
    <w:rsid w:val="008563E4"/>
    <w:rsid w:val="0087035E"/>
    <w:rsid w:val="00874538"/>
    <w:rsid w:val="008A0768"/>
    <w:rsid w:val="008A5D6C"/>
    <w:rsid w:val="008B025E"/>
    <w:rsid w:val="008B220F"/>
    <w:rsid w:val="008C2E56"/>
    <w:rsid w:val="008C6D5C"/>
    <w:rsid w:val="008C7327"/>
    <w:rsid w:val="008D4DD9"/>
    <w:rsid w:val="008E0F14"/>
    <w:rsid w:val="00904EC7"/>
    <w:rsid w:val="00907293"/>
    <w:rsid w:val="0091499E"/>
    <w:rsid w:val="00920094"/>
    <w:rsid w:val="009333EB"/>
    <w:rsid w:val="009507D1"/>
    <w:rsid w:val="009671BF"/>
    <w:rsid w:val="0097455A"/>
    <w:rsid w:val="009839ED"/>
    <w:rsid w:val="009A2312"/>
    <w:rsid w:val="009A6F86"/>
    <w:rsid w:val="009E5FD6"/>
    <w:rsid w:val="00A310BE"/>
    <w:rsid w:val="00A3301F"/>
    <w:rsid w:val="00A43276"/>
    <w:rsid w:val="00A454D8"/>
    <w:rsid w:val="00A6204D"/>
    <w:rsid w:val="00A7275B"/>
    <w:rsid w:val="00A953AC"/>
    <w:rsid w:val="00A969C0"/>
    <w:rsid w:val="00AD4EFE"/>
    <w:rsid w:val="00AF4617"/>
    <w:rsid w:val="00B114E4"/>
    <w:rsid w:val="00B14630"/>
    <w:rsid w:val="00B151DB"/>
    <w:rsid w:val="00B17132"/>
    <w:rsid w:val="00B33EA0"/>
    <w:rsid w:val="00B832E0"/>
    <w:rsid w:val="00B93651"/>
    <w:rsid w:val="00BA504E"/>
    <w:rsid w:val="00BD2906"/>
    <w:rsid w:val="00BE6614"/>
    <w:rsid w:val="00C02E43"/>
    <w:rsid w:val="00C16958"/>
    <w:rsid w:val="00C77F6A"/>
    <w:rsid w:val="00C8727F"/>
    <w:rsid w:val="00CB5D01"/>
    <w:rsid w:val="00CC0E88"/>
    <w:rsid w:val="00CC5EB3"/>
    <w:rsid w:val="00CF5B31"/>
    <w:rsid w:val="00D0731F"/>
    <w:rsid w:val="00D07493"/>
    <w:rsid w:val="00D14334"/>
    <w:rsid w:val="00D2540D"/>
    <w:rsid w:val="00D521F0"/>
    <w:rsid w:val="00D6063A"/>
    <w:rsid w:val="00D655C5"/>
    <w:rsid w:val="00DE3C05"/>
    <w:rsid w:val="00DE4922"/>
    <w:rsid w:val="00E0113B"/>
    <w:rsid w:val="00E10440"/>
    <w:rsid w:val="00E67384"/>
    <w:rsid w:val="00E6741E"/>
    <w:rsid w:val="00ED29F5"/>
    <w:rsid w:val="00F769FB"/>
    <w:rsid w:val="00F85811"/>
    <w:rsid w:val="00FB3D0E"/>
    <w:rsid w:val="00FB6FE3"/>
    <w:rsid w:val="00FD69E7"/>
    <w:rsid w:val="00FE601D"/>
    <w:rsid w:val="00FF0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14CB"/>
  <w15:chartTrackingRefBased/>
  <w15:docId w15:val="{D92BDA47-47DA-4A6D-AAC5-57AFB0AA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D6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21F0"/>
    <w:pPr>
      <w:keepNext/>
      <w:keepLines/>
      <w:spacing w:before="40"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69E7"/>
    <w:pPr>
      <w:ind w:left="720"/>
      <w:contextualSpacing/>
    </w:pPr>
  </w:style>
  <w:style w:type="paragraph" w:styleId="En-tte">
    <w:name w:val="header"/>
    <w:basedOn w:val="Normal"/>
    <w:link w:val="En-tteCar"/>
    <w:uiPriority w:val="99"/>
    <w:unhideWhenUsed/>
    <w:rsid w:val="00FD69E7"/>
    <w:pPr>
      <w:tabs>
        <w:tab w:val="center" w:pos="4536"/>
        <w:tab w:val="right" w:pos="9072"/>
      </w:tabs>
      <w:spacing w:after="0" w:line="240" w:lineRule="auto"/>
    </w:pPr>
  </w:style>
  <w:style w:type="character" w:customStyle="1" w:styleId="En-tteCar">
    <w:name w:val="En-tête Car"/>
    <w:basedOn w:val="Policepardfaut"/>
    <w:link w:val="En-tte"/>
    <w:uiPriority w:val="99"/>
    <w:rsid w:val="00FD69E7"/>
  </w:style>
  <w:style w:type="paragraph" w:styleId="Pieddepage">
    <w:name w:val="footer"/>
    <w:basedOn w:val="Normal"/>
    <w:link w:val="PieddepageCar"/>
    <w:uiPriority w:val="99"/>
    <w:unhideWhenUsed/>
    <w:rsid w:val="00FD69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9E7"/>
  </w:style>
  <w:style w:type="character" w:customStyle="1" w:styleId="Titre1Car">
    <w:name w:val="Titre 1 Car"/>
    <w:basedOn w:val="Policepardfaut"/>
    <w:link w:val="Titre1"/>
    <w:uiPriority w:val="9"/>
    <w:rsid w:val="00FD69E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521F0"/>
    <w:rPr>
      <w:rFonts w:asciiTheme="majorHAnsi" w:eastAsiaTheme="majorEastAsia" w:hAnsiTheme="majorHAnsi" w:cstheme="majorBidi"/>
      <w:b/>
      <w:sz w:val="26"/>
      <w:szCs w:val="26"/>
    </w:rPr>
  </w:style>
  <w:style w:type="paragraph" w:customStyle="1" w:styleId="Default">
    <w:name w:val="Default"/>
    <w:rsid w:val="00A310BE"/>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A31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61676"/>
    <w:rPr>
      <w:color w:val="808080"/>
    </w:rPr>
  </w:style>
  <w:style w:type="paragraph" w:styleId="NormalWeb">
    <w:name w:val="Normal (Web)"/>
    <w:basedOn w:val="Normal"/>
    <w:uiPriority w:val="99"/>
    <w:semiHidden/>
    <w:unhideWhenUsed/>
    <w:rsid w:val="00043E4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0587">
      <w:bodyDiv w:val="1"/>
      <w:marLeft w:val="0"/>
      <w:marRight w:val="0"/>
      <w:marTop w:val="0"/>
      <w:marBottom w:val="0"/>
      <w:divBdr>
        <w:top w:val="none" w:sz="0" w:space="0" w:color="auto"/>
        <w:left w:val="none" w:sz="0" w:space="0" w:color="auto"/>
        <w:bottom w:val="none" w:sz="0" w:space="0" w:color="auto"/>
        <w:right w:val="none" w:sz="0" w:space="0" w:color="auto"/>
      </w:divBdr>
    </w:div>
    <w:div w:id="429156278">
      <w:bodyDiv w:val="1"/>
      <w:marLeft w:val="0"/>
      <w:marRight w:val="0"/>
      <w:marTop w:val="0"/>
      <w:marBottom w:val="0"/>
      <w:divBdr>
        <w:top w:val="none" w:sz="0" w:space="0" w:color="auto"/>
        <w:left w:val="none" w:sz="0" w:space="0" w:color="auto"/>
        <w:bottom w:val="none" w:sz="0" w:space="0" w:color="auto"/>
        <w:right w:val="none" w:sz="0" w:space="0" w:color="auto"/>
      </w:divBdr>
    </w:div>
    <w:div w:id="1031146213">
      <w:bodyDiv w:val="1"/>
      <w:marLeft w:val="0"/>
      <w:marRight w:val="0"/>
      <w:marTop w:val="0"/>
      <w:marBottom w:val="0"/>
      <w:divBdr>
        <w:top w:val="none" w:sz="0" w:space="0" w:color="auto"/>
        <w:left w:val="none" w:sz="0" w:space="0" w:color="auto"/>
        <w:bottom w:val="none" w:sz="0" w:space="0" w:color="auto"/>
        <w:right w:val="none" w:sz="0" w:space="0" w:color="auto"/>
      </w:divBdr>
    </w:div>
    <w:div w:id="15159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890</Words>
  <Characters>4899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Rossiaud</dc:creator>
  <cp:keywords/>
  <dc:description/>
  <cp:lastModifiedBy>Sylvain Rossiaud</cp:lastModifiedBy>
  <cp:revision>97</cp:revision>
  <dcterms:created xsi:type="dcterms:W3CDTF">2016-09-20T17:42:00Z</dcterms:created>
  <dcterms:modified xsi:type="dcterms:W3CDTF">2023-02-08T13:24:00Z</dcterms:modified>
</cp:coreProperties>
</file>