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655" w:rsidRPr="00E01576" w:rsidRDefault="00E01576" w:rsidP="00E01576">
      <w:pPr>
        <w:jc w:val="center"/>
        <w:rPr>
          <w:b/>
          <w:sz w:val="24"/>
          <w:szCs w:val="24"/>
        </w:rPr>
      </w:pPr>
      <w:r w:rsidRPr="00E01576">
        <w:rPr>
          <w:b/>
          <w:sz w:val="24"/>
          <w:szCs w:val="24"/>
        </w:rPr>
        <w:t>39-Compartment Model Analysis of Refuge TP response to Reduction in Inflow</w:t>
      </w:r>
      <w:r w:rsidR="00236C52">
        <w:rPr>
          <w:b/>
          <w:sz w:val="24"/>
          <w:szCs w:val="24"/>
        </w:rPr>
        <w:t xml:space="preserve"> Concentration: </w:t>
      </w:r>
      <w:r w:rsidRPr="00E01576">
        <w:rPr>
          <w:b/>
          <w:sz w:val="24"/>
          <w:szCs w:val="24"/>
        </w:rPr>
        <w:t>Preliminary Analysis</w:t>
      </w:r>
    </w:p>
    <w:p w:rsidR="00E01576" w:rsidRDefault="00E01576" w:rsidP="00E01576">
      <w:pPr>
        <w:jc w:val="right"/>
      </w:pPr>
      <w:r>
        <w:t>Mike Waldon, January 2012</w:t>
      </w:r>
    </w:p>
    <w:p w:rsidR="00E01576" w:rsidRPr="00651E65" w:rsidRDefault="00E01576">
      <w:pPr>
        <w:rPr>
          <w:sz w:val="24"/>
          <w:szCs w:val="24"/>
        </w:rPr>
      </w:pPr>
    </w:p>
    <w:p w:rsidR="00E01576" w:rsidRPr="00651E65" w:rsidRDefault="00E01576" w:rsidP="00E01576">
      <w:pPr>
        <w:rPr>
          <w:sz w:val="24"/>
          <w:szCs w:val="24"/>
        </w:rPr>
      </w:pPr>
      <w:r w:rsidRPr="00651E65">
        <w:rPr>
          <w:sz w:val="24"/>
          <w:szCs w:val="24"/>
        </w:rPr>
        <w:t>The response of Refuge surface water TP concentration to reduction in inflow concentrations is simulated here using the 39-Compartment Refuge model</w:t>
      </w:r>
      <w:r w:rsidR="00860FF8" w:rsidRPr="00651E65">
        <w:rPr>
          <w:sz w:val="24"/>
          <w:szCs w:val="24"/>
        </w:rPr>
        <w:t xml:space="preserve"> (</w:t>
      </w:r>
      <w:proofErr w:type="spellStart"/>
      <w:r w:rsidR="00860FF8" w:rsidRPr="00651E65">
        <w:rPr>
          <w:sz w:val="24"/>
          <w:szCs w:val="24"/>
        </w:rPr>
        <w:t>Bazgirkhoob</w:t>
      </w:r>
      <w:proofErr w:type="spellEnd"/>
      <w:r w:rsidR="00860FF8" w:rsidRPr="00651E65">
        <w:rPr>
          <w:sz w:val="24"/>
          <w:szCs w:val="24"/>
        </w:rPr>
        <w:t xml:space="preserve"> 2011)</w:t>
      </w:r>
      <w:r w:rsidRPr="00651E65">
        <w:rPr>
          <w:sz w:val="24"/>
          <w:szCs w:val="24"/>
        </w:rPr>
        <w:t xml:space="preserve">. </w:t>
      </w:r>
      <w:r w:rsidR="009E34E8" w:rsidRPr="00651E65">
        <w:rPr>
          <w:sz w:val="24"/>
          <w:szCs w:val="24"/>
        </w:rPr>
        <w:t>This model aggregates the Refuge into 11 canal compartments</w:t>
      </w:r>
      <w:r w:rsidR="00455EB9">
        <w:rPr>
          <w:sz w:val="24"/>
          <w:szCs w:val="24"/>
        </w:rPr>
        <w:t xml:space="preserve"> (or cells)</w:t>
      </w:r>
      <w:r w:rsidR="009E34E8" w:rsidRPr="00651E65">
        <w:rPr>
          <w:sz w:val="24"/>
          <w:szCs w:val="24"/>
        </w:rPr>
        <w:t xml:space="preserve"> and 28 marsh compartments</w:t>
      </w:r>
      <w:r w:rsidR="00860FF8" w:rsidRPr="00651E65">
        <w:rPr>
          <w:sz w:val="24"/>
          <w:szCs w:val="24"/>
        </w:rPr>
        <w:t xml:space="preserve"> in a link-node representation (Figure</w:t>
      </w:r>
      <w:r w:rsidR="00651E65" w:rsidRPr="00651E65">
        <w:rPr>
          <w:sz w:val="24"/>
          <w:szCs w:val="24"/>
        </w:rPr>
        <w:t>s</w:t>
      </w:r>
      <w:r w:rsidR="00860FF8" w:rsidRPr="00651E65">
        <w:rPr>
          <w:sz w:val="24"/>
          <w:szCs w:val="24"/>
        </w:rPr>
        <w:t xml:space="preserve"> 1</w:t>
      </w:r>
      <w:r w:rsidR="00651E65" w:rsidRPr="00651E65">
        <w:rPr>
          <w:sz w:val="24"/>
          <w:szCs w:val="24"/>
        </w:rPr>
        <w:t xml:space="preserve"> and 2</w:t>
      </w:r>
      <w:r w:rsidR="00860FF8" w:rsidRPr="00651E65">
        <w:rPr>
          <w:sz w:val="24"/>
          <w:szCs w:val="24"/>
        </w:rPr>
        <w:t>)</w:t>
      </w:r>
      <w:r w:rsidR="009E34E8" w:rsidRPr="00651E65">
        <w:rPr>
          <w:sz w:val="24"/>
          <w:szCs w:val="24"/>
        </w:rPr>
        <w:t xml:space="preserve">. </w:t>
      </w:r>
      <w:r w:rsidR="009D2DEC">
        <w:rPr>
          <w:sz w:val="24"/>
          <w:szCs w:val="24"/>
        </w:rPr>
        <w:t xml:space="preserve">The version of the model used here has some known </w:t>
      </w:r>
      <w:r w:rsidR="002D159A">
        <w:rPr>
          <w:sz w:val="24"/>
          <w:szCs w:val="24"/>
        </w:rPr>
        <w:t xml:space="preserve">discrepancies in topography of a few cells. However, I do not believe that correction of these compartment properties </w:t>
      </w:r>
      <w:r w:rsidR="002D159A" w:rsidRPr="00651E65">
        <w:rPr>
          <w:sz w:val="24"/>
          <w:szCs w:val="24"/>
        </w:rPr>
        <w:t>would</w:t>
      </w:r>
      <w:r w:rsidR="002D159A">
        <w:rPr>
          <w:sz w:val="24"/>
          <w:szCs w:val="24"/>
        </w:rPr>
        <w:t xml:space="preserve"> change the overall conclusions presented here. It is anticipated that a completed stable version of the 39-compartment model used for calibration and validation will be available in the spring</w:t>
      </w:r>
      <w:r w:rsidR="00AF7254">
        <w:rPr>
          <w:sz w:val="24"/>
          <w:szCs w:val="24"/>
        </w:rPr>
        <w:t xml:space="preserve"> 2012.</w:t>
      </w:r>
    </w:p>
    <w:p w:rsidR="00E01576" w:rsidRPr="00651E65" w:rsidRDefault="00E01576" w:rsidP="00E01576">
      <w:pPr>
        <w:rPr>
          <w:sz w:val="24"/>
          <w:szCs w:val="24"/>
        </w:rPr>
      </w:pPr>
      <w:r w:rsidRPr="00651E65">
        <w:rPr>
          <w:sz w:val="24"/>
          <w:szCs w:val="24"/>
        </w:rPr>
        <w:t xml:space="preserve">The </w:t>
      </w:r>
      <w:r w:rsidR="00784FB2">
        <w:rPr>
          <w:sz w:val="24"/>
          <w:szCs w:val="24"/>
        </w:rPr>
        <w:t xml:space="preserve">3 model </w:t>
      </w:r>
      <w:r w:rsidRPr="00651E65">
        <w:rPr>
          <w:sz w:val="24"/>
          <w:szCs w:val="24"/>
        </w:rPr>
        <w:t>runs</w:t>
      </w:r>
      <w:r w:rsidR="00AF7254">
        <w:rPr>
          <w:sz w:val="24"/>
          <w:szCs w:val="24"/>
        </w:rPr>
        <w:t xml:space="preserve"> used here</w:t>
      </w:r>
      <w:r w:rsidRPr="00651E65">
        <w:rPr>
          <w:sz w:val="24"/>
          <w:szCs w:val="24"/>
        </w:rPr>
        <w:t xml:space="preserve"> represent the results of scaling all </w:t>
      </w:r>
      <w:r w:rsidR="00AF7254">
        <w:rPr>
          <w:sz w:val="24"/>
          <w:szCs w:val="24"/>
        </w:rPr>
        <w:t xml:space="preserve">historic </w:t>
      </w:r>
      <w:r w:rsidRPr="00651E65">
        <w:rPr>
          <w:sz w:val="24"/>
          <w:szCs w:val="24"/>
        </w:rPr>
        <w:t>Refuge inflows by a factor (</w:t>
      </w:r>
      <w:r w:rsidR="005C4996">
        <w:rPr>
          <w:sz w:val="24"/>
          <w:szCs w:val="24"/>
        </w:rPr>
        <w:t>0.5, 0.2646, and 0.14</w:t>
      </w:r>
      <w:r w:rsidRPr="00651E65">
        <w:rPr>
          <w:sz w:val="24"/>
          <w:szCs w:val="24"/>
        </w:rPr>
        <w:t>) over</w:t>
      </w:r>
      <w:r w:rsidR="00AF7254">
        <w:rPr>
          <w:sz w:val="24"/>
          <w:szCs w:val="24"/>
        </w:rPr>
        <w:t xml:space="preserve"> calendar years 2004-2010 which was</w:t>
      </w:r>
      <w:r w:rsidRPr="00651E65">
        <w:rPr>
          <w:sz w:val="24"/>
          <w:szCs w:val="24"/>
        </w:rPr>
        <w:t xml:space="preserve"> the current </w:t>
      </w:r>
      <w:r w:rsidR="00AF7254">
        <w:rPr>
          <w:sz w:val="24"/>
          <w:szCs w:val="24"/>
        </w:rPr>
        <w:t xml:space="preserve">39-compartment model </w:t>
      </w:r>
      <w:r w:rsidRPr="00651E65">
        <w:rPr>
          <w:sz w:val="24"/>
          <w:szCs w:val="24"/>
        </w:rPr>
        <w:t>simulation period</w:t>
      </w:r>
      <w:r w:rsidR="004F4F3F">
        <w:rPr>
          <w:sz w:val="24"/>
          <w:szCs w:val="24"/>
        </w:rPr>
        <w:t xml:space="preserve"> </w:t>
      </w:r>
      <w:r w:rsidRPr="00651E65">
        <w:rPr>
          <w:sz w:val="24"/>
          <w:szCs w:val="24"/>
        </w:rPr>
        <w:t>for historical flows and concentrations</w:t>
      </w:r>
      <w:r w:rsidR="00AF7254">
        <w:rPr>
          <w:sz w:val="24"/>
          <w:szCs w:val="24"/>
        </w:rPr>
        <w:t xml:space="preserve"> at the time this model analysis was initiated</w:t>
      </w:r>
      <w:r w:rsidRPr="00651E65">
        <w:rPr>
          <w:sz w:val="24"/>
          <w:szCs w:val="24"/>
        </w:rPr>
        <w:t xml:space="preserve">. </w:t>
      </w:r>
      <w:r w:rsidR="002D511D">
        <w:rPr>
          <w:sz w:val="24"/>
          <w:szCs w:val="24"/>
        </w:rPr>
        <w:t>The simulation uses the LRI calibration set (k1=</w:t>
      </w:r>
      <w:r w:rsidR="002D511D" w:rsidRPr="002D511D">
        <w:rPr>
          <w:rFonts w:ascii="Arial" w:hAnsi="Arial" w:cs="Arial"/>
          <w:color w:val="000000"/>
          <w:sz w:val="20"/>
          <w:szCs w:val="20"/>
        </w:rPr>
        <w:t xml:space="preserve"> </w:t>
      </w:r>
      <w:r w:rsidR="002D511D">
        <w:rPr>
          <w:rFonts w:ascii="Arial" w:hAnsi="Arial" w:cs="Arial"/>
          <w:color w:val="000000"/>
          <w:sz w:val="20"/>
          <w:szCs w:val="20"/>
        </w:rPr>
        <w:t>0.192874</w:t>
      </w:r>
      <w:r w:rsidR="002D511D">
        <w:rPr>
          <w:sz w:val="24"/>
          <w:szCs w:val="24"/>
        </w:rPr>
        <w:t xml:space="preserve">, </w:t>
      </w:r>
      <w:proofErr w:type="gramStart"/>
      <w:r w:rsidR="002D511D">
        <w:rPr>
          <w:sz w:val="24"/>
          <w:szCs w:val="24"/>
        </w:rPr>
        <w:t>k2</w:t>
      </w:r>
      <w:proofErr w:type="gramEnd"/>
      <w:r w:rsidR="002D511D">
        <w:rPr>
          <w:sz w:val="24"/>
          <w:szCs w:val="24"/>
        </w:rPr>
        <w:t>=</w:t>
      </w:r>
      <w:r w:rsidR="002D511D" w:rsidRPr="002D511D">
        <w:rPr>
          <w:rFonts w:ascii="Arial" w:hAnsi="Arial" w:cs="Arial"/>
          <w:color w:val="000000"/>
          <w:sz w:val="20"/>
          <w:szCs w:val="20"/>
        </w:rPr>
        <w:t xml:space="preserve"> </w:t>
      </w:r>
      <w:r w:rsidR="002D511D">
        <w:rPr>
          <w:rFonts w:ascii="Arial" w:hAnsi="Arial" w:cs="Arial"/>
          <w:color w:val="000000"/>
          <w:sz w:val="20"/>
          <w:szCs w:val="20"/>
        </w:rPr>
        <w:t>0.00860201</w:t>
      </w:r>
      <w:r w:rsidR="002D511D">
        <w:rPr>
          <w:sz w:val="24"/>
          <w:szCs w:val="24"/>
        </w:rPr>
        <w:t>, and k3=</w:t>
      </w:r>
      <w:r w:rsidR="002D511D" w:rsidRPr="002D511D">
        <w:rPr>
          <w:rFonts w:ascii="Arial" w:hAnsi="Arial" w:cs="Arial"/>
          <w:color w:val="000000"/>
          <w:sz w:val="20"/>
          <w:szCs w:val="20"/>
        </w:rPr>
        <w:t xml:space="preserve"> </w:t>
      </w:r>
      <w:r w:rsidR="002D511D">
        <w:rPr>
          <w:rFonts w:ascii="Arial" w:hAnsi="Arial" w:cs="Arial"/>
          <w:color w:val="000000"/>
          <w:sz w:val="20"/>
          <w:szCs w:val="20"/>
        </w:rPr>
        <w:t>0.294011)</w:t>
      </w:r>
      <w:r w:rsidR="0056533B">
        <w:rPr>
          <w:rFonts w:ascii="Arial" w:hAnsi="Arial" w:cs="Arial"/>
          <w:color w:val="000000"/>
          <w:sz w:val="20"/>
          <w:szCs w:val="20"/>
        </w:rPr>
        <w:t xml:space="preserve"> for TP</w:t>
      </w:r>
      <w:r w:rsidR="002D511D">
        <w:rPr>
          <w:rFonts w:ascii="Arial" w:hAnsi="Arial" w:cs="Arial"/>
          <w:color w:val="000000"/>
          <w:sz w:val="20"/>
          <w:szCs w:val="20"/>
        </w:rPr>
        <w:t xml:space="preserve"> which gives improved calibration performance at the low concentrations </w:t>
      </w:r>
      <w:r w:rsidR="00545388">
        <w:rPr>
          <w:rFonts w:ascii="Arial" w:hAnsi="Arial" w:cs="Arial"/>
          <w:color w:val="000000"/>
          <w:sz w:val="20"/>
          <w:szCs w:val="20"/>
        </w:rPr>
        <w:t xml:space="preserve">observed </w:t>
      </w:r>
      <w:r w:rsidR="002D511D">
        <w:rPr>
          <w:rFonts w:ascii="Arial" w:hAnsi="Arial" w:cs="Arial"/>
          <w:color w:val="000000"/>
          <w:sz w:val="20"/>
          <w:szCs w:val="20"/>
        </w:rPr>
        <w:t>in the Refuge interior</w:t>
      </w:r>
      <w:r w:rsidR="002D511D">
        <w:rPr>
          <w:sz w:val="24"/>
          <w:szCs w:val="24"/>
        </w:rPr>
        <w:t xml:space="preserve">. </w:t>
      </w:r>
      <w:r w:rsidR="00784FB2" w:rsidRPr="00651E65">
        <w:rPr>
          <w:sz w:val="24"/>
          <w:szCs w:val="24"/>
        </w:rPr>
        <w:t>The 39-compartment model (</w:t>
      </w:r>
      <w:r w:rsidR="00784FB2">
        <w:rPr>
          <w:sz w:val="24"/>
          <w:szCs w:val="24"/>
        </w:rPr>
        <w:t xml:space="preserve">filename </w:t>
      </w:r>
      <w:r w:rsidR="00784FB2" w:rsidRPr="00651E65">
        <w:rPr>
          <w:sz w:val="24"/>
          <w:szCs w:val="24"/>
        </w:rPr>
        <w:t>Lox_39bo</w:t>
      </w:r>
      <w:r w:rsidR="00784FB2">
        <w:rPr>
          <w:sz w:val="24"/>
          <w:szCs w:val="24"/>
        </w:rPr>
        <w:t xml:space="preserve">x_2004_2010-TPScale.mmd) returned </w:t>
      </w:r>
      <w:r w:rsidR="00784FB2" w:rsidRPr="00651E65">
        <w:rPr>
          <w:sz w:val="24"/>
          <w:szCs w:val="24"/>
        </w:rPr>
        <w:t>c</w:t>
      </w:r>
      <w:r w:rsidR="00784FB2">
        <w:rPr>
          <w:sz w:val="24"/>
          <w:szCs w:val="24"/>
        </w:rPr>
        <w:t>oncentrations values only when depths were</w:t>
      </w:r>
      <w:r w:rsidR="00784FB2" w:rsidRPr="00651E65">
        <w:rPr>
          <w:sz w:val="24"/>
          <w:szCs w:val="24"/>
        </w:rPr>
        <w:t xml:space="preserve"> </w:t>
      </w:r>
      <w:r w:rsidR="00784FB2">
        <w:rPr>
          <w:sz w:val="24"/>
          <w:szCs w:val="24"/>
        </w:rPr>
        <w:t xml:space="preserve">above </w:t>
      </w:r>
      <w:r w:rsidR="00784FB2" w:rsidRPr="00651E65">
        <w:rPr>
          <w:sz w:val="24"/>
          <w:szCs w:val="24"/>
        </w:rPr>
        <w:t xml:space="preserve">10 cm. </w:t>
      </w:r>
      <w:proofErr w:type="gramStart"/>
      <w:r w:rsidRPr="00651E65">
        <w:rPr>
          <w:sz w:val="24"/>
          <w:szCs w:val="24"/>
        </w:rPr>
        <w:t>Below</w:t>
      </w:r>
      <w:proofErr w:type="gramEnd"/>
      <w:r w:rsidR="004F4F3F">
        <w:rPr>
          <w:sz w:val="24"/>
          <w:szCs w:val="24"/>
        </w:rPr>
        <w:t xml:space="preserve"> simulated depths of</w:t>
      </w:r>
      <w:r w:rsidRPr="00651E65">
        <w:rPr>
          <w:sz w:val="24"/>
          <w:szCs w:val="24"/>
        </w:rPr>
        <w:t xml:space="preserve"> 10 cm</w:t>
      </w:r>
      <w:r w:rsidR="004F4F3F">
        <w:rPr>
          <w:sz w:val="24"/>
          <w:szCs w:val="24"/>
        </w:rPr>
        <w:t>,</w:t>
      </w:r>
      <w:r w:rsidRPr="00651E65">
        <w:rPr>
          <w:sz w:val="24"/>
          <w:szCs w:val="24"/>
        </w:rPr>
        <w:t xml:space="preserve"> the concentration value</w:t>
      </w:r>
      <w:r w:rsidR="0056533B">
        <w:rPr>
          <w:sz w:val="24"/>
          <w:szCs w:val="24"/>
        </w:rPr>
        <w:t>s</w:t>
      </w:r>
      <w:r w:rsidRPr="00651E65">
        <w:rPr>
          <w:sz w:val="24"/>
          <w:szCs w:val="24"/>
        </w:rPr>
        <w:t xml:space="preserve"> returned </w:t>
      </w:r>
      <w:r w:rsidR="0056533B">
        <w:rPr>
          <w:sz w:val="24"/>
          <w:szCs w:val="24"/>
        </w:rPr>
        <w:t>are</w:t>
      </w:r>
      <w:r w:rsidRPr="00651E65">
        <w:rPr>
          <w:sz w:val="24"/>
          <w:szCs w:val="24"/>
        </w:rPr>
        <w:t xml:space="preserve"> negative</w:t>
      </w:r>
      <w:r w:rsidR="004F4F3F">
        <w:rPr>
          <w:sz w:val="24"/>
          <w:szCs w:val="24"/>
        </w:rPr>
        <w:t xml:space="preserve"> and are ignored in the calculation of mean, median, and geometric mean</w:t>
      </w:r>
      <w:r w:rsidRPr="00651E65">
        <w:rPr>
          <w:sz w:val="24"/>
          <w:szCs w:val="24"/>
        </w:rPr>
        <w:t xml:space="preserve">. Array formulas, a.k.a. CSE formulas, are used </w:t>
      </w:r>
      <w:r w:rsidR="004F4F3F">
        <w:rPr>
          <w:sz w:val="24"/>
          <w:szCs w:val="24"/>
        </w:rPr>
        <w:t xml:space="preserve">in the spreadsheet </w:t>
      </w:r>
      <w:r w:rsidRPr="00651E65">
        <w:rPr>
          <w:sz w:val="24"/>
          <w:szCs w:val="24"/>
        </w:rPr>
        <w:t>to calculate statistics.</w:t>
      </w:r>
      <w:r w:rsidR="00A17E98">
        <w:rPr>
          <w:sz w:val="24"/>
          <w:szCs w:val="24"/>
        </w:rPr>
        <w:t xml:space="preserve"> Statistics are calculated using the final 5-years of simulation, 2006-2010. This allows the model to “spin up” for 2 years. Initial storage is calculated as the steady-state value for 10 ppb TP surface water concentration.</w:t>
      </w:r>
    </w:p>
    <w:p w:rsidR="00E01576" w:rsidRPr="00A67CD1" w:rsidRDefault="00E63BF2" w:rsidP="00E01576">
      <w:pPr>
        <w:rPr>
          <w:b/>
          <w:sz w:val="24"/>
          <w:szCs w:val="24"/>
        </w:rPr>
      </w:pPr>
      <w:r>
        <w:rPr>
          <w:b/>
          <w:sz w:val="24"/>
          <w:szCs w:val="24"/>
        </w:rPr>
        <w:t>Result</w:t>
      </w:r>
      <w:r w:rsidR="00A67CD1" w:rsidRPr="00A67CD1">
        <w:rPr>
          <w:b/>
          <w:sz w:val="24"/>
          <w:szCs w:val="24"/>
        </w:rPr>
        <w:t>s</w:t>
      </w:r>
      <w:r>
        <w:rPr>
          <w:b/>
          <w:sz w:val="24"/>
          <w:szCs w:val="24"/>
        </w:rPr>
        <w:t xml:space="preserve"> and Discussion</w:t>
      </w:r>
      <w:r w:rsidR="00A67CD1" w:rsidRPr="00A67CD1">
        <w:rPr>
          <w:b/>
          <w:sz w:val="24"/>
          <w:szCs w:val="24"/>
        </w:rPr>
        <w:t>:</w:t>
      </w:r>
    </w:p>
    <w:p w:rsidR="005416A3" w:rsidRDefault="005D152B" w:rsidP="00E01576">
      <w:pPr>
        <w:rPr>
          <w:sz w:val="24"/>
          <w:szCs w:val="24"/>
        </w:rPr>
      </w:pPr>
      <w:r>
        <w:rPr>
          <w:sz w:val="24"/>
          <w:szCs w:val="24"/>
        </w:rPr>
        <w:t>The 3 scaled inflow concentrations at cell C3</w:t>
      </w:r>
      <w:r w:rsidR="00670F9F">
        <w:rPr>
          <w:sz w:val="24"/>
          <w:szCs w:val="24"/>
        </w:rPr>
        <w:t xml:space="preserve"> (STA-1W)</w:t>
      </w:r>
      <w:r>
        <w:rPr>
          <w:sz w:val="24"/>
          <w:szCs w:val="24"/>
        </w:rPr>
        <w:t xml:space="preserve"> were 21.90, 11.59, and </w:t>
      </w:r>
      <w:r w:rsidR="00670F9F">
        <w:rPr>
          <w:sz w:val="24"/>
          <w:szCs w:val="24"/>
        </w:rPr>
        <w:t>6.13 ppb.</w:t>
      </w:r>
      <w:r w:rsidR="005416A3">
        <w:rPr>
          <w:sz w:val="24"/>
          <w:szCs w:val="24"/>
        </w:rPr>
        <w:t xml:space="preserve"> With an inflow</w:t>
      </w:r>
      <w:r w:rsidR="00692C3E">
        <w:rPr>
          <w:sz w:val="24"/>
          <w:szCs w:val="24"/>
        </w:rPr>
        <w:t xml:space="preserve"> TP</w:t>
      </w:r>
      <w:r w:rsidR="005416A3">
        <w:rPr>
          <w:sz w:val="24"/>
          <w:szCs w:val="24"/>
        </w:rPr>
        <w:t xml:space="preserve"> geometric mean </w:t>
      </w:r>
      <w:r w:rsidR="00035224">
        <w:rPr>
          <w:sz w:val="24"/>
          <w:szCs w:val="24"/>
        </w:rPr>
        <w:t xml:space="preserve">concentration </w:t>
      </w:r>
      <w:r w:rsidR="005416A3">
        <w:rPr>
          <w:sz w:val="24"/>
          <w:szCs w:val="24"/>
        </w:rPr>
        <w:t>(GM) into canal cell C3 (STA-1W) of 10 ppb, the canal GM TP in C3 is predicted to be 12.3 ppb.</w:t>
      </w:r>
      <w:r w:rsidR="00670F9F">
        <w:rPr>
          <w:sz w:val="24"/>
          <w:szCs w:val="24"/>
        </w:rPr>
        <w:t xml:space="preserve"> </w:t>
      </w:r>
    </w:p>
    <w:p w:rsidR="00A67CD1" w:rsidRDefault="00296EAD" w:rsidP="00E01576">
      <w:pPr>
        <w:rPr>
          <w:sz w:val="24"/>
          <w:szCs w:val="24"/>
        </w:rPr>
      </w:pPr>
      <w:r>
        <w:rPr>
          <w:sz w:val="24"/>
          <w:szCs w:val="24"/>
        </w:rPr>
        <w:t xml:space="preserve">Phosphorus enters the Refuge through inflow and both wet and dry aerial deposition. At very high TP inflow concentration the aerial loading is </w:t>
      </w:r>
      <w:r w:rsidR="00035224">
        <w:rPr>
          <w:sz w:val="24"/>
          <w:szCs w:val="24"/>
        </w:rPr>
        <w:t xml:space="preserve">inconsequential, but at extremely low inflow concentration aerial loading is important. </w:t>
      </w:r>
      <w:r w:rsidR="00444567">
        <w:rPr>
          <w:sz w:val="24"/>
          <w:szCs w:val="24"/>
        </w:rPr>
        <w:t>The m</w:t>
      </w:r>
      <w:r w:rsidR="005416A3">
        <w:rPr>
          <w:sz w:val="24"/>
          <w:szCs w:val="24"/>
        </w:rPr>
        <w:t>odel predicts that the ratio of GM</w:t>
      </w:r>
      <w:r w:rsidR="00444567">
        <w:rPr>
          <w:sz w:val="24"/>
          <w:szCs w:val="24"/>
        </w:rPr>
        <w:t xml:space="preserve"> canal TP to inflow GM </w:t>
      </w:r>
      <w:r w:rsidR="00A024C1">
        <w:rPr>
          <w:sz w:val="24"/>
          <w:szCs w:val="24"/>
        </w:rPr>
        <w:t>in cell C3</w:t>
      </w:r>
      <w:r w:rsidR="00444567">
        <w:rPr>
          <w:sz w:val="24"/>
          <w:szCs w:val="24"/>
        </w:rPr>
        <w:t>decreases as inflow concentration increases</w:t>
      </w:r>
      <w:r w:rsidR="002A0A1D">
        <w:rPr>
          <w:sz w:val="24"/>
          <w:szCs w:val="24"/>
        </w:rPr>
        <w:t xml:space="preserve"> asymptotically approaching </w:t>
      </w:r>
      <w:r w:rsidR="005416A3">
        <w:rPr>
          <w:sz w:val="24"/>
          <w:szCs w:val="24"/>
        </w:rPr>
        <w:t>over</w:t>
      </w:r>
      <w:r w:rsidR="00670F9F">
        <w:rPr>
          <w:sz w:val="24"/>
          <w:szCs w:val="24"/>
        </w:rPr>
        <w:t xml:space="preserve"> </w:t>
      </w:r>
      <w:r w:rsidR="002A0A1D">
        <w:rPr>
          <w:sz w:val="24"/>
          <w:szCs w:val="24"/>
        </w:rPr>
        <w:t>71% at high concentration</w:t>
      </w:r>
      <w:r w:rsidR="00444567">
        <w:rPr>
          <w:sz w:val="24"/>
          <w:szCs w:val="24"/>
        </w:rPr>
        <w:t>. This is reasonable because with higher inflow concentrati</w:t>
      </w:r>
      <w:r w:rsidR="00790AB2">
        <w:rPr>
          <w:sz w:val="24"/>
          <w:szCs w:val="24"/>
        </w:rPr>
        <w:t>ons the marsh runoff and mixing</w:t>
      </w:r>
      <w:r w:rsidR="00444567">
        <w:rPr>
          <w:sz w:val="24"/>
          <w:szCs w:val="24"/>
        </w:rPr>
        <w:t xml:space="preserve"> </w:t>
      </w:r>
      <w:r>
        <w:rPr>
          <w:sz w:val="24"/>
          <w:szCs w:val="24"/>
        </w:rPr>
        <w:t>dilute canal water, while</w:t>
      </w:r>
      <w:r w:rsidR="00444567">
        <w:rPr>
          <w:sz w:val="24"/>
          <w:szCs w:val="24"/>
        </w:rPr>
        <w:t xml:space="preserve"> at low</w:t>
      </w:r>
      <w:r w:rsidR="00670F9F">
        <w:rPr>
          <w:sz w:val="24"/>
          <w:szCs w:val="24"/>
        </w:rPr>
        <w:t>er</w:t>
      </w:r>
      <w:r w:rsidR="00444567">
        <w:rPr>
          <w:sz w:val="24"/>
          <w:szCs w:val="24"/>
        </w:rPr>
        <w:t xml:space="preserve"> </w:t>
      </w:r>
      <w:r w:rsidR="00790AB2">
        <w:rPr>
          <w:sz w:val="24"/>
          <w:szCs w:val="24"/>
        </w:rPr>
        <w:t xml:space="preserve">inflow </w:t>
      </w:r>
      <w:r w:rsidR="00444567">
        <w:rPr>
          <w:sz w:val="24"/>
          <w:szCs w:val="24"/>
        </w:rPr>
        <w:t>concentrations</w:t>
      </w:r>
      <w:r>
        <w:rPr>
          <w:sz w:val="24"/>
          <w:szCs w:val="24"/>
        </w:rPr>
        <w:t xml:space="preserve"> that are</w:t>
      </w:r>
      <w:r w:rsidR="00790AB2">
        <w:rPr>
          <w:sz w:val="24"/>
          <w:szCs w:val="24"/>
        </w:rPr>
        <w:t xml:space="preserve"> </w:t>
      </w:r>
      <w:r w:rsidR="00790AB2">
        <w:rPr>
          <w:sz w:val="24"/>
          <w:szCs w:val="24"/>
        </w:rPr>
        <w:lastRenderedPageBreak/>
        <w:t xml:space="preserve">near the marsh concentration, mixing with marsh water has little </w:t>
      </w:r>
      <w:r>
        <w:rPr>
          <w:sz w:val="24"/>
          <w:szCs w:val="24"/>
        </w:rPr>
        <w:t>effect on canal concentration. Further, i</w:t>
      </w:r>
      <w:r w:rsidR="00790AB2">
        <w:rPr>
          <w:sz w:val="24"/>
          <w:szCs w:val="24"/>
        </w:rPr>
        <w:t xml:space="preserve">n the extreme case of zero TP inflow concentration, the canal would still have </w:t>
      </w:r>
      <w:r w:rsidR="005303FE">
        <w:rPr>
          <w:sz w:val="24"/>
          <w:szCs w:val="24"/>
        </w:rPr>
        <w:t>measurable TP as marsh water loaded by aerial deposition mix</w:t>
      </w:r>
      <w:r w:rsidR="00035224">
        <w:rPr>
          <w:sz w:val="24"/>
          <w:szCs w:val="24"/>
        </w:rPr>
        <w:t>es</w:t>
      </w:r>
      <w:r w:rsidR="005303FE">
        <w:rPr>
          <w:sz w:val="24"/>
          <w:szCs w:val="24"/>
        </w:rPr>
        <w:t xml:space="preserve"> into the canal resulting in a </w:t>
      </w:r>
      <w:r w:rsidR="0056533B">
        <w:rPr>
          <w:sz w:val="24"/>
          <w:szCs w:val="24"/>
        </w:rPr>
        <w:t xml:space="preserve">predicted </w:t>
      </w:r>
      <w:r w:rsidR="005303FE">
        <w:rPr>
          <w:sz w:val="24"/>
          <w:szCs w:val="24"/>
        </w:rPr>
        <w:t>canal TP GM</w:t>
      </w:r>
      <w:r w:rsidR="00035224">
        <w:rPr>
          <w:sz w:val="24"/>
          <w:szCs w:val="24"/>
        </w:rPr>
        <w:t xml:space="preserve"> </w:t>
      </w:r>
      <w:r w:rsidR="005303FE">
        <w:rPr>
          <w:sz w:val="24"/>
          <w:szCs w:val="24"/>
        </w:rPr>
        <w:t>around 5 ppb.</w:t>
      </w:r>
    </w:p>
    <w:p w:rsidR="00FD5D38" w:rsidRDefault="00F25748" w:rsidP="00E01576">
      <w:pPr>
        <w:rPr>
          <w:sz w:val="24"/>
          <w:szCs w:val="24"/>
        </w:rPr>
      </w:pPr>
      <w:r>
        <w:rPr>
          <w:sz w:val="24"/>
          <w:szCs w:val="24"/>
        </w:rPr>
        <w:t xml:space="preserve">Sensitivity of cells to changing inflow concentration </w:t>
      </w:r>
      <w:r w:rsidR="00692C3E">
        <w:rPr>
          <w:sz w:val="24"/>
          <w:szCs w:val="24"/>
        </w:rPr>
        <w:t>is</w:t>
      </w:r>
      <w:r>
        <w:rPr>
          <w:sz w:val="24"/>
          <w:szCs w:val="24"/>
        </w:rPr>
        <w:t xml:space="preserve"> measured </w:t>
      </w:r>
      <w:r w:rsidR="00692C3E">
        <w:rPr>
          <w:sz w:val="24"/>
          <w:szCs w:val="24"/>
        </w:rPr>
        <w:t xml:space="preserve">here </w:t>
      </w:r>
      <w:r>
        <w:rPr>
          <w:sz w:val="24"/>
          <w:szCs w:val="24"/>
        </w:rPr>
        <w:t>by the change in cell GM divided by the change in C3 inflow GM expressed as a percentage</w:t>
      </w:r>
      <w:r w:rsidR="00692C3E">
        <w:rPr>
          <w:sz w:val="24"/>
          <w:szCs w:val="24"/>
        </w:rPr>
        <w:t xml:space="preserve"> (Table 1)</w:t>
      </w:r>
      <w:r>
        <w:rPr>
          <w:sz w:val="24"/>
          <w:szCs w:val="24"/>
        </w:rPr>
        <w:t>.</w:t>
      </w:r>
      <w:r w:rsidR="00E2134E">
        <w:rPr>
          <w:sz w:val="24"/>
          <w:szCs w:val="24"/>
        </w:rPr>
        <w:t xml:space="preserve"> Canal cell C3 is most sensitive to inflow TP concentration change, 71.6%.</w:t>
      </w:r>
      <w:r>
        <w:rPr>
          <w:sz w:val="24"/>
          <w:szCs w:val="24"/>
        </w:rPr>
        <w:t xml:space="preserve"> </w:t>
      </w:r>
      <w:r w:rsidR="00E2134E">
        <w:rPr>
          <w:sz w:val="24"/>
          <w:szCs w:val="24"/>
        </w:rPr>
        <w:t>This predicts that a 1 ppb reduction in inflow GM</w:t>
      </w:r>
      <w:r w:rsidR="006E785B">
        <w:rPr>
          <w:sz w:val="24"/>
          <w:szCs w:val="24"/>
        </w:rPr>
        <w:t xml:space="preserve"> into C3</w:t>
      </w:r>
      <w:r w:rsidR="00E2134E">
        <w:rPr>
          <w:sz w:val="24"/>
          <w:szCs w:val="24"/>
        </w:rPr>
        <w:t xml:space="preserve"> will result in a 0.716 ppb</w:t>
      </w:r>
      <w:r w:rsidR="006E785B">
        <w:rPr>
          <w:sz w:val="24"/>
          <w:szCs w:val="24"/>
        </w:rPr>
        <w:t xml:space="preserve"> reduction in the canal</w:t>
      </w:r>
      <w:r w:rsidR="00455EB9">
        <w:rPr>
          <w:sz w:val="24"/>
          <w:szCs w:val="24"/>
        </w:rPr>
        <w:t xml:space="preserve"> GM</w:t>
      </w:r>
      <w:r w:rsidR="006E785B">
        <w:rPr>
          <w:sz w:val="24"/>
          <w:szCs w:val="24"/>
        </w:rPr>
        <w:t xml:space="preserve"> at this point</w:t>
      </w:r>
      <w:r w:rsidR="00E2134E">
        <w:rPr>
          <w:sz w:val="24"/>
          <w:szCs w:val="24"/>
        </w:rPr>
        <w:t xml:space="preserve">. </w:t>
      </w:r>
      <w:r>
        <w:rPr>
          <w:sz w:val="24"/>
          <w:szCs w:val="24"/>
        </w:rPr>
        <w:t>Marsh cell 16 (M16),</w:t>
      </w:r>
      <w:r w:rsidR="00FD5D38">
        <w:rPr>
          <w:sz w:val="24"/>
          <w:szCs w:val="24"/>
        </w:rPr>
        <w:t xml:space="preserve"> the cell adjacent to canal cell C3</w:t>
      </w:r>
      <w:r>
        <w:rPr>
          <w:sz w:val="24"/>
          <w:szCs w:val="24"/>
        </w:rPr>
        <w:t xml:space="preserve"> which receives STA-1W inflow, is </w:t>
      </w:r>
      <w:r w:rsidR="00455EB9">
        <w:rPr>
          <w:sz w:val="24"/>
          <w:szCs w:val="24"/>
        </w:rPr>
        <w:t xml:space="preserve">the </w:t>
      </w:r>
      <w:r>
        <w:rPr>
          <w:sz w:val="24"/>
          <w:szCs w:val="24"/>
        </w:rPr>
        <w:t>most sensitive</w:t>
      </w:r>
      <w:r w:rsidR="00455EB9">
        <w:rPr>
          <w:sz w:val="24"/>
          <w:szCs w:val="24"/>
        </w:rPr>
        <w:t xml:space="preserve"> marsh cell</w:t>
      </w:r>
      <w:r>
        <w:rPr>
          <w:sz w:val="24"/>
          <w:szCs w:val="24"/>
        </w:rPr>
        <w:t xml:space="preserve"> to inflow TP concentration change, 26.5%.</w:t>
      </w:r>
      <w:r w:rsidR="00FD5D38">
        <w:rPr>
          <w:sz w:val="24"/>
          <w:szCs w:val="24"/>
        </w:rPr>
        <w:t xml:space="preserve"> </w:t>
      </w:r>
      <w:r w:rsidR="00893204">
        <w:rPr>
          <w:sz w:val="24"/>
          <w:szCs w:val="24"/>
        </w:rPr>
        <w:t xml:space="preserve">The marsh cell least sensitive to inflow concentration is marsh cell M37 which has a sensitivity of 0.2%. </w:t>
      </w:r>
    </w:p>
    <w:p w:rsidR="006F247E" w:rsidRDefault="0071059C" w:rsidP="006F247E">
      <w:pPr>
        <w:rPr>
          <w:sz w:val="24"/>
          <w:szCs w:val="24"/>
        </w:rPr>
      </w:pPr>
      <w:r>
        <w:rPr>
          <w:sz w:val="24"/>
          <w:szCs w:val="24"/>
        </w:rPr>
        <w:t xml:space="preserve">The model predicts that even under a very low inflow concentration scenario, much of the Refuge marsh will not achieve a long term GM of 10 ppb. </w:t>
      </w:r>
      <w:r w:rsidR="00D82D40">
        <w:rPr>
          <w:sz w:val="24"/>
          <w:szCs w:val="24"/>
        </w:rPr>
        <w:t>The area</w:t>
      </w:r>
      <w:r w:rsidR="004E68A9">
        <w:rPr>
          <w:sz w:val="24"/>
          <w:szCs w:val="24"/>
        </w:rPr>
        <w:t xml:space="preserve"> predicted to have </w:t>
      </w:r>
      <w:r w:rsidR="00D82D40">
        <w:rPr>
          <w:sz w:val="24"/>
          <w:szCs w:val="24"/>
        </w:rPr>
        <w:t>high</w:t>
      </w:r>
      <w:r w:rsidR="004E68A9">
        <w:rPr>
          <w:sz w:val="24"/>
          <w:szCs w:val="24"/>
        </w:rPr>
        <w:t>er GM concentrations</w:t>
      </w:r>
      <w:r w:rsidR="00D82D40">
        <w:rPr>
          <w:sz w:val="24"/>
          <w:szCs w:val="24"/>
        </w:rPr>
        <w:t xml:space="preserve"> not meeting a 10 ppb criterion</w:t>
      </w:r>
      <w:r w:rsidR="004E68A9">
        <w:rPr>
          <w:sz w:val="24"/>
          <w:szCs w:val="24"/>
        </w:rPr>
        <w:t xml:space="preserve"> is in the northern and eastern marsh. </w:t>
      </w:r>
      <w:r>
        <w:rPr>
          <w:sz w:val="24"/>
          <w:szCs w:val="24"/>
        </w:rPr>
        <w:t xml:space="preserve">The area achieving 10 ppb is restricted to the southern Refuge marsh corresponding to deeper water. In part, this prediction may be biased by </w:t>
      </w:r>
      <w:r w:rsidR="00D82D40">
        <w:rPr>
          <w:sz w:val="24"/>
          <w:szCs w:val="24"/>
        </w:rPr>
        <w:t>constraining depth to a</w:t>
      </w:r>
      <w:r w:rsidR="00692C3E">
        <w:rPr>
          <w:sz w:val="24"/>
          <w:szCs w:val="24"/>
        </w:rPr>
        <w:t xml:space="preserve"> 10 cm</w:t>
      </w:r>
      <w:r>
        <w:rPr>
          <w:sz w:val="24"/>
          <w:szCs w:val="24"/>
        </w:rPr>
        <w:t xml:space="preserve"> cut off </w:t>
      </w:r>
      <w:r w:rsidR="00D82D40">
        <w:rPr>
          <w:sz w:val="24"/>
          <w:szCs w:val="24"/>
        </w:rPr>
        <w:t xml:space="preserve">in </w:t>
      </w:r>
      <w:r>
        <w:rPr>
          <w:sz w:val="24"/>
          <w:szCs w:val="24"/>
        </w:rPr>
        <w:t xml:space="preserve">statistical analysis. </w:t>
      </w:r>
      <w:r w:rsidR="00FA75E8">
        <w:rPr>
          <w:sz w:val="24"/>
          <w:szCs w:val="24"/>
        </w:rPr>
        <w:t>Field sampling is not allowed at clear water depth less than 10 cm, and this would correspond to deeper, but unpredicted, total water column depth.</w:t>
      </w:r>
      <w:r w:rsidR="004E68A9">
        <w:rPr>
          <w:sz w:val="24"/>
          <w:szCs w:val="24"/>
        </w:rPr>
        <w:t xml:space="preserve"> It is also important to remember that this analysis only uses 5 years of predictions, and these years are not representative of a longer time period. </w:t>
      </w:r>
    </w:p>
    <w:p w:rsidR="006F247E" w:rsidRPr="00651E65" w:rsidRDefault="006F247E" w:rsidP="006F247E">
      <w:pPr>
        <w:rPr>
          <w:sz w:val="24"/>
          <w:szCs w:val="24"/>
        </w:rPr>
      </w:pPr>
      <w:r>
        <w:rPr>
          <w:sz w:val="24"/>
          <w:szCs w:val="24"/>
        </w:rPr>
        <w:t>The analysis presented here uses predicted surface water TP concentration. The marsh TP storage model variable may be a more meaningful ecological predictor of impact, and is more sensitive to changes in inflow TP load. However, because the TP criterion is based on surface water concentration, my analysis focused on this variable.</w:t>
      </w:r>
    </w:p>
    <w:p w:rsidR="000047E1" w:rsidRDefault="000047E1" w:rsidP="00E01576">
      <w:pPr>
        <w:rPr>
          <w:sz w:val="24"/>
          <w:szCs w:val="24"/>
        </w:rPr>
      </w:pPr>
    </w:p>
    <w:p w:rsidR="00E63BF2" w:rsidRPr="00A67CD1" w:rsidRDefault="00E63BF2" w:rsidP="00E63BF2">
      <w:pPr>
        <w:rPr>
          <w:b/>
          <w:sz w:val="24"/>
          <w:szCs w:val="24"/>
        </w:rPr>
      </w:pPr>
      <w:r w:rsidRPr="00A67CD1">
        <w:rPr>
          <w:b/>
          <w:sz w:val="24"/>
          <w:szCs w:val="24"/>
        </w:rPr>
        <w:t>Conclusions:</w:t>
      </w:r>
    </w:p>
    <w:p w:rsidR="00D82D40" w:rsidRDefault="006E785B" w:rsidP="006E785B">
      <w:pPr>
        <w:rPr>
          <w:sz w:val="24"/>
          <w:szCs w:val="24"/>
        </w:rPr>
      </w:pPr>
      <w:r w:rsidRPr="00651E65">
        <w:rPr>
          <w:sz w:val="24"/>
          <w:szCs w:val="24"/>
        </w:rPr>
        <w:t xml:space="preserve">This is a preliminary analysis. </w:t>
      </w:r>
      <w:r>
        <w:rPr>
          <w:sz w:val="24"/>
          <w:szCs w:val="24"/>
        </w:rPr>
        <w:t xml:space="preserve">The purpose was to simply get a semi-quantitative estimate of expected response of the Refuge marsh and canal to </w:t>
      </w:r>
      <w:r w:rsidR="006F247E">
        <w:rPr>
          <w:sz w:val="24"/>
          <w:szCs w:val="24"/>
        </w:rPr>
        <w:t xml:space="preserve">proposed </w:t>
      </w:r>
      <w:r>
        <w:rPr>
          <w:sz w:val="24"/>
          <w:szCs w:val="24"/>
        </w:rPr>
        <w:t xml:space="preserve">future inflow concentration reductions. A more complete analysis, if attempted, should run for more years simulating the planning period under current consideration, and using </w:t>
      </w:r>
      <w:r w:rsidR="002E0696">
        <w:rPr>
          <w:sz w:val="24"/>
          <w:szCs w:val="24"/>
        </w:rPr>
        <w:t xml:space="preserve">precipitation, ET, </w:t>
      </w:r>
      <w:r>
        <w:rPr>
          <w:sz w:val="24"/>
          <w:szCs w:val="24"/>
        </w:rPr>
        <w:t>inflows and concentrations consistent with anticipated future operations</w:t>
      </w:r>
      <w:r w:rsidR="002E0696">
        <w:rPr>
          <w:sz w:val="24"/>
          <w:szCs w:val="24"/>
        </w:rPr>
        <w:t xml:space="preserve"> used in current </w:t>
      </w:r>
      <w:r w:rsidR="00E031F5">
        <w:rPr>
          <w:sz w:val="24"/>
          <w:szCs w:val="24"/>
        </w:rPr>
        <w:t>design modeling used in the SFWMM, RSM, or</w:t>
      </w:r>
      <w:r w:rsidR="002E0696">
        <w:rPr>
          <w:sz w:val="24"/>
          <w:szCs w:val="24"/>
        </w:rPr>
        <w:t xml:space="preserve"> DMSTA models</w:t>
      </w:r>
      <w:r>
        <w:rPr>
          <w:sz w:val="24"/>
          <w:szCs w:val="24"/>
        </w:rPr>
        <w:t>.</w:t>
      </w:r>
    </w:p>
    <w:p w:rsidR="00E01576" w:rsidRPr="00651E65" w:rsidRDefault="00E01576">
      <w:pPr>
        <w:rPr>
          <w:sz w:val="24"/>
          <w:szCs w:val="24"/>
        </w:rPr>
      </w:pPr>
    </w:p>
    <w:p w:rsidR="009E34E8" w:rsidRPr="00651E65" w:rsidRDefault="00651E65">
      <w:pPr>
        <w:rPr>
          <w:b/>
          <w:sz w:val="24"/>
          <w:szCs w:val="24"/>
        </w:rPr>
      </w:pPr>
      <w:r w:rsidRPr="00651E65">
        <w:rPr>
          <w:b/>
          <w:sz w:val="24"/>
          <w:szCs w:val="24"/>
        </w:rPr>
        <w:lastRenderedPageBreak/>
        <w:t>Citation:</w:t>
      </w:r>
    </w:p>
    <w:p w:rsidR="009E34E8" w:rsidRDefault="009E34E8">
      <w:proofErr w:type="spellStart"/>
      <w:r>
        <w:rPr>
          <w:rFonts w:ascii="Arial" w:hAnsi="Arial" w:cs="Arial"/>
          <w:sz w:val="24"/>
          <w:szCs w:val="24"/>
        </w:rPr>
        <w:t>Bazgirkhoob</w:t>
      </w:r>
      <w:proofErr w:type="spellEnd"/>
      <w:r>
        <w:rPr>
          <w:rFonts w:ascii="Arial" w:hAnsi="Arial" w:cs="Arial"/>
          <w:sz w:val="24"/>
          <w:szCs w:val="24"/>
        </w:rPr>
        <w:t xml:space="preserve">, H. (2011). "A.R.M. Loxahatchee National Wildlife Refuge </w:t>
      </w:r>
      <w:proofErr w:type="spellStart"/>
      <w:r>
        <w:rPr>
          <w:rFonts w:ascii="Arial" w:hAnsi="Arial" w:cs="Arial"/>
          <w:sz w:val="24"/>
          <w:szCs w:val="24"/>
        </w:rPr>
        <w:t>Refuge</w:t>
      </w:r>
      <w:proofErr w:type="spellEnd"/>
      <w:r>
        <w:rPr>
          <w:rFonts w:ascii="Arial" w:hAnsi="Arial" w:cs="Arial"/>
          <w:sz w:val="24"/>
          <w:szCs w:val="24"/>
        </w:rPr>
        <w:t xml:space="preserve"> 39-Box Model User’s Manual." </w:t>
      </w:r>
      <w:proofErr w:type="gramStart"/>
      <w:r>
        <w:rPr>
          <w:rFonts w:ascii="Arial" w:hAnsi="Arial" w:cs="Arial"/>
          <w:sz w:val="24"/>
          <w:szCs w:val="24"/>
        </w:rPr>
        <w:t>Prepared for the U.S. Fish and Wildlife Service under a cooperative-agreement with the University of Louisiana-Lafayette.</w:t>
      </w:r>
      <w:proofErr w:type="gramEnd"/>
    </w:p>
    <w:p w:rsidR="00860FF8" w:rsidRDefault="00860FF8">
      <w:r>
        <w:br w:type="page"/>
      </w:r>
    </w:p>
    <w:p w:rsidR="00783233" w:rsidRDefault="00783233">
      <w:proofErr w:type="gramStart"/>
      <w:r w:rsidRPr="00783233">
        <w:rPr>
          <w:b/>
        </w:rPr>
        <w:lastRenderedPageBreak/>
        <w:t>Table 1.</w:t>
      </w:r>
      <w:proofErr w:type="gramEnd"/>
      <w:r>
        <w:t xml:space="preserve">  </w:t>
      </w:r>
      <w:proofErr w:type="gramStart"/>
      <w:r>
        <w:t>Predicted 5-year GM under the 3 scenarios of inflow concentration scaling.</w:t>
      </w:r>
      <w:proofErr w:type="gramEnd"/>
    </w:p>
    <w:tbl>
      <w:tblPr>
        <w:tblW w:w="6428" w:type="dxa"/>
        <w:tblInd w:w="108" w:type="dxa"/>
        <w:tblLook w:val="04A0"/>
      </w:tblPr>
      <w:tblGrid>
        <w:gridCol w:w="1495"/>
        <w:gridCol w:w="967"/>
        <w:gridCol w:w="967"/>
        <w:gridCol w:w="962"/>
        <w:gridCol w:w="1160"/>
        <w:gridCol w:w="1054"/>
      </w:tblGrid>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rPr>
                <w:rFonts w:ascii="Calibri" w:eastAsia="Times New Roman" w:hAnsi="Calibri" w:cs="Times New Roman"/>
                <w:color w:val="000000"/>
              </w:rPr>
            </w:pPr>
          </w:p>
        </w:tc>
        <w:tc>
          <w:tcPr>
            <w:tcW w:w="2896" w:type="dxa"/>
            <w:gridSpan w:val="3"/>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b/>
                <w:bCs/>
                <w:color w:val="000000"/>
              </w:rPr>
            </w:pPr>
            <w:r w:rsidRPr="00783233">
              <w:rPr>
                <w:rFonts w:ascii="Calibri" w:eastAsia="Times New Roman" w:hAnsi="Calibri" w:cs="Times New Roman"/>
                <w:b/>
                <w:bCs/>
                <w:color w:val="000000"/>
              </w:rPr>
              <w:t>C3in GM</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rPr>
                <w:rFonts w:ascii="Calibri" w:eastAsia="Times New Roman" w:hAnsi="Calibri" w:cs="Times New Roman"/>
                <w:b/>
                <w:bCs/>
                <w:color w:val="000000"/>
              </w:rPr>
            </w:pP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rPr>
                <w:rFonts w:ascii="Calibri" w:eastAsia="Times New Roman" w:hAnsi="Calibri" w:cs="Times New Roman"/>
                <w:b/>
                <w:bCs/>
                <w:color w:val="000000"/>
              </w:rPr>
            </w:pPr>
          </w:p>
        </w:tc>
      </w:tr>
      <w:tr w:rsidR="00783233" w:rsidRPr="00783233" w:rsidTr="00783233">
        <w:trPr>
          <w:trHeight w:val="315"/>
        </w:trPr>
        <w:tc>
          <w:tcPr>
            <w:tcW w:w="1440" w:type="dxa"/>
            <w:tcBorders>
              <w:top w:val="nil"/>
              <w:left w:val="nil"/>
              <w:bottom w:val="single" w:sz="8" w:space="0" w:color="auto"/>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b/>
                <w:bCs/>
                <w:color w:val="000000"/>
              </w:rPr>
            </w:pPr>
            <w:r w:rsidRPr="00783233">
              <w:rPr>
                <w:rFonts w:ascii="Calibri" w:eastAsia="Times New Roman" w:hAnsi="Calibri" w:cs="Times New Roman"/>
                <w:b/>
                <w:bCs/>
                <w:color w:val="000000"/>
              </w:rPr>
              <w:t>Compartment</w:t>
            </w:r>
          </w:p>
        </w:tc>
        <w:tc>
          <w:tcPr>
            <w:tcW w:w="967" w:type="dxa"/>
            <w:tcBorders>
              <w:top w:val="nil"/>
              <w:left w:val="nil"/>
              <w:bottom w:val="single" w:sz="8"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b/>
                <w:bCs/>
                <w:color w:val="000000"/>
              </w:rPr>
            </w:pPr>
            <w:r w:rsidRPr="00783233">
              <w:rPr>
                <w:rFonts w:ascii="Calibri" w:eastAsia="Times New Roman" w:hAnsi="Calibri" w:cs="Times New Roman"/>
                <w:b/>
                <w:bCs/>
                <w:color w:val="000000"/>
              </w:rPr>
              <w:t>21.90</w:t>
            </w:r>
          </w:p>
        </w:tc>
        <w:tc>
          <w:tcPr>
            <w:tcW w:w="967" w:type="dxa"/>
            <w:tcBorders>
              <w:top w:val="nil"/>
              <w:left w:val="nil"/>
              <w:bottom w:val="single" w:sz="8"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b/>
                <w:bCs/>
                <w:color w:val="000000"/>
              </w:rPr>
            </w:pPr>
            <w:r w:rsidRPr="00783233">
              <w:rPr>
                <w:rFonts w:ascii="Calibri" w:eastAsia="Times New Roman" w:hAnsi="Calibri" w:cs="Times New Roman"/>
                <w:b/>
                <w:bCs/>
                <w:color w:val="000000"/>
              </w:rPr>
              <w:t>11.59</w:t>
            </w:r>
          </w:p>
        </w:tc>
        <w:tc>
          <w:tcPr>
            <w:tcW w:w="962" w:type="dxa"/>
            <w:tcBorders>
              <w:top w:val="nil"/>
              <w:left w:val="nil"/>
              <w:bottom w:val="single" w:sz="8"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b/>
                <w:bCs/>
                <w:color w:val="000000"/>
              </w:rPr>
            </w:pPr>
            <w:r w:rsidRPr="00783233">
              <w:rPr>
                <w:rFonts w:ascii="Calibri" w:eastAsia="Times New Roman" w:hAnsi="Calibri" w:cs="Times New Roman"/>
                <w:b/>
                <w:bCs/>
                <w:color w:val="000000"/>
              </w:rPr>
              <w:t>6.13</w:t>
            </w:r>
          </w:p>
        </w:tc>
        <w:tc>
          <w:tcPr>
            <w:tcW w:w="1116" w:type="dxa"/>
            <w:tcBorders>
              <w:top w:val="nil"/>
              <w:left w:val="nil"/>
              <w:bottom w:val="single" w:sz="8" w:space="0" w:color="auto"/>
              <w:right w:val="nil"/>
            </w:tcBorders>
            <w:shd w:val="clear" w:color="auto" w:fill="auto"/>
            <w:noWrap/>
            <w:vAlign w:val="bottom"/>
            <w:hideMark/>
          </w:tcPr>
          <w:p w:rsidR="00783233" w:rsidRPr="00783233" w:rsidRDefault="00783233" w:rsidP="00783233">
            <w:pPr>
              <w:spacing w:after="0" w:line="240" w:lineRule="auto"/>
              <w:rPr>
                <w:rFonts w:ascii="Calibri" w:eastAsia="Times New Roman" w:hAnsi="Calibri" w:cs="Times New Roman"/>
                <w:b/>
                <w:bCs/>
                <w:color w:val="000000"/>
              </w:rPr>
            </w:pPr>
            <w:r w:rsidRPr="00783233">
              <w:rPr>
                <w:rFonts w:ascii="Calibri" w:eastAsia="Times New Roman" w:hAnsi="Calibri" w:cs="Times New Roman"/>
                <w:b/>
                <w:bCs/>
                <w:color w:val="000000"/>
              </w:rPr>
              <w:t>Sensitivity</w:t>
            </w:r>
          </w:p>
        </w:tc>
        <w:tc>
          <w:tcPr>
            <w:tcW w:w="976" w:type="dxa"/>
            <w:tcBorders>
              <w:top w:val="nil"/>
              <w:left w:val="nil"/>
              <w:bottom w:val="single" w:sz="8" w:space="0" w:color="auto"/>
              <w:right w:val="nil"/>
            </w:tcBorders>
            <w:shd w:val="clear" w:color="auto" w:fill="auto"/>
            <w:noWrap/>
            <w:vAlign w:val="bottom"/>
            <w:hideMark/>
          </w:tcPr>
          <w:p w:rsidR="00783233" w:rsidRPr="00783233" w:rsidRDefault="00783233" w:rsidP="00783233">
            <w:pPr>
              <w:spacing w:after="0" w:line="240" w:lineRule="auto"/>
              <w:rPr>
                <w:rFonts w:ascii="Calibri" w:eastAsia="Times New Roman" w:hAnsi="Calibri" w:cs="Times New Roman"/>
                <w:b/>
                <w:bCs/>
                <w:color w:val="000000"/>
              </w:rPr>
            </w:pPr>
            <w:proofErr w:type="spellStart"/>
            <w:r w:rsidRPr="00783233">
              <w:rPr>
                <w:rFonts w:ascii="Calibri" w:eastAsia="Times New Roman" w:hAnsi="Calibri" w:cs="Times New Roman"/>
                <w:b/>
                <w:bCs/>
                <w:color w:val="000000"/>
              </w:rPr>
              <w:t>GMin</w:t>
            </w:r>
            <w:proofErr w:type="spellEnd"/>
            <w:r w:rsidRPr="00783233">
              <w:rPr>
                <w:rFonts w:ascii="Calibri" w:eastAsia="Times New Roman" w:hAnsi="Calibri" w:cs="Times New Roman"/>
                <w:b/>
                <w:bCs/>
                <w:color w:val="000000"/>
              </w:rPr>
              <w:t>=10</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18.90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12.80</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9.39</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60.3%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11.81</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19.54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13.23</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9.72</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62.3%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12.21</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20.79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13.55</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9.49</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71.6%</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12.37</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19.60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13.13</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9.48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64.2%</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12.07</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18.46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12.84</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9.64</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55.9%</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11.91</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15.34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11.80</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9.68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35.9%</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11.18</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7</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14.47</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11.39</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9.56</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31.1%</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10.86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14.56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11.38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9.50</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32.1%</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10.84</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16.21</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11.58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8.87</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46.6%</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10.79</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17.65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11.67</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8.30</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59.3%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10.69</w:t>
            </w:r>
          </w:p>
        </w:tc>
      </w:tr>
      <w:tr w:rsidR="00783233" w:rsidRPr="00783233" w:rsidTr="00783233">
        <w:trPr>
          <w:trHeight w:val="300"/>
        </w:trPr>
        <w:tc>
          <w:tcPr>
            <w:tcW w:w="1440" w:type="dxa"/>
            <w:tcBorders>
              <w:top w:val="nil"/>
              <w:left w:val="nil"/>
              <w:bottom w:val="single" w:sz="4" w:space="0" w:color="auto"/>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11</w:t>
            </w:r>
          </w:p>
        </w:tc>
        <w:tc>
          <w:tcPr>
            <w:tcW w:w="967" w:type="dxa"/>
            <w:tcBorders>
              <w:top w:val="nil"/>
              <w:left w:val="nil"/>
              <w:bottom w:val="single" w:sz="4"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18.68</w:t>
            </w:r>
          </w:p>
        </w:tc>
        <w:tc>
          <w:tcPr>
            <w:tcW w:w="967" w:type="dxa"/>
            <w:tcBorders>
              <w:top w:val="nil"/>
              <w:left w:val="nil"/>
              <w:bottom w:val="single" w:sz="4"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12.83</w:t>
            </w:r>
          </w:p>
        </w:tc>
        <w:tc>
          <w:tcPr>
            <w:tcW w:w="962" w:type="dxa"/>
            <w:tcBorders>
              <w:top w:val="nil"/>
              <w:left w:val="nil"/>
              <w:bottom w:val="single" w:sz="4"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9.54</w:t>
            </w:r>
          </w:p>
        </w:tc>
        <w:tc>
          <w:tcPr>
            <w:tcW w:w="1116" w:type="dxa"/>
            <w:tcBorders>
              <w:top w:val="nil"/>
              <w:left w:val="nil"/>
              <w:bottom w:val="single" w:sz="4"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57.9%</w:t>
            </w:r>
          </w:p>
        </w:tc>
        <w:tc>
          <w:tcPr>
            <w:tcW w:w="976" w:type="dxa"/>
            <w:tcBorders>
              <w:top w:val="nil"/>
              <w:left w:val="nil"/>
              <w:bottom w:val="single" w:sz="4" w:space="0" w:color="auto"/>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11.87</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14.10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12.27</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11.30</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17.8%</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11.99</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13</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14.44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12.72</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11.83</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16.5%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12.46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14.09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11.99</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10.89</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20.3%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11.67</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14.46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12.55</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11.55</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18.4%</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12.26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15.76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13.01</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11.58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26.5%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12.59</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17</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15.65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13.34</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12.15</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22.3%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12.99</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14.24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11.64</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10.28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25.1%</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11.24</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19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13.32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11.48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10.53</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17.7%</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11.20</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13.98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11.38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10.01</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25.2%</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10.98</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21</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12.71</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11.02</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10.12</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16.4%</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10.76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11.50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10.43</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9.84</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10.26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23</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11.02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10.27</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9.86</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7.4%</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10.15</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10.77</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10.11</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9.75</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6.5%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10.00</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10.58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10.04</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9.75</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5.3%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9.96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11.18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10.37</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9.92</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8.0%</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10.24</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27</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10.81</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10.25</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9.96</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5.4%</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10.17</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12.04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10.86</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7.5%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11.16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29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11.88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11.48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11.26</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3.9%</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11.42</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30</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14.55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12.37</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11.23</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21.0%</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12.04</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31</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14.22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12.88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12.18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12.9%</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12.68</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32</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15.79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13.90</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12.91</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18.3%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13.61</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33</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16.23</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14.74</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13.97</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14.3%</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14.52</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14.58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14.19</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13.98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3.8%</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14.13</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35</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15.34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15.19</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15.10</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15.16</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36</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11.44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11.30</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11.22</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1.4%</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11.27</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37</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11.24</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11.22</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11.20</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0.2%</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11.21</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38</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10.73</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10.48</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10.34</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2.5%</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10.44</w:t>
            </w:r>
          </w:p>
        </w:tc>
      </w:tr>
      <w:tr w:rsidR="00783233" w:rsidRPr="00783233" w:rsidTr="00783233">
        <w:trPr>
          <w:trHeight w:val="300"/>
        </w:trPr>
        <w:tc>
          <w:tcPr>
            <w:tcW w:w="1440"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center"/>
              <w:rPr>
                <w:rFonts w:ascii="Calibri" w:eastAsia="Times New Roman" w:hAnsi="Calibri" w:cs="Times New Roman"/>
                <w:color w:val="000000"/>
              </w:rPr>
            </w:pPr>
            <w:r w:rsidRPr="00783233">
              <w:rPr>
                <w:rFonts w:ascii="Calibri" w:eastAsia="Times New Roman" w:hAnsi="Calibri" w:cs="Times New Roman"/>
                <w:color w:val="000000"/>
              </w:rPr>
              <w:t>39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10.49</w:t>
            </w:r>
          </w:p>
        </w:tc>
        <w:tc>
          <w:tcPr>
            <w:tcW w:w="967"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10.42</w:t>
            </w:r>
          </w:p>
        </w:tc>
        <w:tc>
          <w:tcPr>
            <w:tcW w:w="962"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10.38</w:t>
            </w:r>
          </w:p>
        </w:tc>
        <w:tc>
          <w:tcPr>
            <w:tcW w:w="111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0.6%</w:t>
            </w:r>
          </w:p>
        </w:tc>
        <w:tc>
          <w:tcPr>
            <w:tcW w:w="976" w:type="dxa"/>
            <w:tcBorders>
              <w:top w:val="nil"/>
              <w:left w:val="nil"/>
              <w:bottom w:val="nil"/>
              <w:right w:val="nil"/>
            </w:tcBorders>
            <w:shd w:val="clear" w:color="auto" w:fill="auto"/>
            <w:noWrap/>
            <w:vAlign w:val="bottom"/>
            <w:hideMark/>
          </w:tcPr>
          <w:p w:rsidR="00783233" w:rsidRPr="00783233" w:rsidRDefault="00783233" w:rsidP="00783233">
            <w:pPr>
              <w:spacing w:after="0" w:line="240" w:lineRule="auto"/>
              <w:jc w:val="right"/>
              <w:rPr>
                <w:rFonts w:ascii="Calibri" w:eastAsia="Times New Roman" w:hAnsi="Calibri" w:cs="Times New Roman"/>
                <w:color w:val="000000"/>
              </w:rPr>
            </w:pPr>
            <w:r w:rsidRPr="00783233">
              <w:rPr>
                <w:rFonts w:ascii="Calibri" w:eastAsia="Times New Roman" w:hAnsi="Calibri" w:cs="Times New Roman"/>
                <w:color w:val="000000"/>
              </w:rPr>
              <w:t>10.41</w:t>
            </w:r>
          </w:p>
        </w:tc>
      </w:tr>
    </w:tbl>
    <w:p w:rsidR="00783233" w:rsidRDefault="00783233"/>
    <w:p w:rsidR="00783233" w:rsidRDefault="00783233"/>
    <w:p w:rsidR="00317F98" w:rsidRDefault="00317F98">
      <w:r w:rsidRPr="00317F98">
        <w:drawing>
          <wp:inline distT="0" distB="0" distL="0" distR="0">
            <wp:extent cx="5486400" cy="60808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86400" cy="6080861"/>
                    </a:xfrm>
                    <a:prstGeom prst="rect">
                      <a:avLst/>
                    </a:prstGeom>
                    <a:noFill/>
                    <a:ln w="9525">
                      <a:noFill/>
                      <a:miter lim="800000"/>
                      <a:headEnd/>
                      <a:tailEnd/>
                    </a:ln>
                  </pic:spPr>
                </pic:pic>
              </a:graphicData>
            </a:graphic>
          </wp:inline>
        </w:drawing>
      </w:r>
    </w:p>
    <w:p w:rsidR="00317F98" w:rsidRDefault="00317F98">
      <w:proofErr w:type="gramStart"/>
      <w:r w:rsidRPr="00783233">
        <w:rPr>
          <w:b/>
        </w:rPr>
        <w:t>Figure 1.</w:t>
      </w:r>
      <w:proofErr w:type="gramEnd"/>
      <w:r>
        <w:t xml:space="preserve">  Compartmental structure of marsh compartments are shown here. Stage and inflow sites are also mapped</w:t>
      </w:r>
      <w:r w:rsidR="00546400">
        <w:t xml:space="preserve"> (</w:t>
      </w:r>
      <w:proofErr w:type="spellStart"/>
      <w:r w:rsidR="00546400">
        <w:t>Bazgirkhoob</w:t>
      </w:r>
      <w:proofErr w:type="spellEnd"/>
      <w:r w:rsidR="00546400">
        <w:t xml:space="preserve"> 2011)</w:t>
      </w:r>
      <w:r>
        <w:t xml:space="preserve">. </w:t>
      </w:r>
    </w:p>
    <w:p w:rsidR="00860FF8" w:rsidRDefault="00860FF8">
      <w:r>
        <w:br w:type="page"/>
      </w:r>
    </w:p>
    <w:p w:rsidR="00860FF8" w:rsidRDefault="00860FF8"/>
    <w:p w:rsidR="00860FF8" w:rsidRDefault="00860FF8"/>
    <w:p w:rsidR="00860FF8" w:rsidRDefault="00860FF8">
      <w:r w:rsidRPr="00860FF8">
        <w:drawing>
          <wp:inline distT="0" distB="0" distL="0" distR="0">
            <wp:extent cx="5444490" cy="48139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44490" cy="4813935"/>
                    </a:xfrm>
                    <a:prstGeom prst="rect">
                      <a:avLst/>
                    </a:prstGeom>
                    <a:noFill/>
                    <a:ln w="9525">
                      <a:noFill/>
                      <a:miter lim="800000"/>
                      <a:headEnd/>
                      <a:tailEnd/>
                    </a:ln>
                  </pic:spPr>
                </pic:pic>
              </a:graphicData>
            </a:graphic>
          </wp:inline>
        </w:drawing>
      </w:r>
    </w:p>
    <w:p w:rsidR="00860FF8" w:rsidRDefault="00860FF8">
      <w:proofErr w:type="gramStart"/>
      <w:r w:rsidRPr="00783233">
        <w:rPr>
          <w:b/>
        </w:rPr>
        <w:t>Figure 2.</w:t>
      </w:r>
      <w:proofErr w:type="gramEnd"/>
      <w:r>
        <w:t xml:space="preserve">  Link-Node model structure</w:t>
      </w:r>
      <w:r w:rsidR="00546400">
        <w:t xml:space="preserve"> (</w:t>
      </w:r>
      <w:proofErr w:type="spellStart"/>
      <w:r w:rsidR="00546400">
        <w:t>Bazgirkhoob</w:t>
      </w:r>
      <w:proofErr w:type="spellEnd"/>
      <w:r w:rsidR="00546400">
        <w:t xml:space="preserve"> 2011)</w:t>
      </w:r>
      <w:r>
        <w:t>.</w:t>
      </w:r>
    </w:p>
    <w:p w:rsidR="00860FF8" w:rsidRDefault="00860FF8">
      <w:r>
        <w:br w:type="page"/>
      </w:r>
    </w:p>
    <w:p w:rsidR="00783233" w:rsidRDefault="00783233"/>
    <w:p w:rsidR="00783233" w:rsidRDefault="00F15BFB">
      <w:r w:rsidRPr="00F15BFB">
        <w:drawing>
          <wp:inline distT="0" distB="0" distL="0" distR="0">
            <wp:extent cx="4592955" cy="28695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92955" cy="2869565"/>
                    </a:xfrm>
                    <a:prstGeom prst="rect">
                      <a:avLst/>
                    </a:prstGeom>
                    <a:noFill/>
                    <a:ln w="9525">
                      <a:noFill/>
                      <a:miter lim="800000"/>
                      <a:headEnd/>
                      <a:tailEnd/>
                    </a:ln>
                  </pic:spPr>
                </pic:pic>
              </a:graphicData>
            </a:graphic>
          </wp:inline>
        </w:drawing>
      </w:r>
    </w:p>
    <w:p w:rsidR="00783233" w:rsidRDefault="00F15BFB">
      <w:proofErr w:type="gramStart"/>
      <w:r w:rsidRPr="00F15BFB">
        <w:rPr>
          <w:b/>
        </w:rPr>
        <w:t>Figure 3.</w:t>
      </w:r>
      <w:proofErr w:type="gramEnd"/>
      <w:r>
        <w:t xml:space="preserve">  Compartment C3 predicted GM plotted against GM of inflow to C3.</w:t>
      </w:r>
    </w:p>
    <w:p w:rsidR="00F15BFB" w:rsidRDefault="00F15BFB"/>
    <w:p w:rsidR="00F15BFB" w:rsidRDefault="00F15BFB">
      <w:r w:rsidRPr="00F15BFB">
        <w:drawing>
          <wp:inline distT="0" distB="0" distL="0" distR="0">
            <wp:extent cx="4592955" cy="27641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92955" cy="2764155"/>
                    </a:xfrm>
                    <a:prstGeom prst="rect">
                      <a:avLst/>
                    </a:prstGeom>
                    <a:noFill/>
                    <a:ln w="9525">
                      <a:noFill/>
                      <a:miter lim="800000"/>
                      <a:headEnd/>
                      <a:tailEnd/>
                    </a:ln>
                  </pic:spPr>
                </pic:pic>
              </a:graphicData>
            </a:graphic>
          </wp:inline>
        </w:drawing>
      </w:r>
    </w:p>
    <w:p w:rsidR="00F15BFB" w:rsidRDefault="00F15BFB">
      <w:proofErr w:type="gramStart"/>
      <w:r w:rsidRPr="00F15BFB">
        <w:rPr>
          <w:b/>
        </w:rPr>
        <w:t>Figure 4.</w:t>
      </w:r>
      <w:proofErr w:type="gramEnd"/>
      <w:r>
        <w:t xml:space="preserve">  Compartment M16 predicted GM plotted against GM of inflow to C3.</w:t>
      </w:r>
    </w:p>
    <w:p w:rsidR="00860FF8" w:rsidRDefault="00860FF8">
      <w:r>
        <w:br w:type="page"/>
      </w:r>
    </w:p>
    <w:p w:rsidR="009E34E8" w:rsidRDefault="009E34E8"/>
    <w:p w:rsidR="00783233" w:rsidRDefault="00F15BFB">
      <w:r w:rsidRPr="00F15BFB">
        <w:drawing>
          <wp:inline distT="0" distB="0" distL="0" distR="0">
            <wp:extent cx="4592955" cy="27641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592955" cy="2764155"/>
                    </a:xfrm>
                    <a:prstGeom prst="rect">
                      <a:avLst/>
                    </a:prstGeom>
                    <a:noFill/>
                    <a:ln w="9525">
                      <a:noFill/>
                      <a:miter lim="800000"/>
                      <a:headEnd/>
                      <a:tailEnd/>
                    </a:ln>
                  </pic:spPr>
                </pic:pic>
              </a:graphicData>
            </a:graphic>
          </wp:inline>
        </w:drawing>
      </w:r>
    </w:p>
    <w:p w:rsidR="00783233" w:rsidRDefault="000D5CFB">
      <w:proofErr w:type="gramStart"/>
      <w:r w:rsidRPr="00897C7E">
        <w:rPr>
          <w:b/>
        </w:rPr>
        <w:t>Figure 5.</w:t>
      </w:r>
      <w:proofErr w:type="gramEnd"/>
      <w:r>
        <w:t xml:space="preserve">  </w:t>
      </w:r>
      <w:r w:rsidR="00897C7E">
        <w:t>Marsh minimum and maximum GM plotted against GM of inflow to C3.</w:t>
      </w:r>
    </w:p>
    <w:sectPr w:rsidR="00783233" w:rsidSect="0042265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5C4" w:rsidRDefault="00C165C4" w:rsidP="009F7CB7">
      <w:pPr>
        <w:spacing w:after="0" w:line="240" w:lineRule="auto"/>
      </w:pPr>
      <w:r>
        <w:separator/>
      </w:r>
    </w:p>
  </w:endnote>
  <w:endnote w:type="continuationSeparator" w:id="0">
    <w:p w:rsidR="00C165C4" w:rsidRDefault="00C165C4" w:rsidP="009F7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153766"/>
      <w:docPartObj>
        <w:docPartGallery w:val="Page Numbers (Bottom of Page)"/>
        <w:docPartUnique/>
      </w:docPartObj>
    </w:sdtPr>
    <w:sdtContent>
      <w:p w:rsidR="009F7CB7" w:rsidRDefault="009F7CB7" w:rsidP="009F7CB7">
        <w:pPr>
          <w:pStyle w:val="Footer"/>
          <w:jc w:val="center"/>
        </w:pPr>
        <w:r>
          <w:t xml:space="preserve">Page </w:t>
        </w:r>
        <w:fldSimple w:instr=" PAGE   \* MERGEFORMAT ">
          <w:r w:rsidR="00236C52">
            <w:rPr>
              <w:noProof/>
            </w:rPr>
            <w:t>1</w:t>
          </w:r>
        </w:fldSimple>
      </w:p>
    </w:sdtContent>
  </w:sdt>
  <w:p w:rsidR="009F7CB7" w:rsidRDefault="009F7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5C4" w:rsidRDefault="00C165C4" w:rsidP="009F7CB7">
      <w:pPr>
        <w:spacing w:after="0" w:line="240" w:lineRule="auto"/>
      </w:pPr>
      <w:r>
        <w:separator/>
      </w:r>
    </w:p>
  </w:footnote>
  <w:footnote w:type="continuationSeparator" w:id="0">
    <w:p w:rsidR="00C165C4" w:rsidRDefault="00C165C4" w:rsidP="009F7CB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grammar="clean"/>
  <w:defaultTabStop w:val="720"/>
  <w:characterSpacingControl w:val="doNotCompress"/>
  <w:footnotePr>
    <w:footnote w:id="-1"/>
    <w:footnote w:id="0"/>
  </w:footnotePr>
  <w:endnotePr>
    <w:endnote w:id="-1"/>
    <w:endnote w:id="0"/>
  </w:endnotePr>
  <w:compat/>
  <w:rsids>
    <w:rsidRoot w:val="00E01576"/>
    <w:rsid w:val="000047E1"/>
    <w:rsid w:val="00035224"/>
    <w:rsid w:val="000D5CFB"/>
    <w:rsid w:val="001A61E9"/>
    <w:rsid w:val="00236C52"/>
    <w:rsid w:val="00296EAD"/>
    <w:rsid w:val="002A0A1D"/>
    <w:rsid w:val="002D159A"/>
    <w:rsid w:val="002D511D"/>
    <w:rsid w:val="002E0696"/>
    <w:rsid w:val="00317F98"/>
    <w:rsid w:val="00422655"/>
    <w:rsid w:val="00444567"/>
    <w:rsid w:val="00455EB9"/>
    <w:rsid w:val="004E68A9"/>
    <w:rsid w:val="004F4F3F"/>
    <w:rsid w:val="005303FE"/>
    <w:rsid w:val="005416A3"/>
    <w:rsid w:val="00545388"/>
    <w:rsid w:val="00546400"/>
    <w:rsid w:val="0056533B"/>
    <w:rsid w:val="005C4996"/>
    <w:rsid w:val="005D152B"/>
    <w:rsid w:val="00651E65"/>
    <w:rsid w:val="00670F9F"/>
    <w:rsid w:val="00692C3E"/>
    <w:rsid w:val="006E785B"/>
    <w:rsid w:val="006F247E"/>
    <w:rsid w:val="0071059C"/>
    <w:rsid w:val="00783233"/>
    <w:rsid w:val="00784FB2"/>
    <w:rsid w:val="00790AB2"/>
    <w:rsid w:val="00860FF8"/>
    <w:rsid w:val="0088342B"/>
    <w:rsid w:val="00893204"/>
    <w:rsid w:val="00897C7E"/>
    <w:rsid w:val="00947345"/>
    <w:rsid w:val="009A7BF3"/>
    <w:rsid w:val="009D2DEC"/>
    <w:rsid w:val="009E34E8"/>
    <w:rsid w:val="009F7CB7"/>
    <w:rsid w:val="00A024C1"/>
    <w:rsid w:val="00A17E98"/>
    <w:rsid w:val="00A67CD1"/>
    <w:rsid w:val="00AF7254"/>
    <w:rsid w:val="00B25E04"/>
    <w:rsid w:val="00C165C4"/>
    <w:rsid w:val="00D82D40"/>
    <w:rsid w:val="00E01576"/>
    <w:rsid w:val="00E031F5"/>
    <w:rsid w:val="00E2134E"/>
    <w:rsid w:val="00E63BF2"/>
    <w:rsid w:val="00F10FFC"/>
    <w:rsid w:val="00F15BFB"/>
    <w:rsid w:val="00F25748"/>
    <w:rsid w:val="00FA75E8"/>
    <w:rsid w:val="00FD5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FF8"/>
    <w:rPr>
      <w:rFonts w:ascii="Tahoma" w:hAnsi="Tahoma" w:cs="Tahoma"/>
      <w:sz w:val="16"/>
      <w:szCs w:val="16"/>
    </w:rPr>
  </w:style>
  <w:style w:type="paragraph" w:styleId="Header">
    <w:name w:val="header"/>
    <w:basedOn w:val="Normal"/>
    <w:link w:val="HeaderChar"/>
    <w:uiPriority w:val="99"/>
    <w:semiHidden/>
    <w:unhideWhenUsed/>
    <w:rsid w:val="009F7C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7CB7"/>
  </w:style>
  <w:style w:type="paragraph" w:styleId="Footer">
    <w:name w:val="footer"/>
    <w:basedOn w:val="Normal"/>
    <w:link w:val="FooterChar"/>
    <w:uiPriority w:val="99"/>
    <w:unhideWhenUsed/>
    <w:rsid w:val="009F7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CB7"/>
  </w:style>
</w:styles>
</file>

<file path=word/webSettings.xml><?xml version="1.0" encoding="utf-8"?>
<w:webSettings xmlns:r="http://schemas.openxmlformats.org/officeDocument/2006/relationships" xmlns:w="http://schemas.openxmlformats.org/wordprocessingml/2006/main">
  <w:divs>
    <w:div w:id="2304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NPS</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Waldon</dc:creator>
  <cp:keywords/>
  <dc:description/>
  <cp:lastModifiedBy>Mike Waldon</cp:lastModifiedBy>
  <cp:revision>10</cp:revision>
  <dcterms:created xsi:type="dcterms:W3CDTF">2012-01-08T17:08:00Z</dcterms:created>
  <dcterms:modified xsi:type="dcterms:W3CDTF">2012-01-09T02:30:00Z</dcterms:modified>
</cp:coreProperties>
</file>