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Azure Cost Forecasting Platform</w:t>
      </w:r>
    </w:p>
    <w:p>
      <w:pPr>
        <w:pStyle w:val="Heading2"/>
      </w:pPr>
      <w:r>
        <w:t xml:space="preserve">Handover Document</w:t>
      </w:r>
    </w:p>
    <w:p>
      <w:pPr>
        <w:spacing w:after="100"/>
      </w:pPr>
      <w:r>
        <w:rPr>
          <w:i/>
          <w:iCs/>
        </w:rPr>
        <w:t xml:space="preserve">Trey Research | May 2026</w:t>
      </w:r>
    </w:p>
    <w:p>
      <w:pPr>
        <w:spacing w:after="200"/>
      </w:pPr>
      <w:r>
        <w:t xml:space="preserve">This document provides a comprehensive overview of the cost forecasting platform built on Microsoft Fabric, including architecture, notebooks, roadmap, and next steps for the handover team.</w:t>
      </w:r>
    </w:p>
    <w:p>
      <w:pPr>
        <w:pStyle w:val="Heading2"/>
      </w:pPr>
      <w:r>
        <w:t xml:space="preserve">Executive Summary</w:t>
      </w:r>
    </w:p>
    <w:p>
      <w:pPr>
        <w:spacing w:after="150"/>
      </w:pPr>
      <w:r>
        <w:t xml:space="preserve">We have built a production-grade Azure cost forecasting platform on Microsoft Fabric that ingests FOCUS-formatted billing data and produces daily cost forecasts per subscription. The current implementation uses StatsForecast (MSTL + AutoARIMA) for the core forecasting engine, operates on Polars for scalable data aggregation, and writes outputs to Delta tables for Power BI consumption.</w:t>
      </w:r>
    </w:p>
    <w:p>
      <w:pPr>
        <w:spacing w:after="150"/>
      </w:pPr>
      <w:r>
        <w:t xml:space="preserve">The platform is designed with a 13-item roadmap spanning three phases (v2 immediate, v3 mid-term, Future strategic). The handover package includes fully documented notebooks, architectural decisions, and a detailed roadmap of enhancements.</w:t>
      </w:r>
    </w:p>
    <w:p>
      <w:pPr>
        <w:pStyle w:val="Heading2"/>
      </w:pPr>
      <w:r>
        <w:t xml:space="preserve">Artifacts Included in This Package</w:t>
      </w:r>
    </w:p>
    <w:p>
      <w:pPr>
        <w:spacing w:after="80"/>
      </w:pPr>
      <w:r>
        <w:rPr>
          <w:b/>
          <w:bCs/>
        </w:rPr>
        <w:t xml:space="preserve">Notebooks</w:t>
      </w:r>
    </w:p>
    <w:p>
      <w:pPr>
        <w:pStyle w:val="ListParagraph"/>
        <w:numPr>
          <w:ilvl w:val="0"/>
          <w:numId w:val="2"/>
        </w:numPr>
      </w:pPr>
      <w:r>
        <w:t xml:space="preserve">focus_cost_forecast.ipynb — Production forecasting notebook (StatsForecast/Polars, 365-day horizon)</w:t>
      </w:r>
    </w:p>
    <w:p>
      <w:pPr>
        <w:pStyle w:val="ListParagraph"/>
        <w:numPr>
          <w:ilvl w:val="0"/>
          <w:numId w:val="2"/>
        </w:numPr>
      </w:pPr>
      <w:r>
        <w:t xml:space="preserve">focus_cost_synthesise.ipynb — Data synthesis notebook (extends 1-month sample to 24 months with realistic noise)</w:t>
      </w:r>
    </w:p>
    <w:p>
      <w:pPr>
        <w:spacing w:after="80" w:before="100"/>
      </w:pPr>
      <w:r>
        <w:rPr>
          <w:b/>
          <w:bCs/>
        </w:rPr>
        <w:t xml:space="preserve">Documentation</w:t>
      </w:r>
    </w:p>
    <w:p>
      <w:pPr>
        <w:pStyle w:val="ListParagraph"/>
        <w:numPr>
          <w:ilvl w:val="0"/>
          <w:numId w:val="2"/>
        </w:numPr>
      </w:pPr>
      <w:r>
        <w:t xml:space="preserve">forecasting_roadmap_v3.docx — Complete roadmap (13 items, 3 phases, rationale for each)</w:t>
      </w:r>
    </w:p>
    <w:p>
      <w:pPr>
        <w:pStyle w:val="ListParagraph"/>
        <w:numPr>
          <w:ilvl w:val="0"/>
          <w:numId w:val="2"/>
        </w:numPr>
      </w:pPr>
      <w:r>
        <w:t xml:space="preserve">This document — Handover guide and architecture overview</w:t>
      </w:r>
    </w:p>
    <w:p>
      <w:pPr>
        <w:spacing w:before="200"/>
      </w:pPr>
      <w:r>
        <w:t xml:space="preserve"/>
      </w:r>
    </w:p>
    <w:p>
      <w:pPr>
        <w:pStyle w:val="Heading2"/>
      </w:pPr>
      <w:r>
        <w:t xml:space="preserve">Architecture Overview</w:t>
      </w:r>
    </w:p>
    <w:p>
      <w:pPr>
        <w:pStyle w:val="Heading1"/>
      </w:pPr>
      <w:r>
        <w:t xml:space="preserve">Data Pipeline</w:t>
      </w:r>
    </w:p>
    <w:p>
      <w:pPr>
        <w:spacing w:after="150"/>
      </w:pPr>
      <w:r>
        <w:t xml:space="preserve">Input: FOCUS-formatted Azure cost data (50M+ rows), stored in delta_focus_cost table on Lakehouse.</w:t>
      </w:r>
    </w:p>
    <w:p>
      <w:pPr>
        <w:spacing w:after="150"/>
      </w:pPr>
      <w:r>
        <w:t xml:space="preserve">Processing: Polars-native aggregation (lazy scanning, streaming collect) to daily totals per subscription</w:t>
      </w:r>
    </w:p>
    <w:p>
      <w:pPr>
        <w:spacing w:after="150"/>
      </w:pPr>
      <w:r>
        <w:t xml:space="preserve">Output: Two Delta tables — focus_actuals_daily (historical actuals) and focus_forecast_daily (365-day horizon forecasts)</w:t>
      </w:r>
    </w:p>
    <w:p>
      <w:pPr>
        <w:pStyle w:val="Heading2"/>
      </w:pPr>
      <w:r>
        <w:t xml:space="preserve">Model Selection Rationale</w:t>
      </w:r>
    </w:p>
    <w:p>
      <w:pPr>
        <w:pStyle w:val="ListParagraph"/>
        <w:numPr>
          <w:ilvl w:val="0"/>
          <w:numId w:val="2"/>
        </w:numPr>
      </w:pPr>
      <w:r>
        <w:t xml:space="preserve">MSTL + AutoARIMA (via StatsForecast library) for forecasting engine</w:t>
      </w:r>
    </w:p>
    <w:p>
      <w:pPr>
        <w:spacing w:after="100"/>
      </w:pPr>
      <w:r>
        <w:rPr>
          <w:i/>
          <w:iCs/>
        </w:rPr>
        <w:t xml:space="preserve">Why: Polars-native, automatic per-series model selection, handles weekly + yearly seasonality naturally. Compared to Prophet (maintenance mode since 2023) and foundation models (TimeGEN-1, Chronos — not justified at 50M row scale).</w:t>
      </w:r>
    </w:p>
    <w:p>
      <w:pPr>
        <w:pStyle w:val="ListParagraph"/>
        <w:numPr>
          <w:ilvl w:val="0"/>
          <w:numId w:val="2"/>
        </w:numPr>
      </w:pPr>
      <w:r>
        <w:t xml:space="preserve">Polars for data aggregation (not Spark, not pandas)</w:t>
      </w:r>
    </w:p>
    <w:p>
      <w:pPr>
        <w:spacing w:after="100"/>
      </w:pPr>
      <w:r>
        <w:rPr>
          <w:i/>
          <w:iCs/>
        </w:rPr>
        <w:t xml:space="preserve">Why: 50M-row aggregation on single node is faster than Spark overhead for this volume; Polars lazy evaluation and streaming are perfect for this workload.</w:t>
      </w:r>
    </w:p>
    <w:p>
      <w:pPr>
        <w:pStyle w:val="ListParagraph"/>
        <w:numPr>
          <w:ilvl w:val="0"/>
          <w:numId w:val="2"/>
        </w:numPr>
      </w:pPr>
      <w:r>
        <w:t xml:space="preserve">Single fit() call across all subscriptions (not per-series loops)</w:t>
      </w:r>
    </w:p>
    <w:p>
      <w:pPr>
        <w:spacing w:after="150"/>
      </w:pPr>
      <w:r>
        <w:rPr>
          <w:i/>
          <w:iCs/>
        </w:rPr>
        <w:t xml:space="preserve">Why: Batch processing is faster and memory-efficient for StatsForecast; avoids Python loop overhead.</w:t>
      </w:r>
    </w:p>
    <w:p>
      <w:pPr>
        <w:pStyle w:val="Heading2"/>
      </w:pPr>
      <w:r>
        <w:t xml:space="preserve">Fabric Integration</w:t>
      </w:r>
    </w:p>
    <w:p>
      <w:pPr>
        <w:spacing w:after="150"/>
      </w:pPr>
      <w:r>
        <w:t xml:space="preserve">Notebooks: Single-node Python compute (8 vCores default, bump to 16 if &gt;100M rows)</w:t>
      </w:r>
    </w:p>
    <w:p>
      <w:pPr>
        <w:spacing w:after="150"/>
      </w:pPr>
      <w:r>
        <w:t xml:space="preserve">Storage: Delta tables on OneLake via deltalake Python library; ABFSS paths configured per workspace GUID</w:t>
      </w:r>
    </w:p>
    <w:p>
      <w:pPr>
        <w:spacing w:after="150"/>
      </w:pPr>
      <w:r>
        <w:t xml:space="preserve">Consumption: SQL view (vw_focus_actuals_and_forecast) unifies actuals and forecasts for Power BI Direct Lake</w:t>
      </w:r>
    </w:p>
    <w:p>
      <w:pPr>
        <w:spacing w:before="200"/>
      </w:pPr>
      <w:r>
        <w:br w:type="page"/>
      </w:r>
    </w:p>
    <w:p>
      <w:pPr>
        <w:pStyle w:val="Heading2"/>
      </w:pPr>
      <w:r>
        <w:t xml:space="preserve">Key Implementation Details</w:t>
      </w:r>
    </w:p>
    <w:p>
      <w:pPr>
        <w:pStyle w:val="Heading2"/>
      </w:pPr>
      <w:r>
        <w:t xml:space="preserve">Parameters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9E8F5" w:val="clear"/>
          </w:tcPr>
          <w:p>
            <w:r>
              <w:rPr>
                <w:b/>
                <w:bCs/>
              </w:rPr>
              <w:t xml:space="preserve">Parameter</w:t>
            </w:r>
          </w:p>
        </w:tc>
        <w:tc>
          <w:tcPr>
            <w:tcW w:type="dxa" w:w="3280"/>
            <w:tcBorders>
              <w:top w:val="single" w:color="CCCCCC" w:sz="1"/>
              <w:left w:val="single" w:color="CCCCCC" w:sz="1"/>
              <w:bottom w:val="single" w:color="CCCCCC" w:sz="1"/>
              <w:right w:val="single" w:color="CCCCCC" w:sz="1"/>
            </w:tcBorders>
            <w:shd w:fill="D9E8F5" w:val="clear"/>
          </w:tcPr>
          <w:p>
            <w:r>
              <w:rPr>
                <w:b/>
                <w:bCs/>
              </w:rPr>
              <w:t xml:space="preserve">Current Value</w:t>
            </w:r>
          </w:p>
        </w:tc>
        <w:tc>
          <w:tcPr>
            <w:tcW w:type="dxa" w:w="3280"/>
            <w:tcBorders>
              <w:top w:val="single" w:color="CCCCCC" w:sz="1"/>
              <w:left w:val="single" w:color="CCCCCC" w:sz="1"/>
              <w:bottom w:val="single" w:color="CCCCCC" w:sz="1"/>
              <w:right w:val="single" w:color="CCCCCC" w:sz="1"/>
            </w:tcBorders>
            <w:shd w:fill="D9E8F5" w:val="clear"/>
          </w:tcPr>
          <w:p>
            <w:r>
              <w:rPr>
                <w:b/>
                <w:bCs/>
              </w:rPr>
              <w:t xml:space="preserve">Purpose</w:t>
            </w:r>
          </w:p>
        </w:tc>
      </w:tr>
      <w:tr>
        <w:tc>
          <w:tcPr>
            <w:tcW w:type="dxa" w:w="2800"/>
            <w:tcBorders>
              <w:top w:val="single" w:color="CCCCCC" w:sz="1"/>
              <w:left w:val="single" w:color="CCCCCC" w:sz="1"/>
              <w:bottom w:val="single" w:color="CCCCCC" w:sz="1"/>
              <w:right w:val="single" w:color="CCCCCC" w:sz="1"/>
            </w:tcBorders>
          </w:tcPr>
          <w:p>
            <w:r>
              <w:t xml:space="preserve">LAKEHOUSE_NAME</w:t>
            </w:r>
          </w:p>
        </w:tc>
        <w:tc>
          <w:tcPr>
            <w:tcW w:type="dxa" w:w="3280"/>
            <w:tcBorders>
              <w:top w:val="single" w:color="CCCCCC" w:sz="1"/>
              <w:left w:val="single" w:color="CCCCCC" w:sz="1"/>
              <w:bottom w:val="single" w:color="CCCCCC" w:sz="1"/>
              <w:right w:val="single" w:color="CCCCCC" w:sz="1"/>
            </w:tcBorders>
          </w:tcPr>
          <w:p>
            <w:r>
              <w:t xml:space="preserve">Finops_Hub</w:t>
            </w:r>
          </w:p>
        </w:tc>
        <w:tc>
          <w:tcPr>
            <w:tcW w:type="dxa" w:w="3280"/>
            <w:tcBorders>
              <w:top w:val="single" w:color="CCCCCC" w:sz="1"/>
              <w:left w:val="single" w:color="CCCCCC" w:sz="1"/>
              <w:bottom w:val="single" w:color="CCCCCC" w:sz="1"/>
              <w:right w:val="single" w:color="CCCCCC" w:sz="1"/>
            </w:tcBorders>
          </w:tcPr>
          <w:p>
            <w:r>
              <w:t xml:space="preserve">Lakehouse name for data storage</w:t>
            </w:r>
          </w:p>
        </w:tc>
      </w:tr>
      <w:tr>
        <w:tc>
          <w:tcPr>
            <w:tcW w:type="dxa" w:w="2800"/>
            <w:tcBorders>
              <w:top w:val="single" w:color="CCCCCC" w:sz="1"/>
              <w:left w:val="single" w:color="CCCCCC" w:sz="1"/>
              <w:bottom w:val="single" w:color="CCCCCC" w:sz="1"/>
              <w:right w:val="single" w:color="CCCCCC" w:sz="1"/>
            </w:tcBorders>
          </w:tcPr>
          <w:p>
            <w:r>
              <w:t xml:space="preserve">SOURCE_TABLE</w:t>
            </w:r>
          </w:p>
        </w:tc>
        <w:tc>
          <w:tcPr>
            <w:tcW w:type="dxa" w:w="3280"/>
            <w:tcBorders>
              <w:top w:val="single" w:color="CCCCCC" w:sz="1"/>
              <w:left w:val="single" w:color="CCCCCC" w:sz="1"/>
              <w:bottom w:val="single" w:color="CCCCCC" w:sz="1"/>
              <w:right w:val="single" w:color="CCCCCC" w:sz="1"/>
            </w:tcBorders>
          </w:tcPr>
          <w:p>
            <w:r>
              <w:t xml:space="preserve">focus_cost</w:t>
            </w:r>
          </w:p>
        </w:tc>
        <w:tc>
          <w:tcPr>
            <w:tcW w:type="dxa" w:w="3280"/>
            <w:tcBorders>
              <w:top w:val="single" w:color="CCCCCC" w:sz="1"/>
              <w:left w:val="single" w:color="CCCCCC" w:sz="1"/>
              <w:bottom w:val="single" w:color="CCCCCC" w:sz="1"/>
              <w:right w:val="single" w:color="CCCCCC" w:sz="1"/>
            </w:tcBorders>
          </w:tcPr>
          <w:p>
            <w:r>
              <w:t xml:space="preserve">Input FOCUS table (1-month sample or extended)</w:t>
            </w:r>
          </w:p>
        </w:tc>
      </w:tr>
      <w:tr>
        <w:tc>
          <w:tcPr>
            <w:tcW w:type="dxa" w:w="2800"/>
            <w:tcBorders>
              <w:top w:val="single" w:color="CCCCCC" w:sz="1"/>
              <w:left w:val="single" w:color="CCCCCC" w:sz="1"/>
              <w:bottom w:val="single" w:color="CCCCCC" w:sz="1"/>
              <w:right w:val="single" w:color="CCCCCC" w:sz="1"/>
            </w:tcBorders>
          </w:tcPr>
          <w:p>
            <w:r>
              <w:t xml:space="preserve">HORIZON_DAYS</w:t>
            </w:r>
          </w:p>
        </w:tc>
        <w:tc>
          <w:tcPr>
            <w:tcW w:type="dxa" w:w="3280"/>
            <w:tcBorders>
              <w:top w:val="single" w:color="CCCCCC" w:sz="1"/>
              <w:left w:val="single" w:color="CCCCCC" w:sz="1"/>
              <w:bottom w:val="single" w:color="CCCCCC" w:sz="1"/>
              <w:right w:val="single" w:color="CCCCCC" w:sz="1"/>
            </w:tcBorders>
          </w:tcPr>
          <w:p>
            <w:r>
              <w:t xml:space="preserve">365</w:t>
            </w:r>
          </w:p>
        </w:tc>
        <w:tc>
          <w:tcPr>
            <w:tcW w:type="dxa" w:w="3280"/>
            <w:tcBorders>
              <w:top w:val="single" w:color="CCCCCC" w:sz="1"/>
              <w:left w:val="single" w:color="CCCCCC" w:sz="1"/>
              <w:bottom w:val="single" w:color="CCCCCC" w:sz="1"/>
              <w:right w:val="single" w:color="CCCCCC" w:sz="1"/>
            </w:tcBorders>
          </w:tcPr>
          <w:p>
            <w:r>
              <w:t xml:space="preserve">Forecast horizon (through end of next FY)</w:t>
            </w:r>
          </w:p>
        </w:tc>
      </w:tr>
      <w:tr>
        <w:tc>
          <w:tcPr>
            <w:tcW w:type="dxa" w:w="2800"/>
            <w:tcBorders>
              <w:top w:val="single" w:color="CCCCCC" w:sz="1"/>
              <w:left w:val="single" w:color="CCCCCC" w:sz="1"/>
              <w:bottom w:val="single" w:color="CCCCCC" w:sz="1"/>
              <w:right w:val="single" w:color="CCCCCC" w:sz="1"/>
            </w:tcBorders>
          </w:tcPr>
          <w:p>
            <w:r>
              <w:t xml:space="preserve">DATE_COL</w:t>
            </w:r>
          </w:p>
        </w:tc>
        <w:tc>
          <w:tcPr>
            <w:tcW w:type="dxa" w:w="3280"/>
            <w:tcBorders>
              <w:top w:val="single" w:color="CCCCCC" w:sz="1"/>
              <w:left w:val="single" w:color="CCCCCC" w:sz="1"/>
              <w:bottom w:val="single" w:color="CCCCCC" w:sz="1"/>
              <w:right w:val="single" w:color="CCCCCC" w:sz="1"/>
            </w:tcBorders>
          </w:tcPr>
          <w:p>
            <w:r>
              <w:t xml:space="preserve">ChargePeriodStart</w:t>
            </w:r>
          </w:p>
        </w:tc>
        <w:tc>
          <w:tcPr>
            <w:tcW w:type="dxa" w:w="3280"/>
            <w:tcBorders>
              <w:top w:val="single" w:color="CCCCCC" w:sz="1"/>
              <w:left w:val="single" w:color="CCCCCC" w:sz="1"/>
              <w:bottom w:val="single" w:color="CCCCCC" w:sz="1"/>
              <w:right w:val="single" w:color="CCCCCC" w:sz="1"/>
            </w:tcBorders>
          </w:tcPr>
          <w:p>
            <w:r>
              <w:t xml:space="preserve">FOCUS column for daily charge date</w:t>
            </w:r>
          </w:p>
        </w:tc>
      </w:tr>
      <w:tr>
        <w:tc>
          <w:tcPr>
            <w:tcW w:type="dxa" w:w="2800"/>
            <w:tcBorders>
              <w:top w:val="single" w:color="CCCCCC" w:sz="1"/>
              <w:left w:val="single" w:color="CCCCCC" w:sz="1"/>
              <w:bottom w:val="single" w:color="CCCCCC" w:sz="1"/>
              <w:right w:val="single" w:color="CCCCCC" w:sz="1"/>
            </w:tcBorders>
          </w:tcPr>
          <w:p>
            <w:r>
              <w:t xml:space="preserve">COST_COL</w:t>
            </w:r>
          </w:p>
        </w:tc>
        <w:tc>
          <w:tcPr>
            <w:tcW w:type="dxa" w:w="3280"/>
            <w:tcBorders>
              <w:top w:val="single" w:color="CCCCCC" w:sz="1"/>
              <w:left w:val="single" w:color="CCCCCC" w:sz="1"/>
              <w:bottom w:val="single" w:color="CCCCCC" w:sz="1"/>
              <w:right w:val="single" w:color="CCCCCC" w:sz="1"/>
            </w:tcBorders>
          </w:tcPr>
          <w:p>
            <w:r>
              <w:t xml:space="preserve">BilledCost</w:t>
            </w:r>
          </w:p>
        </w:tc>
        <w:tc>
          <w:tcPr>
            <w:tcW w:type="dxa" w:w="3280"/>
            <w:tcBorders>
              <w:top w:val="single" w:color="CCCCCC" w:sz="1"/>
              <w:left w:val="single" w:color="CCCCCC" w:sz="1"/>
              <w:bottom w:val="single" w:color="CCCCCC" w:sz="1"/>
              <w:right w:val="single" w:color="CCCCCC" w:sz="1"/>
            </w:tcBorders>
          </w:tcPr>
          <w:p>
            <w:r>
              <w:t xml:space="preserve">Cost metric (BilledCost or EffectiveCost)</w:t>
            </w:r>
          </w:p>
        </w:tc>
      </w:tr>
    </w:tbl>
    <w:p>
      <w:pPr>
        <w:spacing w:before="150"/>
      </w:pPr>
      <w:r>
        <w:t xml:space="preserve"/>
      </w:r>
    </w:p>
    <w:p>
      <w:pPr>
        <w:pStyle w:val="Heading2"/>
      </w:pPr>
      <w:r>
        <w:t xml:space="preserve">Required Manual Setup Before Running Notebooks</w:t>
      </w:r>
    </w:p>
    <w:p>
      <w:pPr>
        <w:pStyle w:val="ListParagraph"/>
        <w:numPr>
          <w:ilvl w:val="0"/>
          <w:numId w:val="3"/>
        </w:numPr>
      </w:pPr>
      <w:r>
        <w:t xml:space="preserve">Workspace GUID: Replace &amp;#x201C;&amp;lt;workspace-guid&amp;gt;&amp;#x201D; in ABFSS paths with your workspace ID (find in Fabric portal URL)</w:t>
      </w:r>
    </w:p>
    <w:p>
      <w:pPr>
        <w:pStyle w:val="ListParagraph"/>
        <w:numPr>
          <w:ilvl w:val="0"/>
          <w:numId w:val="3"/>
        </w:numPr>
      </w:pPr>
      <w:r>
        <w:t xml:space="preserve">Lakehouse Verification: Confirm Finops_Hub exists; create if needed</w:t>
      </w:r>
    </w:p>
    <w:p>
      <w:pPr>
        <w:pStyle w:val="ListParagraph"/>
        <w:numPr>
          <w:ilvl w:val="0"/>
          <w:numId w:val="3"/>
        </w:numPr>
      </w:pPr>
      <w:r>
        <w:t xml:space="preserve">Source Data: Ensure focus_cost table exists and contains FOCUS data with required columns</w:t>
      </w:r>
    </w:p>
    <w:p>
      <w:pPr>
        <w:pStyle w:val="ListParagraph"/>
        <w:numPr>
          <w:ilvl w:val="0"/>
          <w:numId w:val="3"/>
        </w:numPr>
      </w:pPr>
      <w:r>
        <w:t xml:space="preserve">Dependencies: StatsForecast, Polars, deltalake already installed in Fabric runtime</w:t>
      </w:r>
    </w:p>
    <w:p>
      <w:pPr>
        <w:spacing w:after="150" w:before="200"/>
      </w:pPr>
      <w:r>
        <w:t xml:space="preserve">Data Extension (Optional):</w:t>
      </w:r>
    </w:p>
    <w:p>
      <w:pPr>
        <w:spacing w:after="150"/>
      </w:pPr>
      <w:r>
        <w:t xml:space="preserve">If you want to test with 24 months of history instead of 1 month, run focus_cost_synthesise.ipynb first, then point SOURCE_TABLE to focus_cost_extended.</w:t>
      </w:r>
    </w:p>
    <w:p>
      <w:pPr>
        <w:spacing w:before="200"/>
      </w:pPr>
      <w:r>
        <w:br w:type="page"/>
      </w:r>
    </w:p>
    <w:p>
      <w:pPr>
        <w:pStyle w:val="Heading2"/>
      </w:pPr>
      <w:r>
        <w:t xml:space="preserve">Next Steps for the Handover Team</w:t>
      </w:r>
    </w:p>
    <w:p>
      <w:pPr>
        <w:pStyle w:val="Heading2"/>
      </w:pPr>
      <w:r>
        <w:t xml:space="preserve">Phase 1: Setup &amp; Validation (Week 1–2)</w:t>
      </w:r>
    </w:p>
    <w:p>
      <w:pPr>
        <w:pStyle w:val="ListParagraph"/>
        <w:numPr>
          <w:ilvl w:val="0"/>
          <w:numId w:val="2"/>
        </w:numPr>
      </w:pPr>
      <w:r>
        <w:t xml:space="preserve">Deploy notebooks to your Fabric workspace</w:t>
      </w:r>
    </w:p>
    <w:p>
      <w:pPr>
        <w:pStyle w:val="ListParagraph"/>
        <w:numPr>
          <w:ilvl w:val="0"/>
          <w:numId w:val="2"/>
        </w:numPr>
      </w:pPr>
      <w:r>
        <w:t xml:space="preserve">Update workspace GUID and table names in both notebooks</w:t>
      </w:r>
    </w:p>
    <w:p>
      <w:pPr>
        <w:pStyle w:val="ListParagraph"/>
        <w:numPr>
          <w:ilvl w:val="0"/>
          <w:numId w:val="2"/>
        </w:numPr>
      </w:pPr>
      <w:r>
        <w:t xml:space="preserve">Run focus_cost_synthesise.ipynb (optional, but recommended for testing)</w:t>
      </w:r>
    </w:p>
    <w:p>
      <w:pPr>
        <w:pStyle w:val="ListParagraph"/>
        <w:numPr>
          <w:ilvl w:val="0"/>
          <w:numId w:val="2"/>
        </w:numPr>
      </w:pPr>
      <w:r>
        <w:t xml:space="preserve">Run focus_cost_forecast.ipynb on both original and extended data</w:t>
      </w:r>
    </w:p>
    <w:p>
      <w:pPr>
        <w:spacing w:after="150"/>
      </w:pPr>
      <w:r>
        <w:t xml:space="preserve">Validate outputs: check daily actuals and forecasts written to Delta tables</w:t>
      </w:r>
    </w:p>
    <w:p>
      <w:pPr>
        <w:pStyle w:val="Heading2"/>
      </w:pPr>
      <w:r>
        <w:t xml:space="preserve">Phase 2: Power BI Integration (Week 2–3)</w:t>
      </w:r>
    </w:p>
    <w:p>
      <w:pPr>
        <w:pStyle w:val="ListParagraph"/>
        <w:numPr>
          <w:ilvl w:val="0"/>
          <w:numId w:val="2"/>
        </w:numPr>
      </w:pPr>
      <w:r>
        <w:t xml:space="preserve">Create semantic model pointing to vw_focus_actuals_and_forecast (SQL view)</w:t>
      </w:r>
    </w:p>
    <w:p>
      <w:pPr>
        <w:pStyle w:val="ListParagraph"/>
        <w:numPr>
          <w:ilvl w:val="0"/>
          <w:numId w:val="2"/>
        </w:numPr>
      </w:pPr>
      <w:r>
        <w:t xml:space="preserve">Set up Direct Lake for performance</w:t>
      </w:r>
    </w:p>
    <w:p>
      <w:pPr>
        <w:pStyle w:val="ListParagraph"/>
        <w:numPr>
          <w:ilvl w:val="0"/>
          <w:numId w:val="2"/>
        </w:numPr>
      </w:pPr>
      <w:r>
        <w:t xml:space="preserve">Build Power BI dashboard showing actuals vs. forecast with ribbon controls for date range</w:t>
      </w:r>
    </w:p>
    <w:p>
      <w:pPr>
        <w:spacing w:after="150"/>
      </w:pPr>
      <w:r>
        <w:t xml:space="preserve">Test Power BI app distribution to stakeholders</w:t>
      </w:r>
    </w:p>
    <w:p>
      <w:pPr>
        <w:pStyle w:val="Heading2"/>
      </w:pPr>
      <w:r>
        <w:t xml:space="preserve">Phase 3: Roadmap Execution (Week 4+)</w:t>
      </w:r>
    </w:p>
    <w:p>
      <w:pPr>
        <w:spacing w:after="150"/>
      </w:pPr>
      <w:r>
        <w:t xml:space="preserve">Prioritize v2 phase items from forecasting_roadmap_v3.docx based on stakeholder feedback:</w:t>
      </w:r>
    </w:p>
    <w:p>
      <w:pPr>
        <w:spacing w:after="80" w:before="80"/>
      </w:pPr>
      <w:r>
        <w:rPr>
          <w:i/>
          <w:iCs/>
        </w:rPr>
        <w:t xml:space="preserve">Immediate (critical for production): Backtesting framework, cold-start handling policy, anomaly detection</w:t>
      </w:r>
    </w:p>
    <w:p>
      <w:pPr>
        <w:spacing w:after="150"/>
      </w:pPr>
      <w:r>
        <w:rPr>
          <w:i/>
          <w:iCs/>
        </w:rPr>
        <w:t xml:space="preserve">Medium priority: Hierarchical reconciliation, quantile outputs, exogenous features</w:t>
      </w:r>
    </w:p>
    <w:p>
      <w:pPr>
        <w:spacing w:after="150" w:before="200"/>
      </w:pPr>
      <w:r>
        <w:t xml:space="preserve">See forecasting_roadmap_v3.docx for detailed item descriptions, complexity, and rationale.</w:t>
      </w:r>
    </w:p>
    <w:p>
      <w:pPr>
        <w:pStyle w:val="Heading2"/>
      </w:pPr>
      <w:r>
        <w:t xml:space="preserve">Key Architectural Decisions</w:t>
      </w:r>
    </w:p>
    <w:p>
      <w:pPr>
        <w:pStyle w:val="ListParagraph"/>
        <w:numPr>
          <w:ilvl w:val="0"/>
          <w:numId w:val="2"/>
        </w:numPr>
      </w:pPr>
      <w:r>
        <w:t xml:space="preserve">Polars throughout (not Spark): Faster, cleaner, native in StatsForecast. 50M rows on 8 vCores is comfortable.</w:t>
      </w:r>
    </w:p>
    <w:p>
      <w:pPr>
        <w:pStyle w:val="ListParagraph"/>
        <w:numPr>
          <w:ilvl w:val="0"/>
          <w:numId w:val="2"/>
        </w:numPr>
      </w:pPr>
      <w:r>
        <w:t xml:space="preserve">Actuals and forecasts as separate Delta tables: Easier to update forecast independently; cleaner for Power BI</w:t>
      </w:r>
    </w:p>
    <w:p>
      <w:pPr>
        <w:pStyle w:val="ListParagraph"/>
        <w:numPr>
          <w:ilvl w:val="0"/>
          <w:numId w:val="2"/>
        </w:numPr>
      </w:pPr>
      <w:r>
        <w:t xml:space="preserve">Financial year (Sept 1 – Aug 31): Reflected in horizon calculation and forecasting logic</w:t>
      </w:r>
    </w:p>
    <w:p>
      <w:pPr>
        <w:pStyle w:val="ListParagraph"/>
        <w:numPr>
          <w:ilvl w:val="0"/>
          <w:numId w:val="2"/>
        </w:numPr>
      </w:pPr>
      <w:r>
        <w:t xml:space="preserve">Daily granularity (not hourly, not monthly): Right level for cost reporting; matches FOCUS data structure</w:t>
      </w:r>
    </w:p>
    <w:p>
      <w:pPr>
        <w:pStyle w:val="ListParagraph"/>
        <w:numPr>
          <w:ilvl w:val="0"/>
          <w:numId w:val="2"/>
        </w:numPr>
      </w:pPr>
      <w:r>
        <w:t xml:space="preserve">SQL view for Power BI: Single surface for both actuals and forecast; union in SQL rather than Power BI DAX</w:t>
      </w:r>
    </w:p>
    <w:p>
      <w:pPr>
        <w:spacing w:after="150" w:before="200"/>
      </w:pPr>
      <w:r>
        <w:t xml:space="preserve"/>
      </w:r>
    </w:p>
    <w:p>
      <w:pPr>
        <w:pStyle w:val="Heading2"/>
      </w:pPr>
      <w:r>
        <w:t xml:space="preserve">Support &amp; Questions</w:t>
      </w:r>
    </w:p>
    <w:p>
      <w:pPr>
        <w:spacing w:after="150"/>
      </w:pPr>
      <w:r>
        <w:t xml:space="preserve">For technical questions about the architecture or notebooks, refer to comments in the notebook cells and the roadmap document for background rationale. If questions arise during v2 roadmap execution (e.g., backtesting framework design), revisit this handover and the roadmap for guidance.</w:t>
      </w:r>
    </w:p>
    <w:p>
      <w:pPr>
        <w:spacing w:after="150"/>
      </w:pPr>
      <w:r>
        <w:t xml:space="preserve">Good luck with the platform! The foundation is solid; the roadmap is clear. The next phase is about listening to stakeholder feedback and iterating rapidly on high-value enhancements.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2026-06-09T22:35:04.347Z</dcterms:created>
  <dcterms:modified xsi:type="dcterms:W3CDTF">2026-06-09T22:35:04.347Z</dcterms:modified>
</cp:coreProperties>
</file>

<file path=docProps/custom.xml><?xml version="1.0" encoding="utf-8"?>
<Properties xmlns="http://schemas.openxmlformats.org/officeDocument/2006/custom-properties" xmlns:vt="http://schemas.openxmlformats.org/officeDocument/2006/docPropsVTypes"/>
</file>