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Azure Cost Forecasting — Roadmap v3</w:t>
      </w:r>
    </w:p>
    <w:p>
      <w:pPr>
        <w:spacing w:after="200"/>
      </w:pPr>
      <w:r>
        <w:rPr>
          <w:i/>
          <w:iCs/>
        </w:rPr>
        <w:t xml:space="preserve">Trey Research | Updated: May 2026</w:t>
      </w:r>
    </w:p>
    <w:p>
      <w:pPr>
        <w:spacing w:after="200"/>
      </w:pPr>
      <w:r>
        <w:t xml:space="preserve">This roadmap captures the feature roadmap for a production-grade Azure cost forecasting pipeline built on Microsoft Fabric, using FOCUS-formatted billing data. The roadmap is structured in three phases: v2 (immediate), v3 (mid-term), and Future (strategic flexibility).</w:t>
      </w:r>
    </w:p>
    <w:p>
      <w:pPr>
        <w:pStyle w:val="Heading2"/>
      </w:pPr>
      <w:r>
        <w:t xml:space="preserve">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400"/>
        <w:gridCol w:w="19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Model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Hierarchical reconciliation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Tiered service modelling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Anomaly detection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Quantile outputs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overrides (translytical)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exogenous features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Ensembling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Volume scenarios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Drift detection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Change-point detection (ruptures)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Diagnostic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Backtesting framework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Cold-start 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Explainability (SHAP)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Enhancement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v2 Phase Items</w:t>
      </w:r>
    </w:p>
    <w:p>
      <w:pPr>
        <w:pStyle w:val="Heading2"/>
      </w:pPr>
      <w:r>
        <w:t xml:space="preserve">1. Hierarchical reconciliation</w:t>
      </w:r>
    </w:p>
    <w:p>
      <w:pPr>
        <w:spacing w:after="150"/>
      </w:pPr>
      <w:r>
        <w:t xml:space="preserve">Reconcile forecasts across cost hierarchy levels using MinT-optimal techniques to ensure child forecasts sum to parent forecasts.</w:t>
      </w:r>
    </w:p>
    <w:p>
      <w:pPr>
        <w:pStyle w:val="Heading2"/>
      </w:pPr>
      <w:r>
        <w:t xml:space="preserve">2. Tiered service modelling</w:t>
      </w:r>
    </w:p>
    <w:p>
      <w:pPr>
        <w:spacing w:after="150"/>
      </w:pPr>
      <w:r>
        <w:t xml:space="preserve">Model costs per service tier (compute, storage, networking, managed services) with tiered aggregation.</w:t>
      </w:r>
    </w:p>
    <w:p>
      <w:pPr>
        <w:pStyle w:val="Heading2"/>
      </w:pPr>
      <w:r>
        <w:t xml:space="preserve">3. Anomaly detection</w:t>
      </w:r>
    </w:p>
    <w:p>
      <w:pPr>
        <w:spacing w:after="150"/>
      </w:pPr>
      <w:r>
        <w:t xml:space="preserve">Three-layer architecture: STL residuals for point anomalies, forecast deviation for sustained drift, set-difference for workload lifecycle changes.</w:t>
      </w:r>
    </w:p>
    <w:p>
      <w:pPr>
        <w:pStyle w:val="Heading2"/>
      </w:pPr>
      <w:r>
        <w:t xml:space="preserve">4. Quantile outputs</w:t>
      </w:r>
    </w:p>
    <w:p>
      <w:pPr>
        <w:spacing w:after="150"/>
      </w:pPr>
      <w:r>
        <w:t xml:space="preserve">Generate prediction intervals (fan chart) at multiple confidence levels (10th, 50th, 90th percentiles).</w:t>
      </w:r>
    </w:p>
    <w:p>
      <w:pPr>
        <w:pStyle w:val="Heading2"/>
      </w:pPr>
      <w:r>
        <w:t xml:space="preserve">5. User overrides (translytical)</w:t>
      </w:r>
    </w:p>
    <w:p>
      <w:pPr>
        <w:spacing w:after="150"/>
      </w:pPr>
      <w:r>
        <w:t xml:space="preserve">Allow business users to validate or override baseline forecasts; captures volumetrics and commentary for audit trail.</w:t>
      </w:r>
    </w:p>
    <w:p>
      <w:pPr>
        <w:pStyle w:val="Heading2"/>
      </w:pPr>
      <w:r>
        <w:t xml:space="preserve">11. Backtesting framework</w:t>
      </w:r>
    </w:p>
    <w:p>
      <w:pPr>
        <w:spacing w:after="150"/>
      </w:pPr>
      <w:r>
        <w:t xml:space="preserve">Walk-forward cross-validation harness with MAPE/accuracy metrics by tier and horizon degradation curves.</w:t>
      </w:r>
    </w:p>
    <w:p>
      <w:pPr>
        <w:pStyle w:val="Heading2"/>
      </w:pPr>
      <w:r>
        <w:t xml:space="preserve">12. Cold-start handling</w:t>
      </w:r>
    </w:p>
    <w:p>
      <w:pPr>
        <w:spacing w:after="150"/>
      </w:pPr>
      <w:r>
        <w:t xml:space="preserve">Policy decision for new subscriptions/services with insufficient history; options include seasonal naive, pooled fit, or expert input.</w:t>
      </w:r>
    </w:p>
    <w:p>
      <w:pPr>
        <w:spacing w:before="200"/>
      </w:pPr>
      <w:r>
        <w:br w:type="page"/>
      </w:r>
    </w:p>
    <w:p>
      <w:pPr>
        <w:pStyle w:val="Heading2"/>
      </w:pPr>
      <w:r>
        <w:t xml:space="preserve">v3 Phase Items</w:t>
      </w:r>
    </w:p>
    <w:p>
      <w:pPr>
        <w:pStyle w:val="Heading2"/>
      </w:pPr>
      <w:r>
        <w:t xml:space="preserve">6. Operational exogenous features</w:t>
      </w:r>
    </w:p>
    <w:p>
      <w:pPr>
        <w:spacing w:after="150"/>
      </w:pPr>
      <w:r>
        <w:t xml:space="preserve">Integrate deployment events (Azure Resource Graph), reservation purchases, and calendar features (holidays, freeze periods).</w:t>
      </w:r>
    </w:p>
    <w:p>
      <w:pPr>
        <w:pStyle w:val="Heading2"/>
      </w:pPr>
      <w:r>
        <w:t xml:space="preserve">7. Ensembling</w:t>
      </w:r>
    </w:p>
    <w:p>
      <w:pPr>
        <w:spacing w:after="150"/>
      </w:pPr>
      <w:r>
        <w:t xml:space="preserve">Combine MSTL + AutoARIMA with alternative models (ETS, Theta, MLForecast/LightGBM); use weighted averaging or meta-learner.</w:t>
      </w:r>
    </w:p>
    <w:p>
      <w:pPr>
        <w:pStyle w:val="Heading2"/>
      </w:pPr>
      <w:r>
        <w:t xml:space="preserve">8. Volume scenarios</w:t>
      </w:r>
    </w:p>
    <w:p>
      <w:pPr>
        <w:spacing w:after="150"/>
      </w:pPr>
      <w:r>
        <w:t xml:space="preserve">Allow users to run &amp;#x201C;what-if&amp;#x201D; scenarios: forecast under growth assumptions, cost reduction targets, or workload changes.</w:t>
      </w:r>
    </w:p>
    <w:p>
      <w:pPr>
        <w:pStyle w:val="Heading2"/>
      </w:pPr>
      <w:r>
        <w:t xml:space="preserve">9. Drift detection</w:t>
      </w:r>
    </w:p>
    <w:p>
      <w:pPr>
        <w:spacing w:after="150"/>
      </w:pPr>
      <w:r>
        <w:t xml:space="preserve">Monitor forecast accuracy over time; re-fit models when drift exceeds threshold using CUSUM or Page-Hinkley test.</w:t>
      </w:r>
    </w:p>
    <w:p>
      <w:pPr>
        <w:pStyle w:val="Heading2"/>
      </w:pPr>
      <w:r>
        <w:t xml:space="preserve">10. Change-point detection (ruptures)</w:t>
      </w:r>
    </w:p>
    <w:p>
      <w:pPr>
        <w:spacing w:after="150"/>
      </w:pPr>
      <w:r>
        <w:t xml:space="preserve">Use PELT algorithm on MSTL trend components to surface structural breaks; candidates for workload lifecycle classification.</w:t>
      </w:r>
    </w:p>
    <w:p>
      <w:pPr>
        <w:pStyle w:val="Heading2"/>
      </w:pPr>
      <w:r>
        <w:t xml:space="preserve">13. Explainability (SHAP)</w:t>
      </w:r>
    </w:p>
    <w:p>
      <w:pPr>
        <w:spacing w:after="150"/>
      </w:pPr>
      <w:r>
        <w:t xml:space="preserve">Generate SHAP values for headline aggregations (subscription, division) to explain forecast drivers.</w:t>
      </w:r>
    </w:p>
    <w:p>
      <w:pPr>
        <w:spacing w:before="200"/>
      </w:pPr>
      <w:r>
        <w:br w:type="page"/>
      </w:r>
    </w:p>
    <w:p>
      <w:pPr>
        <w:pStyle w:val="Heading2"/>
      </w:pPr>
      <w:r>
        <w:t xml:space="preserve">Considered But Not on Roadmap</w:t>
      </w:r>
    </w:p>
    <w:p>
      <w:pPr>
        <w:spacing w:after="150"/>
      </w:pPr>
      <w:r>
        <w:t xml:space="preserve">These items have been evaluated and deliberately excluded. Documenting them prevents them being raised later as &amp;#x201C;things you missed.&amp;#x201D;</w:t>
      </w:r>
    </w:p>
    <w:p>
      <w:pPr>
        <w:pStyle w:val="Heading2"/>
      </w:pPr>
      <w:r>
        <w:t xml:space="preserve">FX / Multi-currency handling</w:t>
      </w:r>
    </w:p>
    <w:p>
      <w:pPr>
        <w:spacing w:after="150"/>
      </w:pPr>
      <w:r>
        <w:t xml:space="preserve">If Azure billing is multi-currency, FX rate movements show up as cost movements unrelated to consumption. Decision: handle upstream at FOCUS ingestion layer (currency normalization), not within the forecast. Not included on roadmap unless FOCUS data confirms multi-currency requirement.</w:t>
      </w:r>
    </w:p>
    <w:p>
      <w:pPr>
        <w:pStyle w:val="Heading2"/>
      </w:pPr>
      <w:r>
        <w:t xml:space="preserve">Holiday and calendar effects (enhanced)</w:t>
      </w:r>
    </w:p>
    <w:p>
      <w:pPr>
        <w:spacing w:after="150"/>
      </w:pPr>
      <w:r>
        <w:t xml:space="preserve">Detailed treatment of UK bank holidays, summer holiday dips, Christmas shutdown patterns beyond basic seasonality. Rationale: folded into item 6 (operational exogenous features) rather than separate item. Risk: calendar features treated as afterthought; mitigation is explicit v3 scoping of item 6 to include holidays as in-scope.</w:t>
      </w:r>
    </w:p>
    <w:p>
      <w:pPr>
        <w:pStyle w:val="Heading2"/>
      </w:pPr>
      <w:r>
        <w:t xml:space="preserve">Forecast-to-budget reconciliation loop</w:t>
      </w:r>
    </w:p>
    <w:p>
      <w:pPr>
        <w:spacing w:after="150"/>
      </w:pPr>
      <w:r>
        <w:t xml:space="preserve">Operational policy decision (forecast as input to budget revision vs. check against budget vs. parallel artefact). Not a modelling problem; recommend documenting as an operating model decision separate from the forecast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2026-06-09T22:34:24.371Z</dcterms:created>
  <dcterms:modified xsi:type="dcterms:W3CDTF">2026-06-09T22:34:24.385Z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