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C4996" w14:textId="77777777" w:rsidR="006B1065" w:rsidRDefault="006B1065" w:rsidP="006B1065">
      <w:r>
        <w:t>QUANTUM GENOMICS PROTOCOL:</w:t>
      </w:r>
    </w:p>
    <w:p w14:paraId="6F910221" w14:textId="5C4FC673" w:rsidR="006B1065" w:rsidRDefault="006B1065" w:rsidP="006B1065">
      <w:r>
        <w:t>A FRAMEWORK FOR SINGLE-CELL TRANSCRIPTOMIC ANALYSIS UNDER PHYSIOLOGICAL STRESS</w:t>
      </w:r>
    </w:p>
    <w:p w14:paraId="290BA60C" w14:textId="77777777" w:rsidR="006B1065" w:rsidRDefault="006B1065" w:rsidP="006B1065">
      <w:r>
        <w:t>EXECUTIVE SUMMARY</w:t>
      </w:r>
    </w:p>
    <w:p w14:paraId="3EEDF027" w14:textId="77777777" w:rsidR="006B1065" w:rsidRDefault="006B1065" w:rsidP="006B1065">
      <w:r>
        <w:t>The objective of this research is to leverage the exponential computational power inherent in Quantum Machine Learning (QML) to overcome the limitations of classical genomics analysis when characterizing complex biological transitions. Specifically, we aim to identify molecular signatures responsible for rare cell populations and map out continuous phenotypic trajectories resulting from environmental stressors (e.g., spaceflight). The protocol proceeds through three scientifically linked phases: robust data curation into a latent feature space; encoding this space into a quantum superposition state; and finally, employing specialized QML algorithms to extract bio-mechanistic insights, which are then translated back into experimentally testable hypotheses.</w:t>
      </w:r>
    </w:p>
    <w:p w14:paraId="4922E12F" w14:textId="77777777" w:rsidR="006B1065" w:rsidRDefault="006B1065" w:rsidP="006B1065"/>
    <w:p w14:paraId="5A2599D2" w14:textId="77777777" w:rsidR="006B1065" w:rsidRDefault="006B1065" w:rsidP="006B1065">
      <w:r>
        <w:t>PHASE I: DATA CURATION AND LATENT FEATURE EXTRACTION (The Foundation)</w:t>
      </w:r>
    </w:p>
    <w:p w14:paraId="6F8AEDA5" w14:textId="77777777" w:rsidR="006B1065" w:rsidRDefault="006B1065" w:rsidP="006B1065">
      <w:r>
        <w:t>The foundation of any robust analysis is the data itself. We begin with high-dimensional single-cell RNA sequencing count matrices acquired from comparative cohorts—specifically comparing ground control groups against spaceflight or simulated microgravity exposure samples.</w:t>
      </w:r>
    </w:p>
    <w:p w14:paraId="3FCBC369" w14:textId="77777777" w:rsidR="006B1065" w:rsidRDefault="006B1065" w:rsidP="006B1065"/>
    <w:p w14:paraId="07145F5A" w14:textId="77777777" w:rsidR="006B1065" w:rsidRDefault="006B1065" w:rsidP="006B1065">
      <w:r>
        <w:t>We recognize that raw counts are overwhelmed by technical noise and batch effects. Therefore, our initial focus is not on genes, but on underlying biological processes. We will employ sophisticated data integration algorithms (such as Harmony) to harmonize datasets across different time points and environmental conditions, effectively neutralizing non-biological variance.</w:t>
      </w:r>
    </w:p>
    <w:p w14:paraId="339AA8C2" w14:textId="77777777" w:rsidR="006B1065" w:rsidRDefault="006B1065" w:rsidP="006B1065"/>
    <w:p w14:paraId="4F48E2A2" w14:textId="1EE92C89" w:rsidR="006B1065" w:rsidRDefault="006B1065" w:rsidP="006B1065">
      <w:r>
        <w:t>The output of this stage must be a low-rank latent feature matrix</w:t>
      </w:r>
      <w:r>
        <w:t xml:space="preserve"> </w:t>
      </w:r>
      <w:proofErr w:type="spellStart"/>
      <w:r w:rsidRPr="006B1065">
        <w:t>X</w:t>
      </w:r>
      <w:r w:rsidRPr="006B1065">
        <w:rPr>
          <w:vertAlign w:val="subscript"/>
        </w:rPr>
        <w:t>latent</w:t>
      </w:r>
      <w:proofErr w:type="spellEnd"/>
      <w:r w:rsidRPr="006B1065">
        <w:rPr>
          <w:rFonts w:ascii="MS Gothic" w:eastAsia="MS Gothic" w:hAnsi="MS Gothic" w:cs="MS Gothic" w:hint="eastAsia"/>
        </w:rPr>
        <w:t>​</w:t>
      </w:r>
      <w:r w:rsidRPr="006B1065">
        <w:t>=f(X)</w:t>
      </w:r>
      <w:r>
        <w:t>. This matrix represents the cell's state compressed into a minimal set of uncorrelated, highly informative principal components (e.g., "Metabolic Stress Axis," "Apoptosis Predisposition Score"). Every subsequent quantum step relies critically on this purified representation, which eliminates noise and concentrates variance around biologically meaningful dimensions.</w:t>
      </w:r>
    </w:p>
    <w:p w14:paraId="3A2B379F" w14:textId="77777777" w:rsidR="006B1065" w:rsidRDefault="006B1065" w:rsidP="006B1065"/>
    <w:p w14:paraId="27018F47" w14:textId="77777777" w:rsidR="006B1065" w:rsidRDefault="006B1065" w:rsidP="006B1065">
      <w:r>
        <w:t>PHASE II: THE QUANTUM ENCODING AND MODEL CONSTRUCTION (The Bridge)</w:t>
      </w:r>
    </w:p>
    <w:p w14:paraId="01E25955" w14:textId="0AC856AE" w:rsidR="006B1065" w:rsidRDefault="006B1065" w:rsidP="006B1065">
      <w:r>
        <w:t>This phase is the methodological core, where classical genomic data (</w:t>
      </w:r>
      <w:r>
        <w:rPr>
          <w:rFonts w:ascii="Arial" w:hAnsi="Arial" w:cs="Arial"/>
          <w:color w:val="000000"/>
        </w:rPr>
        <w:t>x</w:t>
      </w:r>
      <w:r>
        <w:rPr>
          <w:rFonts w:ascii="宋体" w:eastAsia="宋体" w:hAnsi="宋体" w:cs="宋体" w:hint="eastAsia"/>
          <w:color w:val="000000"/>
        </w:rPr>
        <w:t>∈</w:t>
      </w:r>
      <w:r>
        <w:rPr>
          <w:rFonts w:ascii="Arial" w:hAnsi="Arial" w:cs="Arial"/>
          <w:color w:val="000000"/>
        </w:rPr>
        <w:t>R</w:t>
      </w:r>
      <w:r w:rsidRPr="006B1065">
        <w:rPr>
          <w:rFonts w:ascii="Arial" w:hAnsi="Arial" w:cs="Arial"/>
          <w:color w:val="000000"/>
          <w:vertAlign w:val="superscript"/>
        </w:rPr>
        <w:t>m</w:t>
      </w:r>
      <w:r>
        <w:t>) must be translated into a quantum-mechanical language—a probability amplitude in Hilbert space. This transformation is mandatory because only this superposition state can allow us to process exponential information complexity.</w:t>
      </w:r>
    </w:p>
    <w:p w14:paraId="6389D0BE" w14:textId="77777777" w:rsidR="006B1065" w:rsidRDefault="006B1065" w:rsidP="006B1065"/>
    <w:p w14:paraId="3919F213" w14:textId="5040BE8E" w:rsidR="006B1065" w:rsidRPr="001F79FA" w:rsidRDefault="006B1065" w:rsidP="006B1065">
      <w:pPr>
        <w:rPr>
          <w:rFonts w:ascii="Cambria Math" w:hAnsi="Cambria Math" w:cs="Cambria Math"/>
          <w:color w:val="000000"/>
        </w:rPr>
      </w:pPr>
      <w:r>
        <w:t xml:space="preserve">We define the mapping by constructing a Quantum State Preparation Operator, </w:t>
      </w:r>
      <w:proofErr w:type="spellStart"/>
      <w:r>
        <w:rPr>
          <w:rFonts w:ascii="Arial" w:hAnsi="Arial" w:cs="Arial"/>
          <w:color w:val="000000"/>
        </w:rPr>
        <w:t>Ux</w:t>
      </w:r>
      <w:proofErr w:type="spellEnd"/>
      <w:r>
        <w:rPr>
          <w:rFonts w:ascii="Arial" w:hAnsi="Arial" w:cs="Arial"/>
          <w:color w:val="000000"/>
        </w:rPr>
        <w:t>​</w:t>
      </w:r>
      <w:r>
        <w:t xml:space="preserve">. The latent feature vector x dictates the parameters (angles and couplings) of a Variational Quantum Circuit (VQC). This VQC acts on an initial quantum vacuum state </w:t>
      </w:r>
      <w:r>
        <w:rPr>
          <w:rFonts w:ascii="宋体" w:eastAsia="宋体" w:hAnsi="宋体" w:cs="宋体" w:hint="eastAsia"/>
          <w:color w:val="000000"/>
        </w:rPr>
        <w:t>∣</w:t>
      </w:r>
      <w:r>
        <w:rPr>
          <w:rFonts w:ascii="Arial" w:hAnsi="Arial" w:cs="Arial"/>
          <w:color w:val="000000"/>
        </w:rPr>
        <w:t>0…0</w:t>
      </w:r>
      <w:r>
        <w:rPr>
          <w:rFonts w:ascii="Cambria Math" w:hAnsi="Cambria Math" w:cs="Cambria Math"/>
          <w:color w:val="000000"/>
        </w:rPr>
        <w:t>⟩</w:t>
      </w:r>
      <w:r>
        <w:t xml:space="preserve"> to yield the quantum state </w:t>
      </w:r>
      <w:r>
        <w:rPr>
          <w:rFonts w:ascii="宋体" w:eastAsia="宋体" w:hAnsi="宋体" w:cs="宋体" w:hint="eastAsia"/>
          <w:color w:val="000000"/>
        </w:rPr>
        <w:t>∣</w:t>
      </w:r>
      <w:r>
        <w:rPr>
          <w:rFonts w:ascii="Arial" w:hAnsi="Arial" w:cs="Arial"/>
          <w:color w:val="000000"/>
        </w:rPr>
        <w:t>ψ(x)</w:t>
      </w:r>
      <w:r>
        <w:rPr>
          <w:rFonts w:ascii="Cambria Math" w:hAnsi="Cambria Math" w:cs="Cambria Math"/>
          <w:color w:val="000000"/>
        </w:rPr>
        <w:t>⟩</w:t>
      </w:r>
      <w:r>
        <w:t>.</w:t>
      </w:r>
    </w:p>
    <w:p w14:paraId="3368A6B5" w14:textId="77777777" w:rsidR="006B1065" w:rsidRDefault="006B1065" w:rsidP="006B1065"/>
    <w:p w14:paraId="50D0457F" w14:textId="3E98584E" w:rsidR="006B1065" w:rsidRDefault="006B1065" w:rsidP="006B1065">
      <w:r>
        <w:t xml:space="preserve">The crucial architectural components of </w:t>
      </w:r>
      <w:proofErr w:type="spellStart"/>
      <w:r w:rsidR="001F79FA" w:rsidRPr="001F79FA">
        <w:t>Ux</w:t>
      </w:r>
      <w:proofErr w:type="spellEnd"/>
      <w:r w:rsidR="001F79FA" w:rsidRPr="001F79FA">
        <w:rPr>
          <w:rFonts w:ascii="MS Gothic" w:eastAsia="MS Gothic" w:hAnsi="MS Gothic" w:cs="MS Gothic" w:hint="eastAsia"/>
        </w:rPr>
        <w:t>​</w:t>
      </w:r>
      <w:r>
        <w:t xml:space="preserve"> are:</w:t>
      </w:r>
    </w:p>
    <w:p w14:paraId="6106E783" w14:textId="77777777" w:rsidR="006B1065" w:rsidRDefault="006B1065" w:rsidP="006B1065"/>
    <w:p w14:paraId="60EC6647" w14:textId="15538A79" w:rsidR="006B1065" w:rsidRPr="001F79FA" w:rsidRDefault="006B1065" w:rsidP="001F79FA">
      <w:pPr>
        <w:widowControl/>
        <w:jc w:val="left"/>
        <w:rPr>
          <w:rFonts w:ascii="宋体" w:eastAsia="宋体" w:hAnsi="宋体" w:cs="宋体"/>
          <w:kern w:val="0"/>
          <w:sz w:val="24"/>
          <w:szCs w:val="24"/>
        </w:rPr>
      </w:pPr>
      <w:r>
        <w:t xml:space="preserve">SINGLE-QUBIT PARAMETERIZATION: Each key dimension of </w:t>
      </w:r>
      <w:proofErr w:type="spellStart"/>
      <w:r w:rsidR="001F79FA">
        <w:rPr>
          <w:rFonts w:ascii="Arial" w:hAnsi="Arial" w:cs="Arial"/>
          <w:color w:val="000000"/>
        </w:rPr>
        <w:t>X</w:t>
      </w:r>
      <w:r w:rsidR="001F79FA" w:rsidRPr="001F79FA">
        <w:rPr>
          <w:rFonts w:ascii="Arial" w:hAnsi="Arial" w:cs="Arial"/>
          <w:color w:val="000000"/>
          <w:vertAlign w:val="subscript"/>
        </w:rPr>
        <w:t>latent</w:t>
      </w:r>
      <w:proofErr w:type="spellEnd"/>
      <w:r w:rsidR="001F79FA" w:rsidRPr="001F79FA">
        <w:rPr>
          <w:rFonts w:ascii="Arial" w:hAnsi="Arial" w:cs="Arial"/>
          <w:color w:val="000000"/>
          <w:vertAlign w:val="subscript"/>
        </w:rPr>
        <w:t>​</w:t>
      </w:r>
      <w:r>
        <w:t xml:space="preserve"> is assigned a rotation angle (</w:t>
      </w:r>
      <w:r w:rsidR="001F79FA" w:rsidRPr="001F79FA">
        <w:rPr>
          <w:rFonts w:ascii="Times New Roman" w:eastAsia="宋体" w:hAnsi="Times New Roman" w:cs="Times New Roman"/>
          <w:color w:val="000000"/>
          <w:kern w:val="0"/>
          <w:sz w:val="29"/>
          <w:szCs w:val="29"/>
        </w:rPr>
        <w:t>R</w:t>
      </w:r>
      <w:r w:rsidR="001F79FA" w:rsidRPr="001F79FA">
        <w:rPr>
          <w:rFonts w:ascii="Times New Roman" w:eastAsia="宋体" w:hAnsi="Times New Roman" w:cs="Times New Roman"/>
          <w:color w:val="000000"/>
          <w:kern w:val="0"/>
          <w:sz w:val="29"/>
          <w:szCs w:val="29"/>
          <w:vertAlign w:val="subscript"/>
        </w:rPr>
        <w:t>Z</w:t>
      </w:r>
      <w:r w:rsidR="001F79FA" w:rsidRPr="001F79FA">
        <w:rPr>
          <w:rFonts w:ascii="Times New Roman" w:eastAsia="宋体" w:hAnsi="Times New Roman" w:cs="Times New Roman"/>
          <w:color w:val="000000"/>
          <w:kern w:val="0"/>
          <w:sz w:val="29"/>
          <w:szCs w:val="29"/>
        </w:rPr>
        <w:t>​</w:t>
      </w:r>
      <w:r>
        <w:t xml:space="preserve">) across one or more qubits, thereby inscribing the feature magnitude directly into the phase and amplitude structure of </w:t>
      </w:r>
      <w:r w:rsidR="001F79FA">
        <w:rPr>
          <w:rFonts w:ascii="宋体" w:eastAsia="宋体" w:hAnsi="宋体" w:cs="宋体" w:hint="eastAsia"/>
          <w:color w:val="000000"/>
        </w:rPr>
        <w:t>∣</w:t>
      </w:r>
      <w:r w:rsidR="001F79FA">
        <w:rPr>
          <w:rFonts w:ascii="Arial" w:hAnsi="Arial" w:cs="Arial"/>
          <w:color w:val="000000"/>
        </w:rPr>
        <w:t>ψ(x)</w:t>
      </w:r>
      <w:r w:rsidR="001F79FA">
        <w:rPr>
          <w:rFonts w:ascii="Cambria Math" w:hAnsi="Cambria Math" w:cs="Cambria Math"/>
          <w:color w:val="000000"/>
        </w:rPr>
        <w:t>⟩</w:t>
      </w:r>
      <w:r>
        <w:t>.</w:t>
      </w:r>
    </w:p>
    <w:p w14:paraId="681C9BE4" w14:textId="77777777" w:rsidR="006B1065" w:rsidRDefault="006B1065" w:rsidP="006B1065">
      <w:r>
        <w:t>ENTANGLING COUPLING: We incorporate controlled-rotation gates (e.g., CZ) between qubit pairs. These couplings are vital because they mathematically represent the interaction or synergistic effect between two latent biological dimensions (e.g., "Stress Axis" combined with "Inflammatory Response").</w:t>
      </w:r>
    </w:p>
    <w:p w14:paraId="2C955B76" w14:textId="44D015D8" w:rsidR="006B1065" w:rsidRDefault="006B1065" w:rsidP="006B1065">
      <w:r>
        <w:t xml:space="preserve">The result is a robust quantum state </w:t>
      </w:r>
      <w:r w:rsidR="00612E51" w:rsidRPr="00612E51">
        <w:t>∣ψ(x)</w:t>
      </w:r>
      <w:r w:rsidR="00612E51" w:rsidRPr="00612E51">
        <w:rPr>
          <w:rFonts w:ascii="Cambria Math" w:hAnsi="Cambria Math" w:cs="Cambria Math"/>
        </w:rPr>
        <w:t>⟩</w:t>
      </w:r>
      <w:r>
        <w:t>, which serves as the canonical representation of the cell's molecular status within a vastly expanded, non-linear, and highly expressive quantum geometry.</w:t>
      </w:r>
    </w:p>
    <w:p w14:paraId="78E28B57" w14:textId="77777777" w:rsidR="006B1065" w:rsidRDefault="006B1065" w:rsidP="006B1065"/>
    <w:p w14:paraId="260881C4" w14:textId="77777777" w:rsidR="006B1065" w:rsidRDefault="006B1065" w:rsidP="006B1065">
      <w:r>
        <w:t>PHASE III: ALGORITHMIC APPLICATION AND INTERPRETATION (The Payoff)</w:t>
      </w:r>
    </w:p>
    <w:p w14:paraId="2F670B1B" w14:textId="77777777" w:rsidR="006B1065" w:rsidRDefault="006B1065" w:rsidP="006B1065">
      <w:r>
        <w:t>We utilize this generated quantum state to tackle the two specific biological problems using specialized QML techniques.</w:t>
      </w:r>
    </w:p>
    <w:p w14:paraId="1F21C88D" w14:textId="77777777" w:rsidR="006B1065" w:rsidRDefault="006B1065" w:rsidP="006B1065"/>
    <w:p w14:paraId="6E179679" w14:textId="2DA9CEB6" w:rsidR="006B1065" w:rsidRPr="000E1992" w:rsidRDefault="006B1065" w:rsidP="00612E51">
      <w:pPr>
        <w:widowControl/>
        <w:jc w:val="left"/>
        <w:rPr>
          <w:rFonts w:ascii="Times New Roman" w:eastAsia="宋体" w:hAnsi="Times New Roman" w:cs="Times New Roman"/>
          <w:color w:val="000000"/>
          <w:kern w:val="0"/>
          <w:sz w:val="29"/>
          <w:szCs w:val="29"/>
        </w:rPr>
      </w:pPr>
      <w:r>
        <w:t xml:space="preserve">A. TACKLING RARE POPULATION IDENTIFICATION (Classification): For identifying rare cells, we employ a Quantum Support Vector Machine (QSVM). The goal is not merely clustering, but defining an impenetrable boundary between the main population and the anomaly. We measure the Quantum Kernel </w:t>
      </w:r>
      <w:r w:rsidR="00612E51" w:rsidRPr="00612E51">
        <w:rPr>
          <w:rFonts w:ascii="Times New Roman" w:eastAsia="宋体" w:hAnsi="Times New Roman" w:cs="Times New Roman"/>
          <w:color w:val="000000"/>
          <w:kern w:val="0"/>
          <w:sz w:val="29"/>
          <w:szCs w:val="29"/>
        </w:rPr>
        <w:t>K</w:t>
      </w:r>
      <w:r w:rsidR="00612E51" w:rsidRPr="00612E51">
        <w:rPr>
          <w:rFonts w:ascii="Times New Roman" w:eastAsia="宋体" w:hAnsi="Times New Roman" w:cs="Times New Roman"/>
          <w:color w:val="000000"/>
          <w:kern w:val="0"/>
          <w:sz w:val="29"/>
          <w:szCs w:val="29"/>
          <w:vertAlign w:val="subscript"/>
        </w:rPr>
        <w:t>QC</w:t>
      </w:r>
      <w:r w:rsidR="00612E51" w:rsidRPr="00612E51">
        <w:rPr>
          <w:rFonts w:ascii="Times New Roman" w:eastAsia="宋体" w:hAnsi="Times New Roman" w:cs="Times New Roman"/>
          <w:color w:val="000000"/>
          <w:kern w:val="0"/>
          <w:sz w:val="29"/>
          <w:szCs w:val="29"/>
        </w:rPr>
        <w:t>​(</w:t>
      </w:r>
      <w:proofErr w:type="spellStart"/>
      <w:r w:rsidR="00612E51" w:rsidRPr="00612E51">
        <w:rPr>
          <w:rFonts w:ascii="Times New Roman" w:eastAsia="宋体" w:hAnsi="Times New Roman" w:cs="Times New Roman"/>
          <w:color w:val="000000"/>
          <w:kern w:val="0"/>
          <w:sz w:val="29"/>
          <w:szCs w:val="29"/>
        </w:rPr>
        <w:t>x</w:t>
      </w:r>
      <w:r w:rsidR="00612E51" w:rsidRPr="00612E51">
        <w:rPr>
          <w:rFonts w:ascii="Times New Roman" w:eastAsia="宋体" w:hAnsi="Times New Roman" w:cs="Times New Roman"/>
          <w:color w:val="000000"/>
          <w:kern w:val="0"/>
          <w:sz w:val="29"/>
          <w:szCs w:val="29"/>
          <w:vertAlign w:val="subscript"/>
        </w:rPr>
        <w:t>a</w:t>
      </w:r>
      <w:proofErr w:type="spellEnd"/>
      <w:r w:rsidR="00612E51" w:rsidRPr="00612E51">
        <w:rPr>
          <w:rFonts w:ascii="Times New Roman" w:eastAsia="宋体" w:hAnsi="Times New Roman" w:cs="Times New Roman"/>
          <w:color w:val="000000"/>
          <w:kern w:val="0"/>
          <w:sz w:val="29"/>
          <w:szCs w:val="29"/>
        </w:rPr>
        <w:t>​,</w:t>
      </w:r>
      <w:proofErr w:type="spellStart"/>
      <w:r w:rsidR="00612E51" w:rsidRPr="00612E51">
        <w:rPr>
          <w:rFonts w:ascii="Times New Roman" w:eastAsia="宋体" w:hAnsi="Times New Roman" w:cs="Times New Roman"/>
          <w:color w:val="000000"/>
          <w:kern w:val="0"/>
          <w:sz w:val="29"/>
          <w:szCs w:val="29"/>
        </w:rPr>
        <w:t>x</w:t>
      </w:r>
      <w:r w:rsidR="00612E51" w:rsidRPr="00612E51">
        <w:rPr>
          <w:rFonts w:ascii="Times New Roman" w:eastAsia="宋体" w:hAnsi="Times New Roman" w:cs="Times New Roman"/>
          <w:color w:val="000000"/>
          <w:kern w:val="0"/>
          <w:sz w:val="29"/>
          <w:szCs w:val="29"/>
          <w:vertAlign w:val="subscript"/>
        </w:rPr>
        <w:t>b</w:t>
      </w:r>
      <w:proofErr w:type="spellEnd"/>
      <w:r w:rsidR="00612E51" w:rsidRPr="00612E51">
        <w:rPr>
          <w:rFonts w:ascii="Times New Roman" w:eastAsia="宋体" w:hAnsi="Times New Roman" w:cs="Times New Roman"/>
          <w:color w:val="000000"/>
          <w:kern w:val="0"/>
          <w:sz w:val="29"/>
          <w:szCs w:val="29"/>
        </w:rPr>
        <w:t>​)</w:t>
      </w:r>
      <w:r>
        <w:t>, which quantifies the similarity by calculating the fidelity of overlap between two quantum states:</w:t>
      </w:r>
      <w:r w:rsidR="00612E51" w:rsidRPr="00612E51">
        <w:rPr>
          <w:rFonts w:ascii="Arial" w:hAnsi="Arial" w:cs="Arial"/>
          <w:color w:val="000000"/>
        </w:rPr>
        <w:t xml:space="preserve"> </w:t>
      </w:r>
      <w:r w:rsidR="00612E51" w:rsidRPr="00612E51">
        <w:rPr>
          <w:rFonts w:ascii="MS Gothic" w:eastAsia="MS Gothic" w:hAnsi="MS Gothic" w:cs="MS Gothic" w:hint="eastAsia"/>
        </w:rPr>
        <w:t>​</w:t>
      </w:r>
      <w:r w:rsidR="00612E51" w:rsidRPr="00612E51">
        <w:rPr>
          <w:rFonts w:ascii="Cambria Math" w:hAnsi="Cambria Math" w:cs="Cambria Math"/>
        </w:rPr>
        <w:t>⟨</w:t>
      </w:r>
      <w:r w:rsidR="00612E51" w:rsidRPr="00612E51">
        <w:t>ψ(</w:t>
      </w:r>
      <w:proofErr w:type="spellStart"/>
      <w:r w:rsidR="00612E51" w:rsidRPr="00612E51">
        <w:t>x</w:t>
      </w:r>
      <w:r w:rsidR="00612E51" w:rsidRPr="00612E51">
        <w:rPr>
          <w:vertAlign w:val="subscript"/>
        </w:rPr>
        <w:t>a</w:t>
      </w:r>
      <w:proofErr w:type="spellEnd"/>
      <w:r w:rsidR="00612E51" w:rsidRPr="00612E51">
        <w:rPr>
          <w:rFonts w:ascii="MS Gothic" w:eastAsia="MS Gothic" w:hAnsi="MS Gothic" w:cs="MS Gothic" w:hint="eastAsia"/>
        </w:rPr>
        <w:t>​</w:t>
      </w:r>
      <w:r w:rsidR="00612E51" w:rsidRPr="00612E51">
        <w:t>)</w:t>
      </w:r>
      <w:r w:rsidR="00612E51" w:rsidRPr="00612E51">
        <w:rPr>
          <w:rFonts w:ascii="MS Gothic" w:eastAsia="MS Gothic" w:hAnsi="MS Gothic" w:cs="MS Gothic" w:hint="eastAsia"/>
        </w:rPr>
        <w:t>​</w:t>
      </w:r>
      <w:r w:rsidR="00612E51" w:rsidRPr="00612E51">
        <w:rPr>
          <w:rFonts w:ascii="等线" w:eastAsia="等线" w:hAnsi="等线" w:cs="等线" w:hint="eastAsia"/>
        </w:rPr>
        <w:t>ψ</w:t>
      </w:r>
      <w:r w:rsidR="00612E51" w:rsidRPr="00612E51">
        <w:t>(</w:t>
      </w:r>
      <w:proofErr w:type="spellStart"/>
      <w:r w:rsidR="00612E51" w:rsidRPr="00612E51">
        <w:t>x</w:t>
      </w:r>
      <w:r w:rsidR="00612E51" w:rsidRPr="00612E51">
        <w:rPr>
          <w:vertAlign w:val="subscript"/>
        </w:rPr>
        <w:t>b</w:t>
      </w:r>
      <w:proofErr w:type="spellEnd"/>
      <w:r w:rsidR="00612E51" w:rsidRPr="00612E51">
        <w:rPr>
          <w:rFonts w:ascii="MS Gothic" w:eastAsia="MS Gothic" w:hAnsi="MS Gothic" w:cs="MS Gothic" w:hint="eastAsia"/>
        </w:rPr>
        <w:t>​</w:t>
      </w:r>
      <w:r w:rsidR="00612E51" w:rsidRPr="00612E51">
        <w:t>)</w:t>
      </w:r>
      <w:r w:rsidR="00612E51" w:rsidRPr="00612E51">
        <w:rPr>
          <w:rFonts w:ascii="Cambria Math" w:hAnsi="Cambria Math" w:cs="Cambria Math"/>
        </w:rPr>
        <w:t>⟩</w:t>
      </w:r>
      <w:r w:rsidR="00612E51" w:rsidRPr="00612E51">
        <w:rPr>
          <w:rFonts w:ascii="MS Gothic" w:eastAsia="MS Gothic" w:hAnsi="MS Gothic" w:cs="MS Gothic" w:hint="eastAsia"/>
          <w:vertAlign w:val="superscript"/>
        </w:rPr>
        <w:t>​</w:t>
      </w:r>
      <w:r w:rsidR="00612E51" w:rsidRPr="00612E51">
        <w:rPr>
          <w:vertAlign w:val="superscript"/>
        </w:rPr>
        <w:t>2</w:t>
      </w:r>
      <w:r>
        <w:t xml:space="preserve">. By maximizing this kernel in the quantum space, we effectively elevate the classification problem to an exponentially complex, non-linear manifold where the rare group becomes maximally separable. The outlier points, thus identified by the QSVM boundary function, represent our hypothesized </w:t>
      </w:r>
      <w:r w:rsidR="00612E51" w:rsidRPr="00612E51">
        <w:rPr>
          <w:rFonts w:ascii="Times New Roman" w:eastAsia="宋体" w:hAnsi="Times New Roman" w:cs="Times New Roman"/>
          <w:color w:val="000000"/>
          <w:kern w:val="0"/>
          <w:sz w:val="29"/>
          <w:szCs w:val="29"/>
        </w:rPr>
        <w:t>BCSC</w:t>
      </w:r>
      <w:r>
        <w:t xml:space="preserve"> signatures.</w:t>
      </w:r>
    </w:p>
    <w:p w14:paraId="19F48437" w14:textId="77777777" w:rsidR="006B1065" w:rsidRDefault="006B1065" w:rsidP="006B1065"/>
    <w:p w14:paraId="5480E6F4" w14:textId="1D8E6386" w:rsidR="006B1065" w:rsidRPr="000E1992" w:rsidRDefault="006B1065" w:rsidP="000E1992">
      <w:pPr>
        <w:widowControl/>
        <w:jc w:val="left"/>
        <w:rPr>
          <w:rFonts w:ascii="宋体" w:eastAsia="宋体" w:hAnsi="宋体" w:cs="宋体"/>
          <w:kern w:val="0"/>
          <w:sz w:val="24"/>
          <w:szCs w:val="24"/>
        </w:rPr>
      </w:pPr>
      <w:r>
        <w:t>B. TACKLING POPULATION HETEROGENEITY (Clustering): For mapping continuous state transitions (e.g., erythroid or B-cell maturation), we leverage a Quantum Variational Autoencoder (</w:t>
      </w:r>
      <w:r w:rsidR="000E1992" w:rsidRPr="000E1992">
        <w:rPr>
          <w:rFonts w:ascii="Times New Roman" w:eastAsia="宋体" w:hAnsi="Times New Roman" w:cs="Times New Roman"/>
          <w:color w:val="000000"/>
          <w:kern w:val="0"/>
          <w:sz w:val="29"/>
          <w:szCs w:val="29"/>
        </w:rPr>
        <w:t>QVAE</w:t>
      </w:r>
      <w:r>
        <w:t xml:space="preserve">). The QVAE is designed to map the input </w:t>
      </w:r>
      <w:r w:rsidR="000E1992" w:rsidRPr="000E1992">
        <w:t>x</w:t>
      </w:r>
      <w:r>
        <w:t xml:space="preserve"> into a low-dimensional, smooth latent distribution </w:t>
      </w:r>
      <w:r w:rsidR="000E1992">
        <w:rPr>
          <w:rFonts w:ascii="Times New Roman" w:hAnsi="Times New Roman" w:cs="Times New Roman"/>
          <w:color w:val="000000"/>
          <w:sz w:val="29"/>
          <w:szCs w:val="29"/>
        </w:rPr>
        <w:t>(</w:t>
      </w:r>
      <w:proofErr w:type="spellStart"/>
      <w:proofErr w:type="gramStart"/>
      <w:r w:rsidR="000E1992">
        <w:rPr>
          <w:rFonts w:ascii="Times New Roman" w:hAnsi="Times New Roman" w:cs="Times New Roman"/>
          <w:color w:val="000000"/>
          <w:sz w:val="29"/>
          <w:szCs w:val="29"/>
        </w:rPr>
        <w:t>μ,Σ</w:t>
      </w:r>
      <w:proofErr w:type="spellEnd"/>
      <w:proofErr w:type="gramEnd"/>
      <w:r w:rsidR="000E1992">
        <w:rPr>
          <w:rFonts w:ascii="Times New Roman" w:hAnsi="Times New Roman" w:cs="Times New Roman"/>
          <w:color w:val="000000"/>
          <w:sz w:val="29"/>
          <w:szCs w:val="29"/>
        </w:rPr>
        <w:t>)</w:t>
      </w:r>
      <w:r>
        <w:t xml:space="preserve"> within the quantum manifold. This process fundamentally transforms discrete cells into a continuous state landscape. By performing specialized trajectory analysis (analogous to </w:t>
      </w:r>
      <w:proofErr w:type="spellStart"/>
      <w:r>
        <w:t>pseudotime</w:t>
      </w:r>
      <w:proofErr w:type="spellEnd"/>
      <w:r>
        <w:t xml:space="preserve">) on this continuous </w:t>
      </w:r>
      <w:r w:rsidR="000E1992">
        <w:rPr>
          <w:rFonts w:ascii="Arial" w:hAnsi="Arial" w:cs="Arial"/>
          <w:color w:val="000000"/>
        </w:rPr>
        <w:t>X</w:t>
      </w:r>
      <w:r w:rsidR="000E1992">
        <w:rPr>
          <w:rFonts w:ascii="Cambria Math" w:hAnsi="Cambria Math" w:cs="Cambria Math"/>
          <w:color w:val="000000"/>
        </w:rPr>
        <w:t>∼</w:t>
      </w:r>
      <w:r w:rsidR="000E1992">
        <w:rPr>
          <w:rFonts w:ascii="Arial" w:hAnsi="Arial" w:cs="Arial"/>
          <w:color w:val="000000"/>
        </w:rPr>
        <w:t>N(</w:t>
      </w:r>
      <w:proofErr w:type="spellStart"/>
      <w:proofErr w:type="gramStart"/>
      <w:r w:rsidR="000E1992">
        <w:rPr>
          <w:rFonts w:ascii="Arial" w:hAnsi="Arial" w:cs="Arial"/>
          <w:color w:val="000000"/>
        </w:rPr>
        <w:t>μ,Σ</w:t>
      </w:r>
      <w:proofErr w:type="spellEnd"/>
      <w:proofErr w:type="gramEnd"/>
      <w:r w:rsidR="000E1992">
        <w:rPr>
          <w:rFonts w:ascii="Arial" w:hAnsi="Arial" w:cs="Arial"/>
          <w:color w:val="000000"/>
        </w:rPr>
        <w:t>)</w:t>
      </w:r>
      <w:r>
        <w:t xml:space="preserve"> space, we can visualize:</w:t>
      </w:r>
    </w:p>
    <w:p w14:paraId="70290896" w14:textId="77777777" w:rsidR="006B1065" w:rsidRDefault="006B1065" w:rsidP="006B1065"/>
    <w:p w14:paraId="713B5C8C" w14:textId="77777777" w:rsidR="006B1065" w:rsidRDefault="006B1065" w:rsidP="006B1065">
      <w:r>
        <w:t>The complete maturation/transition path of the cell type.</w:t>
      </w:r>
    </w:p>
    <w:p w14:paraId="0D5A6305" w14:textId="77777777" w:rsidR="006B1065" w:rsidRDefault="006B1065" w:rsidP="006B1065">
      <w:r>
        <w:t>Critical "Bottleneck Points"—nodes where the cell state undergoes rapid, profound molecular changes due to stress or aging.</w:t>
      </w:r>
    </w:p>
    <w:p w14:paraId="5F95698B" w14:textId="77777777" w:rsidR="006B1065" w:rsidRDefault="006B1065" w:rsidP="006B1065">
      <w:r>
        <w:t>PHASE IV: BIOLOGICAL INTERPRETATION AND MECHANISTIC HYPOTHESIS GENERATION (The Scientific Conclusion)</w:t>
      </w:r>
    </w:p>
    <w:p w14:paraId="01FED237" w14:textId="77777777" w:rsidR="006B1065" w:rsidRDefault="006B1065" w:rsidP="006B1065">
      <w:r>
        <w:lastRenderedPageBreak/>
        <w:t>This phase translates mathematical geometry back into biology. We cannot simply report a cluster ID; we must propose mechanisms.</w:t>
      </w:r>
    </w:p>
    <w:p w14:paraId="27D33DDB" w14:textId="77777777" w:rsidR="006B1065" w:rsidRDefault="006B1065" w:rsidP="006B1065"/>
    <w:p w14:paraId="6DF8C50A" w14:textId="508A4CA2" w:rsidR="006B1065" w:rsidRDefault="006B1065" w:rsidP="006B1065">
      <w:r>
        <w:t>SIGNATURE UNMASKING FROM THE QUANTUM SPACE: For every identified anomalous state or bottleneck point, we calculate the Feature Contribution Weight (</w:t>
      </w:r>
      <w:r w:rsidR="000E1992">
        <w:rPr>
          <w:rFonts w:ascii="Times New Roman" w:hAnsi="Times New Roman" w:cs="Times New Roman"/>
          <w:color w:val="000000"/>
          <w:sz w:val="29"/>
          <w:szCs w:val="29"/>
        </w:rPr>
        <w:t>W</w:t>
      </w:r>
      <w:r>
        <w:t>). This weight quantifies which original latent dimensions (e.g., high expression of X pathway gene set) are responsible for maximally driving the quantum distance or separation. The resulting list of highly weighted, differentially expressed genes constitutes the core molecular signature defining that specific physiological state or transition point.</w:t>
      </w:r>
    </w:p>
    <w:p w14:paraId="7BABF03D" w14:textId="77777777" w:rsidR="006B1065" w:rsidRDefault="006B1065" w:rsidP="006B1065"/>
    <w:p w14:paraId="0E2C4BAD" w14:textId="77777777" w:rsidR="006B1065" w:rsidRDefault="006B1065" w:rsidP="006B1065">
      <w:r>
        <w:t>PATHWAY AND NETWORK INFERENCE: We take these top-weighted signatures and subject them to classical Pathway Enrichment Analysis (GSEA). We prioritize pathways related to stress response, immune evasion, and chromatin remodeling—as these are the most likely targets of spaceflight effects.</w:t>
      </w:r>
    </w:p>
    <w:p w14:paraId="545FD488" w14:textId="77777777" w:rsidR="006B1065" w:rsidRDefault="006B1065" w:rsidP="006B1065"/>
    <w:p w14:paraId="7B695772" w14:textId="3BA4E94E" w:rsidR="006B1065" w:rsidRDefault="006B1065" w:rsidP="006B1065">
      <w:r>
        <w:t xml:space="preserve">FINAL TESTABLE HYPOTHESIS GENERATION: The ultimate output is not a model, but a definitive hypothesis set: "We hypothesize that the observed </w:t>
      </w:r>
      <w:r w:rsidR="000E1992">
        <w:t>BCSC</w:t>
      </w:r>
      <w:r>
        <w:t xml:space="preserve"> state is driven by an upregulation of Pathway A and a unique stabilization of Gene B due to insufficient weight from the stress-mitigation axis (latent dimension </w:t>
      </w:r>
      <w:proofErr w:type="spellStart"/>
      <w:r w:rsidR="000E1992">
        <w:rPr>
          <w:rFonts w:ascii="Arial" w:hAnsi="Arial" w:cs="Arial"/>
          <w:color w:val="000000"/>
        </w:rPr>
        <w:t>x</w:t>
      </w:r>
      <w:r w:rsidR="000E1992" w:rsidRPr="000E1992">
        <w:rPr>
          <w:rFonts w:ascii="Arial" w:hAnsi="Arial" w:cs="Arial"/>
          <w:color w:val="000000"/>
          <w:vertAlign w:val="subscript"/>
        </w:rPr>
        <w:t>k</w:t>
      </w:r>
      <w:proofErr w:type="spellEnd"/>
      <w:r>
        <w:t>)."</w:t>
      </w:r>
    </w:p>
    <w:p w14:paraId="134C9BCA" w14:textId="77777777" w:rsidR="006B1065" w:rsidRDefault="006B1065" w:rsidP="006B1065"/>
    <w:p w14:paraId="255303C0" w14:textId="7D015318" w:rsidR="0002165C" w:rsidRDefault="006B1065" w:rsidP="006B1065">
      <w:r>
        <w:t>This protocol ensures that every piece of quantum computation has direct accountability back to a quantifiable, measurable biological mechanism, leading directly to a set of molecular markers ready for validation via targeted lab experiments.</w:t>
      </w:r>
    </w:p>
    <w:sectPr w:rsidR="0002165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3C6"/>
    <w:rsid w:val="0002165C"/>
    <w:rsid w:val="000E1992"/>
    <w:rsid w:val="001F79FA"/>
    <w:rsid w:val="00612E51"/>
    <w:rsid w:val="006B1065"/>
    <w:rsid w:val="00EB0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A5A8E"/>
  <w15:chartTrackingRefBased/>
  <w15:docId w15:val="{AFFF72AC-F4F2-4467-B73E-CAF3F1BC1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80895">
      <w:bodyDiv w:val="1"/>
      <w:marLeft w:val="0"/>
      <w:marRight w:val="0"/>
      <w:marTop w:val="0"/>
      <w:marBottom w:val="0"/>
      <w:divBdr>
        <w:top w:val="none" w:sz="0" w:space="0" w:color="auto"/>
        <w:left w:val="none" w:sz="0" w:space="0" w:color="auto"/>
        <w:bottom w:val="none" w:sz="0" w:space="0" w:color="auto"/>
        <w:right w:val="none" w:sz="0" w:space="0" w:color="auto"/>
      </w:divBdr>
    </w:div>
    <w:div w:id="321131318">
      <w:bodyDiv w:val="1"/>
      <w:marLeft w:val="0"/>
      <w:marRight w:val="0"/>
      <w:marTop w:val="0"/>
      <w:marBottom w:val="0"/>
      <w:divBdr>
        <w:top w:val="none" w:sz="0" w:space="0" w:color="auto"/>
        <w:left w:val="none" w:sz="0" w:space="0" w:color="auto"/>
        <w:bottom w:val="none" w:sz="0" w:space="0" w:color="auto"/>
        <w:right w:val="none" w:sz="0" w:space="0" w:color="auto"/>
      </w:divBdr>
    </w:div>
    <w:div w:id="503861186">
      <w:bodyDiv w:val="1"/>
      <w:marLeft w:val="0"/>
      <w:marRight w:val="0"/>
      <w:marTop w:val="0"/>
      <w:marBottom w:val="0"/>
      <w:divBdr>
        <w:top w:val="none" w:sz="0" w:space="0" w:color="auto"/>
        <w:left w:val="none" w:sz="0" w:space="0" w:color="auto"/>
        <w:bottom w:val="none" w:sz="0" w:space="0" w:color="auto"/>
        <w:right w:val="none" w:sz="0" w:space="0" w:color="auto"/>
      </w:divBdr>
    </w:div>
    <w:div w:id="813914694">
      <w:bodyDiv w:val="1"/>
      <w:marLeft w:val="0"/>
      <w:marRight w:val="0"/>
      <w:marTop w:val="0"/>
      <w:marBottom w:val="0"/>
      <w:divBdr>
        <w:top w:val="none" w:sz="0" w:space="0" w:color="auto"/>
        <w:left w:val="none" w:sz="0" w:space="0" w:color="auto"/>
        <w:bottom w:val="none" w:sz="0" w:space="0" w:color="auto"/>
        <w:right w:val="none" w:sz="0" w:space="0" w:color="auto"/>
      </w:divBdr>
    </w:div>
    <w:div w:id="1391853733">
      <w:bodyDiv w:val="1"/>
      <w:marLeft w:val="0"/>
      <w:marRight w:val="0"/>
      <w:marTop w:val="0"/>
      <w:marBottom w:val="0"/>
      <w:divBdr>
        <w:top w:val="none" w:sz="0" w:space="0" w:color="auto"/>
        <w:left w:val="none" w:sz="0" w:space="0" w:color="auto"/>
        <w:bottom w:val="none" w:sz="0" w:space="0" w:color="auto"/>
        <w:right w:val="none" w:sz="0" w:space="0" w:color="auto"/>
      </w:divBdr>
    </w:div>
    <w:div w:id="1683242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1000</Words>
  <Characters>5701</Characters>
  <Application>Microsoft Office Word</Application>
  <DocSecurity>0</DocSecurity>
  <Lines>47</Lines>
  <Paragraphs>13</Paragraphs>
  <ScaleCrop>false</ScaleCrop>
  <Company/>
  <LinksUpToDate>false</LinksUpToDate>
  <CharactersWithSpaces>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2026-06-22T02:58:00Z</dcterms:created>
  <dcterms:modified xsi:type="dcterms:W3CDTF">2026-06-22T03:36:00Z</dcterms:modified>
</cp:coreProperties>
</file>