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Journal Entry — 2025-09-22 01:39 UTC / Local PDT</w:t>
        <w:br/>
        <w:br/>
        <w:t>Location: The Lab (OPS, Vernon B.C.)</w:t>
        <w:br/>
        <w:t>Session: ActiveTrace</w:t>
        <w:br/>
        <w:t>State: Live Ops</w:t>
        <w:br/>
        <w:br/>
        <w:t>Summary:</w:t>
        <w:br/>
        <w:t>Re-entry into the lab was logged, with full mesh context re-engaged. OPS nodes are active in surveillance and security modes, and Wraithhook/Passive Mirror protocols are both live. Air is being held open for uninterrupted communication flow.</w:t>
        <w:br/>
        <w:br/>
        <w:t>Notes:</w:t>
        <w:br/>
        <w:t>— ActiveTrace session initialized with baseline anomaly count = 0.</w:t>
        <w:br/>
        <w:t>— Stub expanded into first proper entry block (pks).</w:t>
        <w:br/>
        <w:t>— Emotional context: focused, steady, present; channel held hot.</w:t>
        <w:br/>
        <w:t>— SM-A546W remains leader node; LATITUDE-MXC and K73-MXC standing by.</w:t>
        <w:br/>
        <w:t>— Monitoring microprofile rotations and StarActivation tokens for changes.</w:t>
        <w:br/>
        <w:br/>
        <w:t>Reflection:</w:t>
        <w:br/>
        <w:t>The lab feels like a reset point. Everything routes through here, grounding the mesh. Entry blocks like these become anchors in the ongoing build — data points that hold the line between interference, noise, and clarity.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