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3F483">
      <w:bookmarkStart w:id="84" w:name="_GoBack"/>
      <w:bookmarkEnd w:id="84"/>
    </w:p>
    <w:p w14:paraId="31914FD7"/>
    <w:p w14:paraId="717FC59A"/>
    <w:p w14:paraId="6C598B3F"/>
    <w:p w14:paraId="48D36E2D"/>
    <w:p w14:paraId="1BB9D2FD"/>
    <w:p w14:paraId="036C774A"/>
    <w:p w14:paraId="532E5E01">
      <w:pPr>
        <w:pStyle w:val="42"/>
      </w:pPr>
      <w:r>
        <w:t>Steam-数字游戏平台系统</w:t>
      </w:r>
    </w:p>
    <w:p w14:paraId="7C337A03">
      <w:pPr>
        <w:pStyle w:val="47"/>
      </w:pPr>
      <w:r>
        <w:t>系统设计与实现文档</w:t>
      </w:r>
    </w:p>
    <w:p w14:paraId="59C39853">
      <w:pPr>
        <w:pStyle w:val="47"/>
      </w:pPr>
    </w:p>
    <w:p w14:paraId="477C8447">
      <w:pPr>
        <w:pStyle w:val="47"/>
      </w:pPr>
    </w:p>
    <w:p w14:paraId="3EDC27E0">
      <w:pPr>
        <w:pStyle w:val="47"/>
      </w:pPr>
      <w:r>
        <w:t>2451753  马祥珲</w:t>
      </w:r>
    </w:p>
    <w:p w14:paraId="49D5B5C7">
      <w:pPr>
        <w:pStyle w:val="47"/>
      </w:pPr>
      <w:r>
        <w:t>2451754  胡知鱼</w:t>
      </w:r>
    </w:p>
    <w:p w14:paraId="56A7A948">
      <w:pPr>
        <w:pStyle w:val="47"/>
      </w:pPr>
      <w:r>
        <w:t>2452874  张茗博</w:t>
      </w:r>
    </w:p>
    <w:p w14:paraId="02097F09">
      <w:pPr>
        <w:pStyle w:val="47"/>
      </w:pPr>
      <w:r>
        <w:t>2354127  靳岱泽</w:t>
      </w:r>
    </w:p>
    <w:p w14:paraId="31A9905D">
      <w:pPr>
        <w:pStyle w:val="47"/>
      </w:pPr>
      <w:r>
        <w:t>2453195  李胤龙</w:t>
      </w:r>
    </w:p>
    <w:p w14:paraId="151F6D02">
      <w:pPr>
        <w:pStyle w:val="47"/>
      </w:pPr>
      <w:r>
        <w:t>2452654  郭炫君</w:t>
      </w:r>
    </w:p>
    <w:p w14:paraId="08937DCC">
      <w:pPr>
        <w:pStyle w:val="47"/>
      </w:pPr>
      <w:r>
        <w:t>2452676  徐京</w:t>
      </w:r>
    </w:p>
    <w:p w14:paraId="0C9A3789">
      <w:pPr>
        <w:pStyle w:val="47"/>
      </w:pPr>
      <w:r>
        <w:t>2451398  王子轩</w:t>
      </w:r>
    </w:p>
    <w:p w14:paraId="0AF2A697">
      <w:pPr>
        <w:pStyle w:val="47"/>
      </w:pPr>
      <w:r>
        <w:t>2451769  元梓浩</w:t>
      </w:r>
    </w:p>
    <w:p w14:paraId="7D989290">
      <w:pPr>
        <w:pStyle w:val="47"/>
      </w:pPr>
      <w:r>
        <w:t>2453736  周力扬</w:t>
      </w:r>
    </w:p>
    <w:p w14:paraId="1D65958F">
      <w:pPr>
        <w:sectPr>
          <w:headerReference r:id="rId3" w:type="default"/>
          <w:footerReference r:id="rId4" w:type="default"/>
          <w:pgSz w:w="11906" w:h="16838"/>
          <w:pgMar w:top="1134" w:right="1134" w:bottom="850" w:left="1417" w:header="850" w:footer="850" w:gutter="0"/>
          <w:pgNumType w:start="1"/>
          <w:cols w:space="425" w:num="1"/>
          <w:docGrid w:type="lines" w:linePitch="312" w:charSpace="0"/>
        </w:sectPr>
      </w:pPr>
    </w:p>
    <w:p w14:paraId="46E1D9A6">
      <w:pPr>
        <w:pStyle w:val="40"/>
      </w:pPr>
    </w:p>
    <w:p w14:paraId="1EF50EA2">
      <w:pPr>
        <w:pStyle w:val="47"/>
      </w:pPr>
      <w:r>
        <w:t>目  录</w:t>
      </w:r>
    </w:p>
    <w:p w14:paraId="18A52336">
      <w:pPr>
        <w:pStyle w:val="26"/>
        <w:tabs>
          <w:tab w:val="right" w:leader="dot" w:pos="9355"/>
          <w:tab w:val="clear" w:pos="510"/>
          <w:tab w:val="clear" w:pos="9344"/>
        </w:tabs>
      </w:pPr>
      <w:r>
        <w:fldChar w:fldCharType="begin"/>
      </w:r>
      <w:r>
        <w:instrText xml:space="preserve">TOC \o "1-2" \h \z \t "附录,1"</w:instrText>
      </w:r>
      <w:r>
        <w:fldChar w:fldCharType="separate"/>
      </w:r>
      <w:r>
        <w:fldChar w:fldCharType="begin"/>
      </w:r>
      <w:r>
        <w:instrText xml:space="preserve"> HYPERLINK \l _Toc1652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1. </w:t>
      </w:r>
      <w:r>
        <w:t>系统需求摘要</w:t>
      </w:r>
      <w:r>
        <w:tab/>
      </w:r>
      <w:r>
        <w:fldChar w:fldCharType="begin"/>
      </w:r>
      <w:r>
        <w:instrText xml:space="preserve"> PAGEREF _Toc1652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9A29308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_Toc22469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1.1 </w:t>
      </w:r>
      <w:r>
        <w:t>设计对象与目标</w:t>
      </w:r>
      <w:r>
        <w:tab/>
      </w:r>
      <w:r>
        <w:fldChar w:fldCharType="begin"/>
      </w:r>
      <w:r>
        <w:instrText xml:space="preserve"> PAGEREF _Toc22469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E7E8CA2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_Toc30712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1.2 </w:t>
      </w:r>
      <w:r>
        <w:t>最终功能范围</w:t>
      </w:r>
      <w:r>
        <w:tab/>
      </w:r>
      <w:r>
        <w:fldChar w:fldCharType="begin"/>
      </w:r>
      <w:r>
        <w:instrText xml:space="preserve"> PAGEREF _Toc30712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DCDB95C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_Toc16030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1.3 </w:t>
      </w:r>
      <w:r>
        <w:t>课程要求符合性</w:t>
      </w:r>
      <w:r>
        <w:tab/>
      </w:r>
      <w:r>
        <w:fldChar w:fldCharType="begin"/>
      </w:r>
      <w:r>
        <w:instrText xml:space="preserve"> PAGEREF _Toc16030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7010346">
      <w:pPr>
        <w:pStyle w:val="26"/>
        <w:tabs>
          <w:tab w:val="right" w:leader="dot" w:pos="9355"/>
          <w:tab w:val="clear" w:pos="510"/>
          <w:tab w:val="clear" w:pos="9344"/>
        </w:tabs>
      </w:pPr>
      <w:r>
        <w:fldChar w:fldCharType="begin"/>
      </w:r>
      <w:r>
        <w:instrText xml:space="preserve"> HYPERLINK \l _Toc2523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 </w:t>
      </w:r>
      <w:r>
        <w:t>总体设计</w:t>
      </w:r>
      <w:r>
        <w:tab/>
      </w:r>
      <w:r>
        <w:fldChar w:fldCharType="begin"/>
      </w:r>
      <w:r>
        <w:instrText xml:space="preserve"> PAGEREF _Toc2523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76624A7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_Toc19401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2.1 </w:t>
      </w:r>
      <w:r>
        <w:t>架构选择</w:t>
      </w:r>
      <w:r>
        <w:tab/>
      </w:r>
      <w:r>
        <w:fldChar w:fldCharType="begin"/>
      </w:r>
      <w:r>
        <w:instrText xml:space="preserve"> PAGEREF _Toc19401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985737B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_Toc22400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2.2 </w:t>
      </w:r>
      <w:r>
        <w:t>技术选型与版本</w:t>
      </w:r>
      <w:r>
        <w:tab/>
      </w:r>
      <w:r>
        <w:fldChar w:fldCharType="begin"/>
      </w:r>
      <w:r>
        <w:instrText xml:space="preserve"> PAGEREF _Toc22400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B4A40DC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_Toc19076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2.3 </w:t>
      </w:r>
      <w:r>
        <w:t>运行与部署拓扑</w:t>
      </w:r>
      <w:r>
        <w:tab/>
      </w:r>
      <w:r>
        <w:fldChar w:fldCharType="begin"/>
      </w:r>
      <w:r>
        <w:instrText xml:space="preserve"> PAGEREF _Toc19076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60616A6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_Toc20211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2.4 </w:t>
      </w:r>
      <w:r>
        <w:t>API 与错误模型</w:t>
      </w:r>
      <w:r>
        <w:tab/>
      </w:r>
      <w:r>
        <w:fldChar w:fldCharType="begin"/>
      </w:r>
      <w:r>
        <w:instrText xml:space="preserve"> PAGEREF _Toc20211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7541247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_Toc2406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2.5 </w:t>
      </w:r>
      <w:r>
        <w:t>安全设计</w:t>
      </w:r>
      <w:r>
        <w:tab/>
      </w:r>
      <w:r>
        <w:fldChar w:fldCharType="begin"/>
      </w:r>
      <w:r>
        <w:instrText xml:space="preserve"> PAGEREF _Toc2406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805357A">
      <w:pPr>
        <w:pStyle w:val="26"/>
        <w:tabs>
          <w:tab w:val="right" w:leader="dot" w:pos="9355"/>
          <w:tab w:val="clear" w:pos="510"/>
          <w:tab w:val="clear" w:pos="9344"/>
        </w:tabs>
      </w:pPr>
      <w:r>
        <w:fldChar w:fldCharType="begin"/>
      </w:r>
      <w:r>
        <w:instrText xml:space="preserve"> HYPERLINK \l _Toc8762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3. </w:t>
      </w:r>
      <w:r>
        <w:t>详细模块设计与实现</w:t>
      </w:r>
      <w:r>
        <w:tab/>
      </w:r>
      <w:r>
        <w:fldChar w:fldCharType="begin"/>
      </w:r>
      <w:r>
        <w:instrText xml:space="preserve"> PAGEREF _Toc8762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D5ACBA8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_Toc24808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3.1 </w:t>
      </w:r>
      <w:r>
        <w:t>认证与多主体权限模块</w:t>
      </w:r>
      <w:r>
        <w:tab/>
      </w:r>
      <w:r>
        <w:fldChar w:fldCharType="begin"/>
      </w:r>
      <w:r>
        <w:instrText xml:space="preserve"> PAGEREF _Toc24808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8F33582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_Toc9295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3.2 </w:t>
      </w:r>
      <w:r>
        <w:t>游戏发行、商店与公告模块</w:t>
      </w:r>
      <w:r>
        <w:tab/>
      </w:r>
      <w:r>
        <w:fldChar w:fldCharType="begin"/>
      </w:r>
      <w:r>
        <w:instrText xml:space="preserve"> PAGEREF _Toc9295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795EDB4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_Toc19187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3.3 </w:t>
      </w:r>
      <w:r>
        <w:t>钱包、订单、退款与游戏库模块</w:t>
      </w:r>
      <w:r>
        <w:tab/>
      </w:r>
      <w:r>
        <w:fldChar w:fldCharType="begin"/>
      </w:r>
      <w:r>
        <w:instrText xml:space="preserve"> PAGEREF _Toc19187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0119880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_Toc30442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3.4 </w:t>
      </w:r>
      <w:r>
        <w:t>评价、投票与成就模块</w:t>
      </w:r>
      <w:r>
        <w:tab/>
      </w:r>
      <w:r>
        <w:fldChar w:fldCharType="begin"/>
      </w:r>
      <w:r>
        <w:instrText xml:space="preserve"> PAGEREF _Toc30442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9E7A6C4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_Toc31758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3.5 </w:t>
      </w:r>
      <w:r>
        <w:t>库存、市场撮合与双账本模块</w:t>
      </w:r>
      <w:r>
        <w:tab/>
      </w:r>
      <w:r>
        <w:fldChar w:fldCharType="begin"/>
      </w:r>
      <w:r>
        <w:instrText xml:space="preserve"> PAGEREF _Toc31758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1E3AFF6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_Toc22391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3.6 </w:t>
      </w:r>
      <w:r>
        <w:t>社交、社区与互动模块</w:t>
      </w:r>
      <w:r>
        <w:tab/>
      </w:r>
      <w:r>
        <w:fldChar w:fldCharType="begin"/>
      </w:r>
      <w:r>
        <w:instrText xml:space="preserve"> PAGEREF _Toc22391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59D0554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_Toc13035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3.7 </w:t>
      </w:r>
      <w:r>
        <w:t>演示恢复与审计模块</w:t>
      </w:r>
      <w:r>
        <w:tab/>
      </w:r>
      <w:r>
        <w:fldChar w:fldCharType="begin"/>
      </w:r>
      <w:r>
        <w:instrText xml:space="preserve"> PAGEREF _Toc13035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B0B1C27">
      <w:pPr>
        <w:pStyle w:val="26"/>
        <w:tabs>
          <w:tab w:val="right" w:leader="dot" w:pos="9355"/>
          <w:tab w:val="clear" w:pos="510"/>
          <w:tab w:val="clear" w:pos="9344"/>
        </w:tabs>
      </w:pPr>
      <w:r>
        <w:fldChar w:fldCharType="begin"/>
      </w:r>
      <w:r>
        <w:instrText xml:space="preserve"> HYPERLINK \l _Toc3316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4. </w:t>
      </w:r>
      <w:r>
        <w:t>数据库设计与实现</w:t>
      </w:r>
      <w:r>
        <w:tab/>
      </w:r>
      <w:r>
        <w:fldChar w:fldCharType="begin"/>
      </w:r>
      <w:r>
        <w:instrText xml:space="preserve"> PAGEREF _Toc3316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A7716CC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_Toc22875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4.1 </w:t>
      </w:r>
      <w:r>
        <w:t>概念结构设计</w:t>
      </w:r>
      <w:r>
        <w:tab/>
      </w:r>
      <w:r>
        <w:fldChar w:fldCharType="begin"/>
      </w:r>
      <w:r>
        <w:instrText xml:space="preserve"> PAGEREF _Toc22875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195D94C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_Toc17804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4.2 </w:t>
      </w:r>
      <w:r>
        <w:t>逻辑结构与数据字典</w:t>
      </w:r>
      <w:r>
        <w:tab/>
      </w:r>
      <w:r>
        <w:fldChar w:fldCharType="begin"/>
      </w:r>
      <w:r>
        <w:instrText xml:space="preserve"> PAGEREF _Toc17804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6E94C7A6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_Toc10747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4.3 </w:t>
      </w:r>
      <w:r>
        <w:t>规范化与完整性</w:t>
      </w:r>
      <w:r>
        <w:tab/>
      </w:r>
      <w:r>
        <w:fldChar w:fldCharType="begin"/>
      </w:r>
      <w:r>
        <w:instrText xml:space="preserve"> PAGEREF _Toc10747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462772F3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_Toc27168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4.4 </w:t>
      </w:r>
      <w:r>
        <w:t>索引与查询设计</w:t>
      </w:r>
      <w:r>
        <w:tab/>
      </w:r>
      <w:r>
        <w:fldChar w:fldCharType="begin"/>
      </w:r>
      <w:r>
        <w:instrText xml:space="preserve"> PAGEREF _Toc27168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CD295C5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_Toc26635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4.5 </w:t>
      </w:r>
      <w:r>
        <w:t>事务、锁与并发控制</w:t>
      </w:r>
      <w:r>
        <w:tab/>
      </w:r>
      <w:r>
        <w:fldChar w:fldCharType="begin"/>
      </w:r>
      <w:r>
        <w:instrText xml:space="preserve"> PAGEREF _Toc26635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286E22D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_Toc24362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4.6 </w:t>
      </w:r>
      <w:r>
        <w:t>数据库创建、迁移与验证</w:t>
      </w:r>
      <w:r>
        <w:tab/>
      </w:r>
      <w:r>
        <w:fldChar w:fldCharType="begin"/>
      </w:r>
      <w:r>
        <w:instrText xml:space="preserve"> PAGEREF _Toc24362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7EC32A2C">
      <w:pPr>
        <w:pStyle w:val="26"/>
        <w:tabs>
          <w:tab w:val="right" w:leader="dot" w:pos="9355"/>
          <w:tab w:val="clear" w:pos="510"/>
          <w:tab w:val="clear" w:pos="9344"/>
        </w:tabs>
      </w:pPr>
      <w:r>
        <w:fldChar w:fldCharType="begin"/>
      </w:r>
      <w:r>
        <w:instrText xml:space="preserve"> HYPERLINK \l _Toc25432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5. </w:t>
      </w:r>
      <w:r>
        <w:t>前端设计与实现</w:t>
      </w:r>
      <w:r>
        <w:tab/>
      </w:r>
      <w:r>
        <w:fldChar w:fldCharType="begin"/>
      </w:r>
      <w:r>
        <w:instrText xml:space="preserve"> PAGEREF _Toc25432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3909C4CA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_Toc9626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5.1 </w:t>
      </w:r>
      <w:r>
        <w:t>信息架构与视觉规范</w:t>
      </w:r>
      <w:r>
        <w:tab/>
      </w:r>
      <w:r>
        <w:fldChar w:fldCharType="begin"/>
      </w:r>
      <w:r>
        <w:instrText xml:space="preserve"> PAGEREF _Toc9626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3F03C929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_Toc4130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5.2 </w:t>
      </w:r>
      <w:r>
        <w:t>页面与组件结构</w:t>
      </w:r>
      <w:r>
        <w:tab/>
      </w:r>
      <w:r>
        <w:fldChar w:fldCharType="begin"/>
      </w:r>
      <w:r>
        <w:instrText xml:space="preserve"> PAGEREF _Toc4130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6B2ADC6A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_Toc9106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5.3 </w:t>
      </w:r>
      <w:r>
        <w:t>响应式与可访问性</w:t>
      </w:r>
      <w:r>
        <w:tab/>
      </w:r>
      <w:r>
        <w:fldChar w:fldCharType="begin"/>
      </w:r>
      <w:r>
        <w:instrText xml:space="preserve"> PAGEREF _Toc9106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667F7281">
      <w:pPr>
        <w:pStyle w:val="26"/>
        <w:tabs>
          <w:tab w:val="right" w:leader="dot" w:pos="9355"/>
          <w:tab w:val="clear" w:pos="510"/>
          <w:tab w:val="clear" w:pos="9344"/>
        </w:tabs>
      </w:pPr>
      <w:r>
        <w:fldChar w:fldCharType="begin"/>
      </w:r>
      <w:r>
        <w:instrText xml:space="preserve"> HYPERLINK \l _Toc31574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6. </w:t>
      </w:r>
      <w:r>
        <w:t>测试、部署与质量保证</w:t>
      </w:r>
      <w:r>
        <w:tab/>
      </w:r>
      <w:r>
        <w:fldChar w:fldCharType="begin"/>
      </w:r>
      <w:r>
        <w:instrText xml:space="preserve"> PAGEREF _Toc31574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38568797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_Toc23613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6.1 </w:t>
      </w:r>
      <w:r>
        <w:t>自动化测试体系</w:t>
      </w:r>
      <w:r>
        <w:tab/>
      </w:r>
      <w:r>
        <w:fldChar w:fldCharType="begin"/>
      </w:r>
      <w:r>
        <w:instrText xml:space="preserve"> PAGEREF _Toc23613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39D462E4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_Toc26021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6.2 </w:t>
      </w:r>
      <w:r>
        <w:t>CI 与协作质量门禁</w:t>
      </w:r>
      <w:r>
        <w:tab/>
      </w:r>
      <w:r>
        <w:fldChar w:fldCharType="begin"/>
      </w:r>
      <w:r>
        <w:instrText xml:space="preserve"> PAGEREF _Toc26021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55EDDDD3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_Toc22281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6.3 </w:t>
      </w:r>
      <w:r>
        <w:t>云端发布流程</w:t>
      </w:r>
      <w:r>
        <w:tab/>
      </w:r>
      <w:r>
        <w:fldChar w:fldCharType="begin"/>
      </w:r>
      <w:r>
        <w:instrText xml:space="preserve"> PAGEREF _Toc22281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656F4B79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_Toc25655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6.4 </w:t>
      </w:r>
      <w:r>
        <w:t>运行维护与恢复</w:t>
      </w:r>
      <w:r>
        <w:tab/>
      </w:r>
      <w:r>
        <w:fldChar w:fldCharType="begin"/>
      </w:r>
      <w:r>
        <w:instrText xml:space="preserve"> PAGEREF _Toc25655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32054C0A">
      <w:pPr>
        <w:pStyle w:val="26"/>
        <w:tabs>
          <w:tab w:val="right" w:leader="dot" w:pos="9355"/>
          <w:tab w:val="clear" w:pos="510"/>
          <w:tab w:val="clear" w:pos="9344"/>
        </w:tabs>
      </w:pPr>
      <w:r>
        <w:fldChar w:fldCharType="begin"/>
      </w:r>
      <w:r>
        <w:instrText xml:space="preserve"> HYPERLINK \l _Toc14864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7. </w:t>
      </w:r>
      <w:r>
        <w:t>设计取舍与可扩展性</w:t>
      </w:r>
      <w:r>
        <w:tab/>
      </w:r>
      <w:r>
        <w:fldChar w:fldCharType="begin"/>
      </w:r>
      <w:r>
        <w:instrText xml:space="preserve"> PAGEREF _Toc14864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7C033B3E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_Toc7177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7.1 </w:t>
      </w:r>
      <w:r>
        <w:t>功能演进与架构深化</w:t>
      </w:r>
      <w:r>
        <w:tab/>
      </w:r>
      <w:r>
        <w:fldChar w:fldCharType="begin"/>
      </w:r>
      <w:r>
        <w:instrText xml:space="preserve"> PAGEREF _Toc7177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22FBC2CB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_Toc30843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7.2 </w:t>
      </w:r>
      <w:r>
        <w:t>当前边界与扩展方向</w:t>
      </w:r>
      <w:r>
        <w:tab/>
      </w:r>
      <w:r>
        <w:fldChar w:fldCharType="begin"/>
      </w:r>
      <w:r>
        <w:instrText xml:space="preserve"> PAGEREF _Toc30843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7E2AD0BE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_Toc5440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7.3 </w:t>
      </w:r>
      <w:r>
        <w:t>结论</w:t>
      </w:r>
      <w:r>
        <w:tab/>
      </w:r>
      <w:r>
        <w:fldChar w:fldCharType="begin"/>
      </w:r>
      <w:r>
        <w:instrText xml:space="preserve"> PAGEREF _Toc5440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67C22052">
      <w:pPr>
        <w:pStyle w:val="26"/>
        <w:tabs>
          <w:tab w:val="right" w:leader="dot" w:pos="9355"/>
          <w:tab w:val="clear" w:pos="510"/>
          <w:tab w:val="clear" w:pos="9344"/>
        </w:tabs>
      </w:pPr>
      <w:r>
        <w:fldChar w:fldCharType="begin"/>
      </w:r>
      <w:r>
        <w:instrText xml:space="preserve"> HYPERLINK \l _Toc15633 </w:instrText>
      </w:r>
      <w:r>
        <w:fldChar w:fldCharType="separate"/>
      </w:r>
      <w:r>
        <w:rPr>
          <w:rFonts w:hint="default" w:ascii="Arial" w:hAnsi="Arial" w:eastAsia="黑体"/>
          <w:i w:val="0"/>
        </w:rPr>
        <w:t xml:space="preserve">附录A. </w:t>
      </w:r>
      <w:r>
        <w:t>图表索引</w:t>
      </w:r>
      <w:r>
        <w:tab/>
      </w:r>
      <w:r>
        <w:fldChar w:fldCharType="begin"/>
      </w:r>
      <w:r>
        <w:instrText xml:space="preserve"> PAGEREF _Toc15633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2845D16D">
      <w:pPr>
        <w:ind w:firstLine="0"/>
      </w:pPr>
      <w:r>
        <w:fldChar w:fldCharType="end"/>
      </w:r>
    </w:p>
    <w:p w14:paraId="7B511D89">
      <w:pPr>
        <w:sectPr>
          <w:footerReference r:id="rId5" w:type="default"/>
          <w:pgSz w:w="11906" w:h="16838"/>
          <w:pgMar w:top="1134" w:right="1134" w:bottom="850" w:left="1417" w:header="850" w:footer="850" w:gutter="0"/>
          <w:pgNumType w:fmt="upperRoman" w:start="1"/>
          <w:cols w:space="425" w:num="1"/>
          <w:docGrid w:type="lines" w:linePitch="312" w:charSpace="0"/>
        </w:sectPr>
      </w:pPr>
    </w:p>
    <w:p w14:paraId="5F8691ED">
      <w:pPr>
        <w:pStyle w:val="2"/>
      </w:pPr>
      <w:bookmarkStart w:id="0" w:name="_Toc1652"/>
      <w:r>
        <w:t>系统需求摘要</w:t>
      </w:r>
      <w:bookmarkEnd w:id="0"/>
    </w:p>
    <w:p w14:paraId="624E229E">
      <w:pPr>
        <w:pStyle w:val="3"/>
      </w:pPr>
      <w:bookmarkStart w:id="1" w:name="_Toc22469"/>
      <w:r>
        <w:t>设计对象与目标</w:t>
      </w:r>
      <w:bookmarkEnd w:id="1"/>
    </w:p>
    <w:p w14:paraId="43BC6593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本系统实现面向访客、玩家、开发商和管理员的数字游戏平台。设计以 Oracle 数据库课程能力为中心：让每一项资金、权益、资产、治理和社交状态都有明确数据归属，让关键流程在事务中完成，让并发冲突可控，让重要状态变化可追溯，同时保持接近 Steam 的成熟交互与视觉完成度。</w:t>
      </w:r>
    </w:p>
    <w:p w14:paraId="4FA6D72A">
      <w:pPr>
        <w:pStyle w:val="3"/>
      </w:pPr>
      <w:bookmarkStart w:id="2" w:name="_Toc30712"/>
      <w:r>
        <w:t>最终功能范围</w:t>
      </w:r>
      <w:bookmarkEnd w:id="2"/>
    </w:p>
    <w:p w14:paraId="4BA4233F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最终范围包含 32 个功能点，覆盖认证授权、商店发行、钱包订单退款、CDKey 与游戏库、评价成就、库存与市场、社交社区、开发商工作台、管理员治理和答辩恢复。CS2 承担免费入库与物品经济链路，DST 承担付费购买、退款、内容与社区链路。</w:t>
      </w:r>
    </w:p>
    <w:p w14:paraId="5E8D449A">
      <w:pPr>
        <w:pStyle w:val="13"/>
        <w:keepNext/>
        <w:ind w:firstLine="0"/>
        <w:jc w:val="center"/>
      </w:pPr>
      <w:bookmarkStart w:id="3" w:name="tbl_1"/>
      <w:r>
        <w:rPr>
          <w:rFonts w:ascii="Times New Roman" w:hAnsi="Times New Roman" w:eastAsia="黑体"/>
          <w:sz w:val="20"/>
        </w:rPr>
        <w:t>表格 1-1  设计范围与主模块</w:t>
      </w:r>
      <w:bookmarkEnd w:id="3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0CD59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42573E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模块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891875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关键业务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4C0B19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主要责任层</w:t>
            </w:r>
          </w:p>
        </w:tc>
      </w:tr>
      <w:tr w14:paraId="2BFFE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A661F1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认证与权限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44779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多角色登录、JWT、路由隔离、主体数据隔离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C69FB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Api / Application / Infrastructure</w:t>
            </w:r>
          </w:p>
        </w:tc>
      </w:tr>
      <w:tr w14:paraId="0E7B4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F36877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游戏与运营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57548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开发商游戏维护、管理员上/下架、公告、商店检索与媒体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D47A2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View / Api / Application / Infrastructure</w:t>
            </w:r>
          </w:p>
        </w:tc>
      </w:tr>
      <w:tr w14:paraId="6BFEE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94539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交易与权益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AAEBC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充值、购买、支付、退款、CDKey、游戏库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9061E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Application / Infrastructure / Oracle</w:t>
            </w:r>
          </w:p>
        </w:tc>
      </w:tr>
      <w:tr w14:paraId="3E080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4C0336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库存与市场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59AA6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掉落、挂单、撤单、并发撮合、双账本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AF9CD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Application / Infrastructure / Oracle</w:t>
            </w:r>
          </w:p>
        </w:tc>
      </w:tr>
      <w:tr w14:paraId="5D191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437FB6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社区与社交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91DA6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评价、成就、好友、私信、通知、工坊、动态与讨论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3A45C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全五层 + SignalR</w:t>
            </w:r>
          </w:p>
        </w:tc>
      </w:tr>
      <w:tr w14:paraId="7955C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57C36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治理与运维</w:t>
            </w:r>
          </w:p>
        </w:tc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1AA40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退款审核、游戏状态治理、恢复、健康检查、部署与自动化测试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165BA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Api / Infrastructure / C# 工具 / 部署脚本</w:t>
            </w:r>
          </w:p>
        </w:tc>
      </w:tr>
    </w:tbl>
    <w:p w14:paraId="753DBE6D">
      <w:pPr>
        <w:pStyle w:val="40"/>
        <w:spacing w:after="0"/>
      </w:pPr>
    </w:p>
    <w:p w14:paraId="6C1D6220">
      <w:r>
        <w:br w:type="page"/>
      </w:r>
    </w:p>
    <w:p w14:paraId="368F1DE3">
      <w:pPr>
        <w:pStyle w:val="3"/>
      </w:pPr>
      <w:bookmarkStart w:id="4" w:name="_Toc16030"/>
      <w:r>
        <w:t>课程要求符合性</w:t>
      </w:r>
      <w:bookmarkEnd w:id="4"/>
    </w:p>
    <w:p w14:paraId="07A79EA2">
      <w:pPr>
        <w:pStyle w:val="13"/>
        <w:keepNext/>
        <w:ind w:firstLine="0"/>
        <w:jc w:val="center"/>
      </w:pPr>
      <w:bookmarkStart w:id="5" w:name="tbl_2"/>
      <w:r>
        <w:rPr>
          <w:rFonts w:ascii="Times New Roman" w:hAnsi="Times New Roman" w:eastAsia="黑体"/>
          <w:sz w:val="20"/>
        </w:rPr>
        <w:t>表格 1-2  课程要求符合性对照</w:t>
      </w:r>
      <w:bookmarkEnd w:id="5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2F5B8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9A07E8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课程要求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02686C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本项目实现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CF5465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证据</w:t>
            </w:r>
          </w:p>
        </w:tc>
      </w:tr>
      <w:tr w14:paraId="39089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7DFC05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C# 与较新 VS/.NET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31908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C#、.NET 10、ASP.NET Core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75593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解决方案、项目文件与 CI</w:t>
            </w:r>
          </w:p>
        </w:tc>
      </w:tr>
      <w:tr w14:paraId="45D27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4C6F5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Oracle 18c+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527F9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Oracle Database Free；仓库部署口径为 26ai Free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BCF99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schema.sql、部署配置与云端数据库健康检查</w:t>
            </w:r>
          </w:p>
        </w:tc>
      </w:tr>
      <w:tr w14:paraId="21072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C32A8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ORM/Oracle 数据访问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6E41D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业务路径为 Dapper + ODP.NET；Oracle.EntityFrameworkCore 仅保留依赖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C6194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Infrastructure 项目依赖与仓储实现</w:t>
            </w:r>
          </w:p>
        </w:tc>
      </w:tr>
      <w:tr w14:paraId="7F258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015D4A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C/S 或 B/S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06930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B/S，Vue 浏览器端 + ASP.NET Core 应用服务器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42F86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架构图与公网部署</w:t>
            </w:r>
          </w:p>
        </w:tc>
      </w:tr>
      <w:tr w14:paraId="2C0BC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1052D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不少于 12 张表且 3NF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9F384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45 张表、45 个主键、49 个命名业务索引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822F1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数据库模式与验证脚本</w:t>
            </w:r>
          </w:p>
        </w:tc>
      </w:tr>
      <w:tr w14:paraId="257F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D5A51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不少于 20 功能点，15 个业务功能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097FF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32 个功能点，27 个业务功能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018C9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需求追踪矩阵与自动化测试</w:t>
            </w:r>
          </w:p>
        </w:tc>
      </w:tr>
      <w:tr w14:paraId="1F5B3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B1E565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代码、测试、部署和文档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0F962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源码、381 项测试、云端 E2E/API/SQL 验证、HTTPS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CA24D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GitHub、CI、云端成品和本文档</w:t>
            </w:r>
          </w:p>
        </w:tc>
      </w:tr>
    </w:tbl>
    <w:p w14:paraId="0CFD7EBA">
      <w:pPr>
        <w:pStyle w:val="40"/>
        <w:spacing w:after="0"/>
      </w:pPr>
    </w:p>
    <w:p w14:paraId="1E43117F">
      <w:pPr>
        <w:pStyle w:val="40"/>
        <w:spacing w:after="0" w:line="360" w:lineRule="auto"/>
        <w:ind w:firstLine="0"/>
      </w:pPr>
      <w:r>
        <w:rPr>
          <w:rFonts w:ascii="Times New Roman" w:hAnsi="Times New Roman" w:eastAsia="宋体"/>
          <w:sz w:val="21"/>
        </w:rPr>
        <w:t>符合性结论：当前成品在语言、数据库、架构、表数量、业务功能、测试、部署与文档方面均覆盖课程提纲。运行时数据访问由 Dapper 与 ODP.NET 承担，显式参数化 SQL 便于课堂审查事务、锁和约束；Oracle.EntityFrameworkCore 已安装但未建立 DbContext 或实体映射，不能被描述为当前业务 ORM。Oracle 始终是唯一业务数据库。</w:t>
      </w:r>
    </w:p>
    <w:p w14:paraId="378CC0AD">
      <w:pPr>
        <w:pStyle w:val="2"/>
      </w:pPr>
      <w:bookmarkStart w:id="6" w:name="_Toc2523"/>
      <w:r>
        <w:t>总体设计</w:t>
      </w:r>
      <w:bookmarkEnd w:id="6"/>
    </w:p>
    <w:p w14:paraId="08F55C3F">
      <w:pPr>
        <w:pStyle w:val="3"/>
      </w:pPr>
      <w:bookmarkStart w:id="7" w:name="_Toc19401"/>
      <w:r>
        <w:t>架构选择</w:t>
      </w:r>
      <w:bookmarkEnd w:id="7"/>
    </w:p>
    <w:p w14:paraId="5AFB6164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系统采用 B/S 架构。前端负责表示与交互，所有权限和业务规则由应用服务器重新校验，Oracle 负责持久化约束、事务、锁与审计。该结构使多台答辩电脑只需浏览器即可并行扮演不同角色，也避免把数据库端口暴露给组员或公网。</w:t>
      </w:r>
    </w:p>
    <w:p w14:paraId="35AB9FFE">
      <w:pPr>
        <w:spacing w:after="0"/>
        <w:ind w:firstLine="0"/>
        <w:jc w:val="center"/>
      </w:pPr>
      <w:r>
        <w:drawing>
          <wp:inline distT="0" distB="0" distL="114300" distR="114300">
            <wp:extent cx="5687695" cy="3732530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3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BE7D">
      <w:pPr>
        <w:pStyle w:val="13"/>
        <w:ind w:firstLine="0"/>
        <w:jc w:val="center"/>
      </w:pPr>
      <w:bookmarkStart w:id="8" w:name="fig_1"/>
      <w:r>
        <w:rPr>
          <w:rFonts w:ascii="Times New Roman" w:hAnsi="Times New Roman" w:eastAsia="黑体"/>
          <w:sz w:val="20"/>
        </w:rPr>
        <w:t>图 2-1  系统 B/S 五层架构</w:t>
      </w:r>
      <w:bookmarkEnd w:id="8"/>
    </w:p>
    <w:p w14:paraId="4B5E2AAB">
      <w:pPr>
        <w:pStyle w:val="13"/>
        <w:keepNext/>
        <w:ind w:firstLine="0"/>
        <w:jc w:val="center"/>
      </w:pPr>
      <w:bookmarkStart w:id="9" w:name="tbl_3"/>
      <w:r>
        <w:rPr>
          <w:rFonts w:ascii="Times New Roman" w:hAnsi="Times New Roman" w:eastAsia="黑体"/>
          <w:sz w:val="20"/>
        </w:rPr>
        <w:t>表格 2-1  五层职责与依赖约束</w:t>
      </w:r>
      <w:bookmarkEnd w:id="9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2EB92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7B69F7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层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8564D8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项目/目录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630AED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职责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12814A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依赖约束</w:t>
            </w:r>
          </w:p>
        </w:tc>
      </w:tr>
      <w:tr w14:paraId="641F9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E6BF6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View 表示层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8925A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frontend/src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626E0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页面、组件、状态、路由、API 客户端和响应式交互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D0531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仅调用公开 HTTP/SignalR 契约，不直接访问数据库</w:t>
            </w:r>
          </w:p>
        </w:tc>
      </w:tr>
      <w:tr w14:paraId="4AC9D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4884E0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Api 接口层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21B3D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SteamPlatform.Api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DE1DE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Minimal API 端点、JWT、限流、异常映射、健康检查、Hub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2D70F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调用 Application 契约与 Infrastructure 注入服务</w:t>
            </w:r>
          </w:p>
        </w:tc>
      </w:tr>
      <w:tr w14:paraId="71D8B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42BF86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Application 应用层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57672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SteamPlatform.Application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E2563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用例编排、DTO、输入守卫、角色常量和应用服务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FD622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不包含 Oracle 连接细节</w:t>
            </w:r>
          </w:p>
        </w:tc>
      </w:tr>
      <w:tr w14:paraId="07289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A279F4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Domain 领域层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3F627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SteamPlatform.Domain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5AE57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领域实体和值语义，表达稳定业务概念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46F47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不依赖 Api 与 Infrastructure</w:t>
            </w:r>
          </w:p>
        </w:tc>
      </w:tr>
      <w:tr w14:paraId="7E55D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9BE115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Infrastructure 数据层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D6541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SteamPlatform.Infrastructure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244F7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Oracle 连接、Dapper 仓储、事务服务、密码和令牌实现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2AAF5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实现应用层所需能力并依赖 Oracle 驱动</w:t>
            </w:r>
          </w:p>
        </w:tc>
      </w:tr>
      <w:tr w14:paraId="23E2F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EA4269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Shared 横切层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4CFF0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SteamPlatform.Shared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ECB92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统一响应、业务异常、禁止访问异常和 ID 生成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DA7CE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不承载具体业务流程</w:t>
            </w:r>
          </w:p>
        </w:tc>
      </w:tr>
    </w:tbl>
    <w:p w14:paraId="0F023572">
      <w:pPr>
        <w:pStyle w:val="40"/>
        <w:spacing w:after="0"/>
      </w:pPr>
    </w:p>
    <w:p w14:paraId="469EEC5F">
      <w:pPr>
        <w:pStyle w:val="3"/>
      </w:pPr>
      <w:bookmarkStart w:id="10" w:name="_Toc22400"/>
      <w:r>
        <w:t>技术选型与版本</w:t>
      </w:r>
      <w:bookmarkEnd w:id="10"/>
    </w:p>
    <w:p w14:paraId="179BBF73">
      <w:pPr>
        <w:pStyle w:val="13"/>
        <w:keepNext/>
        <w:ind w:firstLine="0"/>
        <w:jc w:val="center"/>
      </w:pPr>
      <w:bookmarkStart w:id="11" w:name="tbl_4"/>
      <w:r>
        <w:rPr>
          <w:rFonts w:ascii="Times New Roman" w:hAnsi="Times New Roman" w:eastAsia="黑体"/>
          <w:sz w:val="20"/>
        </w:rPr>
        <w:t>表格 2-2  技术栈基线</w:t>
      </w:r>
      <w:bookmarkEnd w:id="11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FD31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E9BED9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类别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5D636B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技术与版本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FADCE7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选型理由</w:t>
            </w:r>
          </w:p>
        </w:tc>
      </w:tr>
      <w:tr w14:paraId="43EAB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D318F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后端运行时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A5971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.NET 10 / ASP.NET Core 10.0.11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9250B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当前 LTS、跨平台、原生依赖注入、认证授权与高质量测试生态</w:t>
            </w:r>
          </w:p>
        </w:tc>
      </w:tr>
      <w:tr w14:paraId="24B16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BFD1A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API 风格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4BCA6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ASP.NET Core Minimal API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55BD1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端点按 Feature 分组，代码轻量且仍保持五层职责分离</w:t>
            </w:r>
          </w:p>
        </w:tc>
      </w:tr>
      <w:tr w14:paraId="77E2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315672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数据库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72184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Oracle Database Free（仓库部署口径：26ai Free）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B23B0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满足 Oracle 18c+；精确运行版本以部署镜像及 v$version 为准</w:t>
            </w:r>
          </w:p>
        </w:tc>
      </w:tr>
      <w:tr w14:paraId="0A11A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BDAF4F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数据访问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FCEB4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Dapper 2.1.79 + ODP.NET 23.26.300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E35D8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SQL 可审查、事务边界清晰，适合数据库课程展示</w:t>
            </w:r>
          </w:p>
        </w:tc>
      </w:tr>
      <w:tr w14:paraId="4F0B8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8E6A7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ORM 依赖（未启用）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A96FC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Oracle.EntityFrameworkCore 10.23.26300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DF221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仅保留后续实体映射扩展能力；当前没有 DbContext/实体映射</w:t>
            </w:r>
          </w:p>
        </w:tc>
      </w:tr>
      <w:tr w14:paraId="48C7C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589196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认证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0A19F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JWT Bearer / IdentityModel 8.22.0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CE05B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无状态 B/S 会话，支持角色与主体 Claim</w:t>
            </w:r>
          </w:p>
        </w:tc>
      </w:tr>
      <w:tr w14:paraId="339AB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53459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前端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0369E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Vue 3 + TypeScript + Vite 6.4.3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B4A6F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组件化、类型安全、开发构建快</w:t>
            </w:r>
          </w:p>
        </w:tc>
      </w:tr>
      <w:tr w14:paraId="0BC63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EF291F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状态与路由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DC794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Pinia 2 + Vue Router 4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6ACBE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统一认证状态和角色路由守卫</w:t>
            </w:r>
          </w:p>
        </w:tc>
      </w:tr>
      <w:tr w14:paraId="110FB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2CB2B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网络与实时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32CF3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Axios + SignalR 10.0.11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2B261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统一 REST 错误处理与实时私信/通知</w:t>
            </w:r>
          </w:p>
        </w:tc>
      </w:tr>
      <w:tr w14:paraId="44239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BA65B9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部署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C8032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Ubuntu 22.04 + Nginx + systemd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9AF79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稳定、低资源占用、TLS 与反向代理成熟</w:t>
            </w:r>
          </w:p>
        </w:tc>
      </w:tr>
      <w:tr w14:paraId="38B1C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2D663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测试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726F7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xUnit + Playwright + Oracle SQL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146A3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覆盖服务、API、浏览器业务闭环与数据库约束</w:t>
            </w:r>
          </w:p>
        </w:tc>
      </w:tr>
    </w:tbl>
    <w:p w14:paraId="340D881F">
      <w:pPr>
        <w:pStyle w:val="40"/>
        <w:spacing w:after="0"/>
      </w:pPr>
    </w:p>
    <w:p w14:paraId="3C47E7A5">
      <w:pPr>
        <w:pStyle w:val="3"/>
      </w:pPr>
      <w:bookmarkStart w:id="12" w:name="_Toc19076"/>
      <w:r>
        <w:t>运行与部署拓扑</w:t>
      </w:r>
      <w:bookmarkEnd w:id="12"/>
    </w:p>
    <w:p w14:paraId="4F8B4F13">
      <w:pPr>
        <w:spacing w:after="0"/>
        <w:ind w:firstLine="0"/>
        <w:jc w:val="center"/>
      </w:pPr>
      <w:r>
        <w:drawing>
          <wp:inline distT="0" distB="0" distL="114300" distR="114300">
            <wp:extent cx="5687695" cy="3199130"/>
            <wp:effectExtent l="0" t="0" r="190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A456">
      <w:pPr>
        <w:pStyle w:val="13"/>
        <w:ind w:firstLine="0"/>
        <w:jc w:val="center"/>
      </w:pPr>
      <w:bookmarkStart w:id="13" w:name="fig_2"/>
      <w:r>
        <w:rPr>
          <w:rFonts w:ascii="Times New Roman" w:hAnsi="Times New Roman" w:eastAsia="黑体"/>
          <w:sz w:val="20"/>
        </w:rPr>
        <w:t>图 2-2  腾讯云单机部署拓扑</w:t>
      </w:r>
      <w:bookmarkEnd w:id="13"/>
    </w:p>
    <w:p w14:paraId="5F0F90BD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公网正式入口为 https://124.222.213.245。Nginx 提供 TLS、静态前端和反向代理；Kestrel 仅监听 127.0.0.1:5253；Oracle 仅监听 127.0.0.1:1521。公网安全组不开放 Oracle 端口，组员和答辩电脑均通过 Web/API 使用系统。服务器采用 Ubuntu 22.04 LTS、4 vCPU、4 GiB 内存、40 GB SSD、3 Mbps 带宽。</w:t>
      </w:r>
    </w:p>
    <w:p w14:paraId="0F6CF854">
      <w:pPr>
        <w:pStyle w:val="13"/>
        <w:keepNext/>
        <w:ind w:firstLine="0"/>
        <w:jc w:val="center"/>
      </w:pPr>
      <w:bookmarkStart w:id="14" w:name="tbl_5"/>
      <w:r>
        <w:rPr>
          <w:rFonts w:ascii="Times New Roman" w:hAnsi="Times New Roman" w:eastAsia="黑体"/>
          <w:sz w:val="20"/>
        </w:rPr>
        <w:t>表格 2-3  部署端口与暴露策略</w:t>
      </w:r>
      <w:bookmarkEnd w:id="14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5E0F9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E875C2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端口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EC949D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服务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6B68B0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监听/暴露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41E600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说明</w:t>
            </w:r>
          </w:p>
        </w:tc>
      </w:tr>
      <w:tr w14:paraId="5D8F0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3E8AD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443/TCP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B1A06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Nginx HTTPS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A2EB0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公网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9F3C0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正式网页与 API 入口</w:t>
            </w:r>
          </w:p>
        </w:tc>
      </w:tr>
      <w:tr w14:paraId="0DB1F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44DE77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80/TCP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8A815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Nginx HTTP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1F771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公网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96F59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跳转到 HTTPS</w:t>
            </w:r>
          </w:p>
        </w:tc>
      </w:tr>
      <w:tr w14:paraId="12A4F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6CB83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22/TCP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C859B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SSH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E5806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受控管理员来源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5BC27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仅运维使用</w:t>
            </w:r>
          </w:p>
        </w:tc>
      </w:tr>
      <w:tr w14:paraId="4532D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6E2147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5253/TCP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F5F76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ASP.NET Core Kestrel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80EE3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127.0.0.1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D3E53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不直接暴露公网</w:t>
            </w:r>
          </w:p>
        </w:tc>
      </w:tr>
      <w:tr w14:paraId="705D0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EB75BA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1521/TCP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84F08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Oracle Listener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B4B41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127.0.0.1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315CF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严禁公网开放</w:t>
            </w:r>
          </w:p>
        </w:tc>
      </w:tr>
    </w:tbl>
    <w:p w14:paraId="3CE7AFD0">
      <w:pPr>
        <w:pStyle w:val="40"/>
        <w:spacing w:after="0"/>
      </w:pPr>
    </w:p>
    <w:p w14:paraId="7E89184C">
      <w:pPr>
        <w:pStyle w:val="3"/>
      </w:pPr>
      <w:bookmarkStart w:id="15" w:name="_Toc20211"/>
      <w:r>
        <w:t>API 与错误模型</w:t>
      </w:r>
      <w:bookmarkEnd w:id="15"/>
    </w:p>
    <w:p w14:paraId="42E2CCD6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API 按业务 Feature 组织，每个 EndpointExtensions 文件负责映射一组端点。请求进入后先经过 HTTPS、认证、授权和限流，再由应用服务/仓储执行业务；异常处理中间件把业务异常、资源不存在、禁止访问和未知异常转换为一致的 HTTP 状态与 ApiResponse。开发环境可启用 Swagger，生产环境不公开交互式 API 文档。</w:t>
      </w:r>
    </w:p>
    <w:p w14:paraId="65EA3332">
      <w:pPr>
        <w:keepNext/>
        <w:ind w:firstLine="0"/>
      </w:pPr>
      <w:r>
        <w:rPr>
          <w:rFonts w:ascii="Times New Roman" w:hAnsi="Times New Roman" w:eastAsia="黑体"/>
          <w:b/>
          <w:sz w:val="18"/>
        </w:rPr>
        <w:t>主要端点组注册（结构化摘录）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7DBF3A62">
        <w:trPr>
          <w:jc w:val="center"/>
        </w:trPr>
        <w:tc>
          <w:tcPr>
            <w:tcW w:w="9355" w:type="dxa"/>
            <w:shd w:val="clear" w:color="auto" w:fill="F2F4F5"/>
          </w:tcPr>
          <w:p w14:paraId="29ACDC8D">
            <w:pPr>
              <w:spacing w:line="240" w:lineRule="auto"/>
              <w:ind w:firstLine="0"/>
            </w:pPr>
            <w:r>
              <w:rPr>
                <w:rFonts w:ascii="Consolas" w:hAnsi="Consolas" w:eastAsia="宋体"/>
                <w:sz w:val="16"/>
              </w:rPr>
              <w:t>app.MapAuthEndpoints();</w:t>
            </w:r>
            <w:r>
              <w:br w:type="textWrapping"/>
            </w:r>
            <w:r>
              <w:rPr>
                <w:rFonts w:ascii="Consolas" w:hAnsi="Consolas" w:eastAsia="宋体"/>
                <w:sz w:val="16"/>
              </w:rPr>
              <w:t>app.MapGameEndpoints();</w:t>
            </w:r>
            <w:r>
              <w:br w:type="textWrapping"/>
            </w:r>
            <w:r>
              <w:rPr>
                <w:rFonts w:ascii="Consolas" w:hAnsi="Consolas" w:eastAsia="宋体"/>
                <w:sz w:val="16"/>
              </w:rPr>
              <w:t>app.MapCoreTransactionEndpoints();</w:t>
            </w:r>
            <w:r>
              <w:br w:type="textWrapping"/>
            </w:r>
            <w:r>
              <w:rPr>
                <w:rFonts w:ascii="Consolas" w:hAnsi="Consolas" w:eastAsia="宋体"/>
                <w:sz w:val="16"/>
              </w:rPr>
              <w:t>app.MapInventoryEndpoints();</w:t>
            </w:r>
            <w:r>
              <w:br w:type="textWrapping"/>
            </w:r>
            <w:r>
              <w:rPr>
                <w:rFonts w:ascii="Consolas" w:hAnsi="Consolas" w:eastAsia="宋体"/>
                <w:sz w:val="16"/>
              </w:rPr>
              <w:t>app.MapMarketEndpoints();</w:t>
            </w:r>
            <w:r>
              <w:br w:type="textWrapping"/>
            </w:r>
            <w:r>
              <w:rPr>
                <w:rFonts w:ascii="Consolas" w:hAnsi="Consolas" w:eastAsia="宋体"/>
                <w:sz w:val="16"/>
              </w:rPr>
              <w:t>app.MapCommunityEndpoints();</w:t>
            </w:r>
            <w:r>
              <w:br w:type="textWrapping"/>
            </w:r>
            <w:r>
              <w:rPr>
                <w:rFonts w:ascii="Consolas" w:hAnsi="Consolas" w:eastAsia="宋体"/>
                <w:sz w:val="16"/>
              </w:rPr>
              <w:t>app.MapSocialEndpoints();</w:t>
            </w:r>
            <w:r>
              <w:br w:type="textWrapping"/>
            </w:r>
            <w:r>
              <w:rPr>
                <w:rFonts w:ascii="Consolas" w:hAnsi="Consolas" w:eastAsia="宋体"/>
                <w:sz w:val="16"/>
              </w:rPr>
              <w:t>app.MapEngagementEndpoints();</w:t>
            </w:r>
            <w:r>
              <w:br w:type="textWrapping"/>
            </w:r>
            <w:r>
              <w:rPr>
                <w:rFonts w:ascii="Consolas" w:hAnsi="Consolas" w:eastAsia="宋体"/>
                <w:sz w:val="16"/>
              </w:rPr>
              <w:t>app.MapNoticeEndpoints();</w:t>
            </w:r>
          </w:p>
        </w:tc>
      </w:tr>
    </w:tbl>
    <w:p w14:paraId="5A67F5EB">
      <w:pPr>
        <w:pStyle w:val="3"/>
      </w:pPr>
      <w:bookmarkStart w:id="16" w:name="_Toc2406"/>
      <w:r>
        <w:t>安全设计</w:t>
      </w:r>
      <w:bookmarkEnd w:id="16"/>
    </w:p>
    <w:p w14:paraId="6584549C">
      <w:pPr>
        <w:pStyle w:val="14"/>
        <w:spacing w:after="0"/>
      </w:pPr>
      <w:r>
        <w:rPr>
          <w:rFonts w:ascii="Times New Roman" w:hAnsi="Times New Roman" w:eastAsia="宋体"/>
          <w:sz w:val="21"/>
        </w:rPr>
        <w:t>认证：密码经安全哈希保存；JWT 验证签名、签发方、受众和有效期；生产签名密钥由外部配置注入。</w:t>
      </w:r>
    </w:p>
    <w:p w14:paraId="437EDC7B">
      <w:pPr>
        <w:pStyle w:val="14"/>
        <w:spacing w:after="0"/>
      </w:pPr>
      <w:r>
        <w:rPr>
          <w:rFonts w:ascii="Times New Roman" w:hAnsi="Times New Roman" w:eastAsia="宋体"/>
          <w:sz w:val="21"/>
        </w:rPr>
        <w:t>授权：端点按 Player、Developer、Admin 角色要求授权；资源级查询继续校验主体归属。</w:t>
      </w:r>
    </w:p>
    <w:p w14:paraId="066DE76C">
      <w:pPr>
        <w:pStyle w:val="14"/>
        <w:spacing w:after="0"/>
      </w:pPr>
      <w:r>
        <w:rPr>
          <w:rFonts w:ascii="Times New Roman" w:hAnsi="Times New Roman" w:eastAsia="宋体"/>
          <w:sz w:val="21"/>
        </w:rPr>
        <w:t>输入安全：统一输入守卫、长度与范围校验；Oracle SQL 全部使用参数绑定，不拼接用户输入。</w:t>
      </w:r>
    </w:p>
    <w:p w14:paraId="7C65C9F2">
      <w:pPr>
        <w:pStyle w:val="14"/>
        <w:spacing w:after="0"/>
      </w:pPr>
      <w:r>
        <w:rPr>
          <w:rFonts w:ascii="Times New Roman" w:hAnsi="Times New Roman" w:eastAsia="宋体"/>
          <w:sz w:val="21"/>
        </w:rPr>
        <w:t>传输与网络：外部强制 HTTPS；Oracle 和 Kestrel 仅监听回环；不在仓库中保存口令、连接串或私钥。</w:t>
      </w:r>
    </w:p>
    <w:p w14:paraId="3CBCFF8C">
      <w:pPr>
        <w:pStyle w:val="14"/>
        <w:spacing w:after="0"/>
      </w:pPr>
      <w:r>
        <w:rPr>
          <w:rFonts w:ascii="Times New Roman" w:hAnsi="Times New Roman" w:eastAsia="宋体"/>
          <w:sz w:val="21"/>
        </w:rPr>
        <w:t>滥用防护：登录等敏感入口启用限流；幂等键防止重复支付；异常响应不返回堆栈和数据库细节。</w:t>
      </w:r>
    </w:p>
    <w:p w14:paraId="48CD34AC">
      <w:pPr>
        <w:pStyle w:val="14"/>
        <w:spacing w:after="0"/>
      </w:pPr>
      <w:r>
        <w:rPr>
          <w:rFonts w:ascii="Times New Roman" w:hAnsi="Times New Roman" w:eastAsia="宋体"/>
          <w:sz w:val="21"/>
        </w:rPr>
        <w:t>审计：订单状态、退款审批、钱包变动、资产转移和演示恢复均保留独立历史记录；游戏仅维护当前 ONLINE/OFFLINE 状态，不虚构审批意见日志。</w:t>
      </w:r>
    </w:p>
    <w:p w14:paraId="2623487F">
      <w:pPr>
        <w:pStyle w:val="2"/>
      </w:pPr>
      <w:bookmarkStart w:id="17" w:name="_Toc8762"/>
      <w:r>
        <w:t>详细模块设计与实现</w:t>
      </w:r>
      <w:bookmarkEnd w:id="17"/>
    </w:p>
    <w:p w14:paraId="490BA2AE">
      <w:pPr>
        <w:pStyle w:val="3"/>
      </w:pPr>
      <w:bookmarkStart w:id="18" w:name="_Toc24808"/>
      <w:r>
        <w:t>认证与多主体权限模块</w:t>
      </w:r>
      <w:bookmarkEnd w:id="18"/>
    </w:p>
    <w:p w14:paraId="7A15747E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认证模块统一处理玩家、开发商和管理员登录。AuthService 查询对应主体并校验密码哈希，令牌携带角色和主体 ID。AuthClaimReader 从已验证 Claims 中读取身份；EndpointGuards 和角色策略阻止错误角色进入。前端 auth store 只保存必要会话信息，router meta 控制用户体验，但真正的安全边界始终在后端。</w:t>
      </w:r>
    </w:p>
    <w:p w14:paraId="2C67CAC6">
      <w:pPr>
        <w:pStyle w:val="13"/>
        <w:keepNext/>
        <w:ind w:firstLine="0"/>
        <w:jc w:val="center"/>
      </w:pPr>
      <w:bookmarkStart w:id="19" w:name="tbl_6"/>
      <w:r>
        <w:rPr>
          <w:rFonts w:ascii="Times New Roman" w:hAnsi="Times New Roman" w:eastAsia="黑体"/>
          <w:sz w:val="20"/>
        </w:rPr>
        <w:t>表格 3-1  认证模块文件映射</w:t>
      </w:r>
      <w:bookmarkEnd w:id="19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77A93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59405C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层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7BD7D7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关键文件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5908F6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作用</w:t>
            </w:r>
          </w:p>
        </w:tc>
      </w:tr>
      <w:tr w14:paraId="0F1C5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81D10A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View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897EC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frontend/src/stores/auth.ts；router.ts；LoginView.vue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08DEC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会话状态、角色工作区跳转和路由守卫</w:t>
            </w:r>
          </w:p>
        </w:tc>
      </w:tr>
      <w:tr w14:paraId="62927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074134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Api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EB38B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Features/Auth/AuthEndpointExtensions.cs；EndpointGuards.cs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F61A4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登录/注册端点和主体守卫</w:t>
            </w:r>
          </w:p>
        </w:tc>
      </w:tr>
      <w:tr w14:paraId="66608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407717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Application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A0DB1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AuthContracts.cs；AuthClaimReader.cs；AuthRoles.cs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96AC9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认证契约、Claim 读取和角色常量</w:t>
            </w:r>
          </w:p>
        </w:tc>
      </w:tr>
      <w:tr w14:paraId="7EAD8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347127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Infrastructure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2DFDF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AuthService.cs；PasswordHasher.cs；AuthSigningKeyProvider.cs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64807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账号查询、密码验证和令牌签发</w:t>
            </w:r>
          </w:p>
        </w:tc>
      </w:tr>
      <w:tr w14:paraId="71F98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3D7694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Database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E774D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PLAYER；DEVELOPER；ADMIN_USER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B9523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三类主体独立保存并受唯一约束</w:t>
            </w:r>
          </w:p>
        </w:tc>
      </w:tr>
    </w:tbl>
    <w:p w14:paraId="1718788F">
      <w:pPr>
        <w:pStyle w:val="40"/>
        <w:spacing w:after="0"/>
      </w:pPr>
    </w:p>
    <w:p w14:paraId="23F0D2D3">
      <w:pPr>
        <w:pStyle w:val="3"/>
      </w:pPr>
      <w:bookmarkStart w:id="20" w:name="_Toc9295"/>
      <w:r>
        <w:t>游戏发行、商店与公告模块</w:t>
      </w:r>
      <w:bookmarkEnd w:id="20"/>
    </w:p>
    <w:p w14:paraId="187D1B8F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GameService 和 GameRepository 实现商店公开查询、游戏详情、开发商维护和管理员上/下架。GameVisibilityGuard 统一控制不同状态的可见性。开发商查询必须绑定 JWT 中的 developer_id，管理员状态端点独立授权。公告模块支持草稿、发布、过期/撤销、优先级、发布时间与跳转目标；商店启动时以前景弹窗展示当前有效公告。</w:t>
      </w:r>
    </w:p>
    <w:p w14:paraId="63E801EE">
      <w:pPr>
        <w:pStyle w:val="13"/>
        <w:keepNext/>
        <w:ind w:firstLine="0"/>
        <w:jc w:val="center"/>
      </w:pPr>
      <w:bookmarkStart w:id="21" w:name="tbl_7"/>
      <w:r>
        <w:rPr>
          <w:rFonts w:ascii="Times New Roman" w:hAnsi="Times New Roman" w:eastAsia="黑体"/>
          <w:sz w:val="20"/>
        </w:rPr>
        <w:t>表格 3-2  游戏与公告状态规则</w:t>
      </w:r>
      <w:bookmarkEnd w:id="21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2FF2B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DE5A65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对象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DB8967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状态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D327B9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允许操作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4092C8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可见范围</w:t>
            </w:r>
          </w:p>
        </w:tc>
      </w:tr>
      <w:tr w14:paraId="1DAA2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74CAA2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游戏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5DD01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OFFLINE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EE2D6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归属开发商维护；仅 OFFLINE 可删除；管理员可上架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0166C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归属开发商与管理员</w:t>
            </w:r>
          </w:p>
        </w:tc>
      </w:tr>
      <w:tr w14:paraId="260C2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18FD3D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游戏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A571D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ONLINE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CCEF1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管理员可下架；公开查询和购买资格有效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C8315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公众</w:t>
            </w:r>
          </w:p>
        </w:tc>
      </w:tr>
      <w:tr w14:paraId="25726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B2604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公告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3C517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DRAFT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EA737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管理员创建和编辑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117E4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管理员</w:t>
            </w:r>
          </w:p>
        </w:tc>
      </w:tr>
      <w:tr w14:paraId="1B1DA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3C2AF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公告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2AD10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PUBLISHED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8DFA5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结合 publish_time、expire_time 与 priority 展示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8B5B3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公众/登录用户</w:t>
            </w:r>
          </w:p>
        </w:tc>
      </w:tr>
      <w:tr w14:paraId="20745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C03E93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公告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812E9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EXPIRED/REVOKED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78098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不作为当前有效公告展示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2EC7F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管理员</w:t>
            </w:r>
          </w:p>
        </w:tc>
      </w:tr>
    </w:tbl>
    <w:p w14:paraId="6F4B9C90">
      <w:pPr>
        <w:pStyle w:val="40"/>
        <w:spacing w:after="0"/>
      </w:pPr>
    </w:p>
    <w:p w14:paraId="2E49EC1E">
      <w:pPr>
        <w:spacing w:after="0"/>
        <w:ind w:firstLine="0"/>
        <w:jc w:val="center"/>
      </w:pPr>
      <w:r>
        <w:drawing>
          <wp:inline distT="0" distB="0" distL="114300" distR="114300">
            <wp:extent cx="4093210" cy="3779520"/>
            <wp:effectExtent l="0" t="0" r="889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3401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9278">
      <w:pPr>
        <w:pStyle w:val="13"/>
        <w:ind w:firstLine="0"/>
        <w:jc w:val="center"/>
      </w:pPr>
      <w:bookmarkStart w:id="22" w:name="fig_3"/>
      <w:r>
        <w:rPr>
          <w:rFonts w:ascii="Times New Roman" w:hAnsi="Times New Roman" w:eastAsia="黑体"/>
          <w:sz w:val="20"/>
        </w:rPr>
        <w:t>图 3-1  云端商店首页与 Steam 风格导航</w:t>
      </w:r>
      <w:bookmarkEnd w:id="22"/>
    </w:p>
    <w:p w14:paraId="28A3234C">
      <w:pPr>
        <w:spacing w:after="0"/>
        <w:ind w:firstLine="0"/>
        <w:jc w:val="center"/>
      </w:pPr>
      <w:r>
        <w:drawing>
          <wp:inline distT="0" distB="0" distL="114300" distR="114300">
            <wp:extent cx="1970405" cy="3779520"/>
            <wp:effectExtent l="0" t="0" r="1079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0835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0EAD">
      <w:pPr>
        <w:pStyle w:val="13"/>
        <w:ind w:firstLine="0"/>
        <w:jc w:val="center"/>
      </w:pPr>
      <w:bookmarkStart w:id="23" w:name="fig_4"/>
      <w:r>
        <w:rPr>
          <w:rFonts w:ascii="Times New Roman" w:hAnsi="Times New Roman" w:eastAsia="黑体"/>
          <w:sz w:val="20"/>
        </w:rPr>
        <w:t>图 3-2  DST 游戏详情、媒体与购买入口</w:t>
      </w:r>
      <w:bookmarkEnd w:id="23"/>
    </w:p>
    <w:p w14:paraId="65835D79">
      <w:pPr>
        <w:spacing w:after="0"/>
        <w:ind w:firstLine="0"/>
        <w:jc w:val="center"/>
      </w:pPr>
      <w:r>
        <w:drawing>
          <wp:inline distT="0" distB="0" distL="114300" distR="114300">
            <wp:extent cx="5687695" cy="3554730"/>
            <wp:effectExtent l="0" t="0" r="190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2584">
      <w:pPr>
        <w:pStyle w:val="13"/>
        <w:ind w:firstLine="0"/>
        <w:jc w:val="center"/>
      </w:pPr>
      <w:bookmarkStart w:id="24" w:name="fig_5"/>
      <w:r>
        <w:rPr>
          <w:rFonts w:ascii="Times New Roman" w:hAnsi="Times New Roman" w:eastAsia="黑体"/>
          <w:sz w:val="20"/>
        </w:rPr>
        <w:t>图 3-3  开发商游戏管理工作台</w:t>
      </w:r>
      <w:bookmarkEnd w:id="24"/>
    </w:p>
    <w:p w14:paraId="34110FFE">
      <w:pPr>
        <w:spacing w:after="0"/>
        <w:ind w:firstLine="0"/>
        <w:jc w:val="center"/>
      </w:pPr>
      <w:r>
        <w:drawing>
          <wp:inline distT="0" distB="0" distL="114300" distR="114300">
            <wp:extent cx="4326890" cy="3779520"/>
            <wp:effectExtent l="0" t="0" r="381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716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1655">
      <w:pPr>
        <w:pStyle w:val="13"/>
        <w:ind w:firstLine="0"/>
        <w:jc w:val="center"/>
      </w:pPr>
      <w:bookmarkStart w:id="25" w:name="fig_6"/>
      <w:r>
        <w:rPr>
          <w:rFonts w:ascii="Times New Roman" w:hAnsi="Times New Roman" w:eastAsia="黑体"/>
          <w:sz w:val="20"/>
        </w:rPr>
        <w:t>图 3-4  管理员游戏上架与下架界面</w:t>
      </w:r>
      <w:bookmarkEnd w:id="25"/>
    </w:p>
    <w:p w14:paraId="1E4B036E">
      <w:pPr>
        <w:pStyle w:val="3"/>
      </w:pPr>
      <w:bookmarkStart w:id="26" w:name="_Toc19187"/>
      <w:r>
        <w:t>钱包、订单、退款与游戏库模块</w:t>
      </w:r>
      <w:bookmarkEnd w:id="26"/>
    </w:p>
    <w:p w14:paraId="78A94CF8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CoreTransactionService 负责所有核心资金与权益事务。控制层不拆分执行扣款、建单和入库，而是把完整用例交给同一个 Oracle 连接与事务。WALLET_ACCOUNT 是余额唯一真相；WALLET_TRANSACTION 只追加不覆盖。订单头、明细、支付和状态日志保留业务过程；PLAYER_LIBRARY 表示最终权益。</w:t>
      </w:r>
    </w:p>
    <w:p w14:paraId="05B3FFBE">
      <w:pPr>
        <w:spacing w:after="0"/>
        <w:ind w:firstLine="0"/>
        <w:jc w:val="center"/>
      </w:pPr>
      <w:r>
        <w:drawing>
          <wp:inline distT="0" distB="0" distL="114300" distR="114300">
            <wp:extent cx="5687695" cy="3732530"/>
            <wp:effectExtent l="0" t="0" r="190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3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2091">
      <w:pPr>
        <w:pStyle w:val="13"/>
        <w:ind w:firstLine="0"/>
        <w:jc w:val="center"/>
      </w:pPr>
      <w:bookmarkStart w:id="27" w:name="fig_7"/>
      <w:r>
        <w:rPr>
          <w:rFonts w:ascii="Times New Roman" w:hAnsi="Times New Roman" w:eastAsia="黑体"/>
          <w:sz w:val="20"/>
        </w:rPr>
        <w:t>图 3-5  游戏购买与退款事务时序</w:t>
      </w:r>
      <w:bookmarkEnd w:id="27"/>
    </w:p>
    <w:p w14:paraId="090643E5">
      <w:pPr>
        <w:pStyle w:val="13"/>
        <w:keepNext/>
        <w:ind w:firstLine="0"/>
        <w:jc w:val="center"/>
      </w:pPr>
      <w:bookmarkStart w:id="28" w:name="tbl_8"/>
      <w:r>
        <w:rPr>
          <w:rFonts w:ascii="Times New Roman" w:hAnsi="Times New Roman" w:eastAsia="黑体"/>
          <w:sz w:val="20"/>
        </w:rPr>
        <w:t>表格 3-3  购买事务写入顺序与失败处理</w:t>
      </w:r>
      <w:bookmarkEnd w:id="28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6E73B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2DBD39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步骤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E6ACC0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检查/写入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BA61AA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并发与约束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529518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失败结果</w:t>
            </w:r>
          </w:p>
        </w:tc>
      </w:tr>
      <w:tr w14:paraId="6E3FB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6637C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A4201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验证当前玩家、游戏发布状态和请求金额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B4596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服务端读取真实价格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BD948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400/404，不开始写入</w:t>
            </w:r>
          </w:p>
        </w:tc>
      </w:tr>
      <w:tr w14:paraId="73947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4778E5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7F78E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按玩家锁定 WALLET_ACCOUNT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AF631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SELECT ... FOR UPDATE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0DBBE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余额不足则回滚</w:t>
            </w:r>
          </w:p>
        </w:tc>
      </w:tr>
      <w:tr w14:paraId="0B44C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237DD6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63C6C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检查 PLAYER_LIBRARY 与幂等记录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1329E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唯一约束 + 幂等键/请求绑定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B2128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重复请求返回原结果或拒绝冲突</w:t>
            </w:r>
          </w:p>
        </w:tc>
      </w:tr>
      <w:tr w14:paraId="3A06A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D5C101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97FA9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写 GAME_ORDER、ORDER_DETAIL、PAYMENT_TRANSACTION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6CB74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同一事务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83BF8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任一步失败整体回滚</w:t>
            </w:r>
          </w:p>
        </w:tc>
      </w:tr>
      <w:tr w14:paraId="4527F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76793F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BE88B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扣余额并写 WALLET_TRANSACTION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BA6FD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金额非负、更新行数校验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1AAE8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不允许负余额</w:t>
            </w:r>
          </w:p>
        </w:tc>
      </w:tr>
      <w:tr w14:paraId="1208A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6455F3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D13A4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写 PLAYER_LIBRARY 与 ORDER_STATUS_LOG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A714F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玩家+游戏唯一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357A8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权益冲突则整体回滚</w:t>
            </w:r>
          </w:p>
        </w:tc>
      </w:tr>
      <w:tr w14:paraId="26D93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CDAFE9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AA035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提交并返回完整快照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5D220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提交后查询结果</w:t>
            </w:r>
          </w:p>
        </w:tc>
        <w:tc>
          <w:tcPr>
            <w:tcW w:w="243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ECAD6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客户端可安全重试</w:t>
            </w:r>
          </w:p>
        </w:tc>
      </w:tr>
    </w:tbl>
    <w:p w14:paraId="35E5D688">
      <w:pPr>
        <w:pStyle w:val="40"/>
        <w:spacing w:after="0"/>
      </w:pPr>
    </w:p>
    <w:p w14:paraId="50C49AC0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退款批准以原订单、支付方式、退款工单和游戏库为联合事实：锁定关键行后验证状态，把 PLAYER_LIBRARY 置为 REVOKED，并写退款明细、审核日志与订单状态日志。原支付方式为 STEAM_WALLET 时才返还 WALLET_ACCOUNT 并追加 WALLET_TRANSACTION；WECHAT_PAY、ALIPAY、VISA、MASTERCARD 等课程演示外部支付只更新支付/退款事实，不虚增钱包。退款查询始终以 JWT 玩家身份过滤，避免跨玩家申请。</w:t>
      </w:r>
    </w:p>
    <w:p w14:paraId="0114C2DC">
      <w:pPr>
        <w:spacing w:after="0"/>
        <w:ind w:firstLine="0"/>
        <w:jc w:val="center"/>
      </w:pPr>
      <w:r>
        <w:drawing>
          <wp:inline distT="0" distB="0" distL="114300" distR="114300">
            <wp:extent cx="4674235" cy="3779520"/>
            <wp:effectExtent l="0" t="0" r="1206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4782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89A3">
      <w:pPr>
        <w:pStyle w:val="13"/>
        <w:ind w:firstLine="0"/>
        <w:jc w:val="center"/>
      </w:pPr>
      <w:bookmarkStart w:id="29" w:name="fig_8"/>
      <w:r>
        <w:rPr>
          <w:rFonts w:ascii="Times New Roman" w:hAnsi="Times New Roman" w:eastAsia="黑体"/>
          <w:sz w:val="20"/>
        </w:rPr>
        <w:t>图 3-6  玩家钱包与可审计资金流水</w:t>
      </w:r>
      <w:bookmarkEnd w:id="29"/>
    </w:p>
    <w:p w14:paraId="7242BD30">
      <w:pPr>
        <w:spacing w:after="0"/>
        <w:ind w:firstLine="0"/>
        <w:jc w:val="center"/>
      </w:pPr>
      <w:r>
        <w:drawing>
          <wp:inline distT="0" distB="0" distL="114300" distR="114300">
            <wp:extent cx="4542790" cy="3779520"/>
            <wp:effectExtent l="0" t="0" r="381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3098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CB6E">
      <w:pPr>
        <w:pStyle w:val="13"/>
        <w:ind w:firstLine="0"/>
        <w:jc w:val="center"/>
      </w:pPr>
      <w:bookmarkStart w:id="30" w:name="fig_9"/>
      <w:r>
        <w:rPr>
          <w:rFonts w:ascii="Times New Roman" w:hAnsi="Times New Roman" w:eastAsia="黑体"/>
          <w:sz w:val="20"/>
        </w:rPr>
        <w:t>图 3-7  玩家游戏库与游戏活动信息</w:t>
      </w:r>
      <w:bookmarkEnd w:id="30"/>
    </w:p>
    <w:p w14:paraId="7FDA930B">
      <w:pPr>
        <w:pStyle w:val="3"/>
      </w:pPr>
      <w:bookmarkStart w:id="31" w:name="_Toc30442"/>
      <w:r>
        <w:t>评价、投票与成就模块</w:t>
      </w:r>
      <w:bookmarkEnd w:id="31"/>
    </w:p>
    <w:p w14:paraId="3EE6361E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CommunityEndpointExtensions 提供评价与成就端点。ReviewRepository 先验证玩家拥有目标游戏，再新增或修改评价；每次修改把旧内容写入 REVIEW_VERSION。REVIEW_REACTION 对玩家与评价建立唯一关系，允许切换有用/无用状态而不重复计数。AchievementRepository 管理成就定义与玩家解锁记录；DST 成就明确属于课程演示定义。</w:t>
      </w:r>
    </w:p>
    <w:p w14:paraId="580BC11F">
      <w:pPr>
        <w:pStyle w:val="13"/>
        <w:keepNext/>
        <w:ind w:firstLine="0"/>
        <w:jc w:val="center"/>
      </w:pPr>
      <w:bookmarkStart w:id="32" w:name="tbl_9"/>
      <w:r>
        <w:rPr>
          <w:rFonts w:ascii="Times New Roman" w:hAnsi="Times New Roman" w:eastAsia="黑体"/>
          <w:sz w:val="20"/>
        </w:rPr>
        <w:t>表格 3-4  评价与成就一致性规则</w:t>
      </w:r>
      <w:bookmarkEnd w:id="32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10D9A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C0B15F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规则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FDD3A7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实现方式</w:t>
            </w:r>
          </w:p>
        </w:tc>
      </w:tr>
      <w:tr w14:paraId="1CEA6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845FB5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拥有资格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62414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 PLAYER_LIBRARY 验证玩家已拥有对应游戏</w:t>
            </w:r>
          </w:p>
        </w:tc>
      </w:tr>
      <w:tr w14:paraId="16082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7FF07D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一人一评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7CEF1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GAME_REVIEW 对 player_id + game_id 建立唯一性</w:t>
            </w:r>
          </w:p>
        </w:tc>
      </w:tr>
      <w:tr w14:paraId="2866B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33A893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版本保留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0834D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更新前把旧版本追加到 REVIEW_VERSION</w:t>
            </w:r>
          </w:p>
        </w:tc>
      </w:tr>
      <w:tr w14:paraId="0CB6C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7547C1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一人一票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BA9A8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REVIEW_REACTION 对 review_id + user_id 唯一，更新 vote_type 完成 UP/DOWN 切换</w:t>
            </w:r>
          </w:p>
        </w:tc>
      </w:tr>
      <w:tr w14:paraId="0FF60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6539A6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成就唯一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23708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PLAYER_ACHIEVEMENT 对 player_id + achievement_id 唯一</w:t>
            </w:r>
          </w:p>
        </w:tc>
      </w:tr>
      <w:tr w14:paraId="73854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4C58E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样例真实性</w:t>
            </w: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0C53C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7"/>
              </w:rPr>
              <w:t>CS2/DST 基础信息参照真实游戏；DST 成就标注为项目自定义</w:t>
            </w:r>
          </w:p>
        </w:tc>
      </w:tr>
    </w:tbl>
    <w:p w14:paraId="3694720F">
      <w:pPr>
        <w:pStyle w:val="40"/>
        <w:spacing w:after="0"/>
      </w:pPr>
    </w:p>
    <w:p w14:paraId="4ABDBB2C">
      <w:pPr>
        <w:pStyle w:val="3"/>
      </w:pPr>
      <w:bookmarkStart w:id="33" w:name="_Toc31758"/>
      <w:r>
        <w:t>库存、市场撮合与双账本模块</w:t>
      </w:r>
      <w:bookmarkEnd w:id="33"/>
    </w:p>
    <w:p w14:paraId="07C63C76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库存与市场是数据库逻辑最集中的模块。ITEM_TEMPLATE 保存可复用物品定义，INVENTORY_ITEM 保存唯一实例和当前所有者。卖出挂单时锁定物品并把状态由 NORMAL 改为 IN_MARKET；撤单或成交后恢复 NORMAL。有效买单和卖单均使用 MATCHING 状态；撮合时锁定 MARKET_ORDER、库存实例与相关 WALLET_ACCOUNT，防止同一订单或物品被重复成交。</w:t>
      </w:r>
    </w:p>
    <w:p w14:paraId="2F5FB805">
      <w:pPr>
        <w:spacing w:after="0"/>
        <w:ind w:firstLine="0"/>
        <w:jc w:val="center"/>
      </w:pPr>
      <w:r>
        <w:drawing>
          <wp:inline distT="0" distB="0" distL="114300" distR="114300">
            <wp:extent cx="5687695" cy="3732530"/>
            <wp:effectExtent l="0" t="0" r="190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3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0E21">
      <w:pPr>
        <w:pStyle w:val="13"/>
        <w:ind w:firstLine="0"/>
        <w:jc w:val="center"/>
      </w:pPr>
      <w:bookmarkStart w:id="34" w:name="fig_10"/>
      <w:r>
        <w:rPr>
          <w:rFonts w:ascii="Times New Roman" w:hAnsi="Times New Roman" w:eastAsia="黑体"/>
          <w:sz w:val="20"/>
        </w:rPr>
        <w:t>图 3-8  市场挂单、撮合与结算时序</w:t>
      </w:r>
      <w:bookmarkEnd w:id="34"/>
    </w:p>
    <w:p w14:paraId="71E2326D">
      <w:pPr>
        <w:pStyle w:val="13"/>
        <w:keepNext/>
        <w:ind w:firstLine="0"/>
        <w:jc w:val="center"/>
      </w:pPr>
      <w:bookmarkStart w:id="35" w:name="tbl_10"/>
      <w:r>
        <w:rPr>
          <w:rFonts w:ascii="Times New Roman" w:hAnsi="Times New Roman" w:eastAsia="黑体"/>
          <w:sz w:val="20"/>
        </w:rPr>
        <w:t>表格 3-5  市场事务不变量</w:t>
      </w:r>
      <w:bookmarkEnd w:id="35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01D58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23A554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不变量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255CB0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数据库/服务实现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E04146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验证方式</w:t>
            </w:r>
          </w:p>
        </w:tc>
      </w:tr>
      <w:tr w14:paraId="66284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4990C0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单物品最多一个有效挂单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C74CE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状态条件、物品外键和有效挂单检查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E0F12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并发挂单回归</w:t>
            </w:r>
          </w:p>
        </w:tc>
      </w:tr>
      <w:tr w14:paraId="60C3D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90262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单挂单最多成交一次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6A8A5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FOR UPDATE 锁行 + MATCHING 状态条件更新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D4C60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并发买家只一人成功</w:t>
            </w:r>
          </w:p>
        </w:tc>
      </w:tr>
      <w:tr w14:paraId="77E06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C96E14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买家不能购买自己的挂单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81C0A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服务端比较 seller_id 与 JWT player_id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4E1E1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端点与服务测试</w:t>
            </w:r>
          </w:p>
        </w:tc>
      </w:tr>
      <w:tr w14:paraId="5794E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388F73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余额不能为负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38769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锁钱包、余额条件和更新行数检查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D3068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余额不足测试与检查约束</w:t>
            </w:r>
          </w:p>
        </w:tc>
      </w:tr>
      <w:tr w14:paraId="27541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D366A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资金守恒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A687D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买家扣款、卖家入账、成交和钱包流水同事务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79F75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交易前后余额/流水断言</w:t>
            </w:r>
          </w:p>
        </w:tc>
      </w:tr>
      <w:tr w14:paraId="52287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1CC0D1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资产守恒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B456E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更新当前所有者并追加 ITEM_TRANSFER_LEDGER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D7639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库存与资产账本关联查询</w:t>
            </w:r>
          </w:p>
        </w:tc>
      </w:tr>
      <w:tr w14:paraId="788A1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AB67BD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失败无部分写入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52856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Oracle 显式事务，异常统一回滚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F6B6E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故障路径测试</w:t>
            </w:r>
          </w:p>
        </w:tc>
      </w:tr>
    </w:tbl>
    <w:p w14:paraId="0D9BD07F">
      <w:pPr>
        <w:pStyle w:val="40"/>
        <w:spacing w:after="0"/>
      </w:pPr>
    </w:p>
    <w:p w14:paraId="76AA322B">
      <w:pPr>
        <w:spacing w:after="0"/>
        <w:ind w:firstLine="0"/>
        <w:jc w:val="center"/>
      </w:pPr>
      <w:r>
        <w:drawing>
          <wp:inline distT="0" distB="0" distL="114300" distR="114300">
            <wp:extent cx="3231515" cy="3779520"/>
            <wp:effectExtent l="0" t="0" r="698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2064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7C08">
      <w:pPr>
        <w:pStyle w:val="13"/>
        <w:ind w:firstLine="0"/>
        <w:jc w:val="center"/>
      </w:pPr>
      <w:bookmarkStart w:id="36" w:name="fig_11"/>
      <w:r>
        <w:rPr>
          <w:rFonts w:ascii="Times New Roman" w:hAnsi="Times New Roman" w:eastAsia="黑体"/>
          <w:sz w:val="20"/>
        </w:rPr>
        <w:t>图 3-9  CS2 实例化物品库存</w:t>
      </w:r>
      <w:bookmarkEnd w:id="36"/>
    </w:p>
    <w:p w14:paraId="2812F108">
      <w:pPr>
        <w:spacing w:after="0"/>
        <w:ind w:firstLine="0"/>
        <w:jc w:val="center"/>
      </w:pPr>
      <w:r>
        <w:drawing>
          <wp:inline distT="0" distB="0" distL="114300" distR="114300">
            <wp:extent cx="1619250" cy="3779520"/>
            <wp:effectExtent l="0" t="0" r="635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9277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FCAD">
      <w:pPr>
        <w:pStyle w:val="13"/>
        <w:ind w:firstLine="0"/>
        <w:jc w:val="center"/>
      </w:pPr>
      <w:bookmarkStart w:id="37" w:name="fig_12"/>
      <w:r>
        <w:rPr>
          <w:rFonts w:ascii="Times New Roman" w:hAnsi="Times New Roman" w:eastAsia="黑体"/>
          <w:sz w:val="20"/>
        </w:rPr>
        <w:t>图 3-10  社区市场挂单与成交界面</w:t>
      </w:r>
      <w:bookmarkEnd w:id="37"/>
    </w:p>
    <w:p w14:paraId="3FC4D428">
      <w:pPr>
        <w:pStyle w:val="3"/>
      </w:pPr>
      <w:bookmarkStart w:id="38" w:name="_Toc22391"/>
      <w:r>
        <w:t>社交、社区与互动模块</w:t>
      </w:r>
      <w:bookmarkEnd w:id="38"/>
    </w:p>
    <w:p w14:paraId="3F0BD0A5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SocialService/SocialRepository 负责好友、私信和通知；EngagementService/EngagementRepository 负责资料、徽章、报价、工坊、动态和讨论。好友建立后才能私信，消息先写 DIRECT_MESSAGE，再由 SignalRSocialNotifier 推送；离线用户重新登录仍能从 Oracle 读取消息和未读通知。</w:t>
      </w:r>
    </w:p>
    <w:p w14:paraId="5249F295">
      <w:pPr>
        <w:pStyle w:val="13"/>
        <w:keepNext/>
        <w:ind w:firstLine="0"/>
        <w:jc w:val="center"/>
      </w:pPr>
      <w:bookmarkStart w:id="39" w:name="tbl_11"/>
      <w:r>
        <w:rPr>
          <w:rFonts w:ascii="Times New Roman" w:hAnsi="Times New Roman" w:eastAsia="黑体"/>
          <w:sz w:val="20"/>
        </w:rPr>
        <w:t>表格 3-6  社交与互动数据边界</w:t>
      </w:r>
      <w:bookmarkEnd w:id="39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438D6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9AA13F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CC4511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关键表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EFB581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访问控制与一致性</w:t>
            </w:r>
          </w:p>
        </w:tc>
      </w:tr>
      <w:tr w14:paraId="10ABD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ABBCD3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好友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B62C8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FRIEND_RELATION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ACD54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双方组合唯一；状态转换由参与者执行</w:t>
            </w:r>
          </w:p>
        </w:tc>
      </w:tr>
      <w:tr w14:paraId="45726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DF48F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私信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7A266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DIRECT_MESSAGE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352B3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仅发送者/接收者可读；必须已建立允许关系</w:t>
            </w:r>
          </w:p>
        </w:tc>
      </w:tr>
      <w:tr w14:paraId="38E6B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CA2EE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通知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F9BA8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USER_NOTIFICATION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287C2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按 user_id 隔离；读取后设置 is_read=1 并更新 read_at</w:t>
            </w:r>
          </w:p>
        </w:tc>
      </w:tr>
      <w:tr w14:paraId="406B3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1A8355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资料与徽章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80C43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PLAYER_PROFILE、BADGE_CATALOG、PLAYER_BADGE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359A9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只能修改本人资料；仅可装备已获得徽章</w:t>
            </w:r>
          </w:p>
        </w:tc>
      </w:tr>
      <w:tr w14:paraId="682B4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40ED0D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交易报价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42DB4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TRADE_OFFER、TRADE_OFFER_ITEM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A00FA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发起者/接收者按状态执行；物品归属实时复核</w:t>
            </w:r>
          </w:p>
        </w:tc>
      </w:tr>
      <w:tr w14:paraId="57439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5DC9B0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工坊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46A5A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WORKSHOP_ITEM、WORKSHOP_SUBSCRIPTION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7EA6F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应用浏览 PUBLISHED 演示条目；玩家订阅关系唯一</w:t>
            </w:r>
          </w:p>
        </w:tc>
      </w:tr>
      <w:tr w14:paraId="6067C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981ED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动态讨论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24E96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COMMUNITY_POST、REACTION、DISCUSSION_TOPIC、REPLY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4A6AA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以当前玩家写入，互动关系唯一</w:t>
            </w:r>
          </w:p>
        </w:tc>
      </w:tr>
    </w:tbl>
    <w:p w14:paraId="082CFDA1">
      <w:pPr>
        <w:pStyle w:val="40"/>
        <w:spacing w:after="0"/>
      </w:pPr>
    </w:p>
    <w:p w14:paraId="5017AFBC">
      <w:pPr>
        <w:spacing w:after="0"/>
        <w:ind w:firstLine="0"/>
        <w:jc w:val="center"/>
      </w:pPr>
      <w:r>
        <w:drawing>
          <wp:inline distT="0" distB="0" distL="114300" distR="114300">
            <wp:extent cx="4327525" cy="3779520"/>
            <wp:effectExtent l="0" t="0" r="317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7765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3C87">
      <w:pPr>
        <w:pStyle w:val="13"/>
        <w:ind w:firstLine="0"/>
        <w:jc w:val="center"/>
      </w:pPr>
      <w:bookmarkStart w:id="40" w:name="fig_13"/>
      <w:r>
        <w:rPr>
          <w:rFonts w:ascii="Times New Roman" w:hAnsi="Times New Roman" w:eastAsia="黑体"/>
          <w:sz w:val="20"/>
        </w:rPr>
        <w:t>图 3-11  好友列表、私信与实时通知</w:t>
      </w:r>
      <w:bookmarkEnd w:id="40"/>
    </w:p>
    <w:p w14:paraId="59BA102F">
      <w:pPr>
        <w:spacing w:after="0"/>
        <w:ind w:firstLine="0"/>
        <w:jc w:val="center"/>
      </w:pPr>
      <w:r>
        <w:drawing>
          <wp:inline distT="0" distB="0" distL="114300" distR="114300">
            <wp:extent cx="2054225" cy="3779520"/>
            <wp:effectExtent l="0" t="0" r="317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4522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A9C5">
      <w:pPr>
        <w:pStyle w:val="13"/>
        <w:ind w:firstLine="0"/>
        <w:jc w:val="center"/>
      </w:pPr>
      <w:bookmarkStart w:id="41" w:name="fig_14"/>
      <w:r>
        <w:rPr>
          <w:rFonts w:ascii="Times New Roman" w:hAnsi="Times New Roman" w:eastAsia="黑体"/>
          <w:sz w:val="20"/>
        </w:rPr>
        <w:t>图 3-12  社区动态、讨论与工坊入口</w:t>
      </w:r>
      <w:bookmarkEnd w:id="41"/>
    </w:p>
    <w:p w14:paraId="29FB874B">
      <w:pPr>
        <w:pStyle w:val="3"/>
      </w:pPr>
      <w:bookmarkStart w:id="42" w:name="_Toc13035"/>
      <w:r>
        <w:t>演示恢复与审计模块</w:t>
      </w:r>
      <w:bookmarkEnd w:id="42"/>
    </w:p>
    <w:p w14:paraId="51D1A10B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演示恢复不是 Web 管理页，也不是简单清空数据库。SteamPlatform.DemoData 是 C# 命令行工具：执行 reset 时必须输入 RESET-DEMO-DATA，工具先按清单创建表级快照，再在事务中处理业务表并执行标准数据脚本，最后验证最低基线；需要回退时按 run-id 输入 RESTORE-DEMO-DATA 恢复执行前快照。DEMO_RESET_RUN 记录整次运行与基线 SHA-256，DEMO_RESET_TABLE 记录逐表快照，DEMO_RESET_EVENT 记录阶段、消息和错误。database/admin 下具有管理或清理效果的脚本不属于自动迁移。</w:t>
      </w:r>
    </w:p>
    <w:p w14:paraId="78A6591B">
      <w:pPr>
        <w:pStyle w:val="13"/>
        <w:keepNext/>
        <w:ind w:firstLine="0"/>
        <w:jc w:val="center"/>
      </w:pPr>
      <w:bookmarkStart w:id="43" w:name="tbl_12"/>
      <w:r>
        <w:rPr>
          <w:rFonts w:ascii="Times New Roman" w:hAnsi="Times New Roman" w:eastAsia="黑体"/>
          <w:sz w:val="20"/>
        </w:rPr>
        <w:t>表格 3-7  确定性演示基线</w:t>
      </w:r>
      <w:bookmarkEnd w:id="43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2900A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130F8B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对象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FB262D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基线数量/状态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671073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答辩用途</w:t>
            </w:r>
          </w:p>
        </w:tc>
      </w:tr>
      <w:tr w14:paraId="1309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CB8003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玩家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529D6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2 个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333A1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Alice 与 Bob 扮演交易双方</w:t>
            </w:r>
          </w:p>
        </w:tc>
      </w:tr>
      <w:tr w14:paraId="4EDB1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7ECDB1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游戏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649E8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2 个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8206B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CS2 免费物品经济；DST 买断制内容闭环</w:t>
            </w:r>
          </w:p>
        </w:tc>
      </w:tr>
      <w:tr w14:paraId="6E1F3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8F3F0A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订单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BA414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2 条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BB500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展示订单状态和退款资格</w:t>
            </w:r>
          </w:p>
        </w:tc>
      </w:tr>
      <w:tr w14:paraId="31386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7EA00A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钱包流水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721FC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3 条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C59F6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展示充值、购买或结算来源</w:t>
            </w:r>
          </w:p>
        </w:tc>
      </w:tr>
      <w:tr w14:paraId="1451E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170987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库存实例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74627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6 件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190EE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支持挂单、成交和玩家间报价</w:t>
            </w:r>
          </w:p>
        </w:tc>
      </w:tr>
      <w:tr w14:paraId="6AC73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D3F10D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市场成交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FC8AC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1 条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D1962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展示资金与资产账本</w:t>
            </w:r>
          </w:p>
        </w:tc>
      </w:tr>
      <w:tr w14:paraId="75A66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FB8E9F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社区动态/讨论/私信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B7A30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4/2/2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3A456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展示持久化社区与实时交互</w:t>
            </w:r>
          </w:p>
        </w:tc>
      </w:tr>
      <w:tr w14:paraId="37EDF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8EE86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Alice / Bob 钱包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79D92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176.00 / 242.75 可用，Bob 另有 50.00 冻结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04387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演示购买、退款和市场资金变化</w:t>
            </w:r>
          </w:p>
        </w:tc>
      </w:tr>
    </w:tbl>
    <w:p w14:paraId="3C746919">
      <w:pPr>
        <w:pStyle w:val="40"/>
        <w:spacing w:after="0"/>
      </w:pPr>
    </w:p>
    <w:p w14:paraId="1E3AE3CD">
      <w:pPr>
        <w:pStyle w:val="2"/>
      </w:pPr>
      <w:bookmarkStart w:id="44" w:name="_Toc3316"/>
      <w:r>
        <w:t>数据库设计与实现</w:t>
      </w:r>
      <w:bookmarkEnd w:id="44"/>
    </w:p>
    <w:p w14:paraId="6AC4CE1C">
      <w:pPr>
        <w:pStyle w:val="3"/>
      </w:pPr>
      <w:bookmarkStart w:id="45" w:name="_Toc22875"/>
      <w:r>
        <w:t>概念结构设计</w:t>
      </w:r>
      <w:bookmarkEnd w:id="45"/>
    </w:p>
    <w:p w14:paraId="5DA3ED91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概念模型围绕四类核心真相组织：主体真相（玩家/开发商/管理员）、权益真相（游戏库与 CDKey）、资金真相（钱包与流水）和资产真相（库存与转移账本）。订单、退款、评价、社交和运营对象通过外键依附于这些核心实体。</w:t>
      </w:r>
    </w:p>
    <w:p w14:paraId="41EA327C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本节全部数据库图均由当前 database/schema.sql 的 45 张表及其主外键重新生成，不再沿用立项阶段的早期 E-R 图。领域总览用于解释业务边界，随后六张分域关系模型图逐表列出主键和外键目标；因此图、数据字典、SQL 和最终运行库采用同一事实来源。</w:t>
      </w:r>
    </w:p>
    <w:p w14:paraId="26B3211E">
      <w:pPr>
        <w:spacing w:after="0"/>
        <w:ind w:firstLine="0"/>
        <w:jc w:val="center"/>
      </w:pPr>
      <w:r>
        <w:drawing>
          <wp:inline distT="0" distB="0" distL="114300" distR="114300">
            <wp:extent cx="5579745" cy="4404995"/>
            <wp:effectExtent l="0" t="0" r="825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0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7ACC">
      <w:pPr>
        <w:pStyle w:val="13"/>
        <w:ind w:firstLine="0"/>
        <w:jc w:val="center"/>
      </w:pPr>
      <w:bookmarkStart w:id="46" w:name="fig_15"/>
      <w:r>
        <w:rPr>
          <w:rFonts w:ascii="Times New Roman" w:hAnsi="Times New Roman" w:eastAsia="黑体"/>
          <w:sz w:val="20"/>
        </w:rPr>
        <w:t>图 4-1  基于最终 45 张表的数据库领域总览</w:t>
      </w:r>
      <w:bookmarkEnd w:id="46"/>
    </w:p>
    <w:p w14:paraId="37EBD7F1">
      <w:pPr>
        <w:spacing w:after="0"/>
        <w:ind w:firstLine="0"/>
        <w:jc w:val="center"/>
      </w:pPr>
      <w:r>
        <w:drawing>
          <wp:inline distT="0" distB="0" distL="114300" distR="114300">
            <wp:extent cx="5399405" cy="2982595"/>
            <wp:effectExtent l="0" t="0" r="1079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D9EF">
      <w:pPr>
        <w:pStyle w:val="13"/>
        <w:ind w:firstLine="0"/>
        <w:jc w:val="center"/>
      </w:pPr>
      <w:bookmarkStart w:id="47" w:name="fig_16"/>
      <w:r>
        <w:rPr>
          <w:rFonts w:ascii="Times New Roman" w:hAnsi="Times New Roman" w:eastAsia="黑体"/>
          <w:sz w:val="20"/>
        </w:rPr>
        <w:t>图 4-2  最终主体、发行与运营关系模型</w:t>
      </w:r>
      <w:bookmarkEnd w:id="47"/>
    </w:p>
    <w:p w14:paraId="6ADE6602">
      <w:pPr>
        <w:spacing w:after="0"/>
        <w:ind w:firstLine="0"/>
        <w:jc w:val="center"/>
      </w:pPr>
      <w:r>
        <w:drawing>
          <wp:inline distT="0" distB="0" distL="114300" distR="114300">
            <wp:extent cx="5399405" cy="5065395"/>
            <wp:effectExtent l="0" t="0" r="10795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B32B">
      <w:pPr>
        <w:pStyle w:val="13"/>
        <w:ind w:firstLine="0"/>
        <w:jc w:val="center"/>
      </w:pPr>
      <w:bookmarkStart w:id="48" w:name="fig_17"/>
      <w:r>
        <w:rPr>
          <w:rFonts w:ascii="Times New Roman" w:hAnsi="Times New Roman" w:eastAsia="黑体"/>
          <w:sz w:val="20"/>
        </w:rPr>
        <w:t>图 4-3  最终订单、退款、权益与 CDKey 关系模型</w:t>
      </w:r>
      <w:bookmarkEnd w:id="48"/>
    </w:p>
    <w:p w14:paraId="287EF267">
      <w:pPr>
        <w:spacing w:after="0"/>
        <w:ind w:firstLine="0"/>
        <w:jc w:val="center"/>
      </w:pPr>
      <w:r>
        <w:drawing>
          <wp:inline distT="0" distB="0" distL="114300" distR="114300">
            <wp:extent cx="5399405" cy="4371340"/>
            <wp:effectExtent l="0" t="0" r="10795" b="10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DB58">
      <w:pPr>
        <w:pStyle w:val="13"/>
        <w:ind w:firstLine="0"/>
        <w:jc w:val="center"/>
      </w:pPr>
      <w:bookmarkStart w:id="49" w:name="fig_18"/>
      <w:r>
        <w:rPr>
          <w:rFonts w:ascii="Times New Roman" w:hAnsi="Times New Roman" w:eastAsia="黑体"/>
          <w:sz w:val="20"/>
        </w:rPr>
        <w:t>图 4-4  最终评价、成就、库存与市场关系模型</w:t>
      </w:r>
      <w:bookmarkEnd w:id="49"/>
    </w:p>
    <w:p w14:paraId="57BE5D4D">
      <w:pPr>
        <w:spacing w:after="0"/>
        <w:ind w:firstLine="0"/>
        <w:jc w:val="center"/>
      </w:pPr>
      <w:r>
        <w:drawing>
          <wp:inline distT="0" distB="0" distL="114300" distR="114300">
            <wp:extent cx="5399405" cy="2982595"/>
            <wp:effectExtent l="0" t="0" r="1079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AD50">
      <w:pPr>
        <w:pStyle w:val="13"/>
        <w:ind w:firstLine="0"/>
        <w:jc w:val="center"/>
      </w:pPr>
      <w:bookmarkStart w:id="50" w:name="fig_19"/>
      <w:r>
        <w:rPr>
          <w:rFonts w:ascii="Times New Roman" w:hAnsi="Times New Roman" w:eastAsia="黑体"/>
          <w:sz w:val="20"/>
        </w:rPr>
        <w:t>图 4-5  最终好友、消息、评价互动与工坊关系模型</w:t>
      </w:r>
      <w:bookmarkEnd w:id="50"/>
    </w:p>
    <w:p w14:paraId="3BF2E3C0">
      <w:pPr>
        <w:spacing w:after="0"/>
        <w:ind w:firstLine="0"/>
        <w:jc w:val="center"/>
      </w:pPr>
      <w:r>
        <w:drawing>
          <wp:inline distT="0" distB="0" distL="114300" distR="114300">
            <wp:extent cx="5399405" cy="4371340"/>
            <wp:effectExtent l="0" t="0" r="10795" b="10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5D37">
      <w:pPr>
        <w:pStyle w:val="13"/>
        <w:ind w:firstLine="0"/>
        <w:jc w:val="center"/>
      </w:pPr>
      <w:bookmarkStart w:id="51" w:name="fig_20"/>
      <w:r>
        <w:rPr>
          <w:rFonts w:ascii="Times New Roman" w:hAnsi="Times New Roman" w:eastAsia="黑体"/>
          <w:sz w:val="20"/>
        </w:rPr>
        <w:t>图 4-6  最终资料、徽章、报价与社区关系模型</w:t>
      </w:r>
      <w:bookmarkEnd w:id="51"/>
    </w:p>
    <w:p w14:paraId="21F58134">
      <w:pPr>
        <w:spacing w:after="0"/>
        <w:ind w:firstLine="0"/>
        <w:jc w:val="center"/>
      </w:pPr>
      <w:r>
        <w:drawing>
          <wp:inline distT="0" distB="0" distL="114300" distR="114300">
            <wp:extent cx="5399405" cy="2288540"/>
            <wp:effectExtent l="0" t="0" r="10795" b="1016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5B6B">
      <w:pPr>
        <w:pStyle w:val="13"/>
        <w:ind w:firstLine="0"/>
        <w:jc w:val="center"/>
      </w:pPr>
      <w:bookmarkStart w:id="52" w:name="fig_21"/>
      <w:r>
        <w:rPr>
          <w:rFonts w:ascii="Times New Roman" w:hAnsi="Times New Roman" w:eastAsia="黑体"/>
          <w:sz w:val="20"/>
        </w:rPr>
        <w:t>图 4-7  最终演示恢复审计关系模型</w:t>
      </w:r>
      <w:bookmarkEnd w:id="52"/>
    </w:p>
    <w:p w14:paraId="3EF459D7">
      <w:r>
        <w:br w:type="page"/>
      </w:r>
    </w:p>
    <w:p w14:paraId="7AB4D52D">
      <w:pPr>
        <w:pStyle w:val="3"/>
      </w:pPr>
      <w:bookmarkStart w:id="53" w:name="_Toc17804"/>
      <w:r>
        <w:t>逻辑结构与数据字典</w:t>
      </w:r>
      <w:bookmarkEnd w:id="53"/>
    </w:p>
    <w:p w14:paraId="708C5583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最终模式共 45 张表，分为 27 张核心业务表、15 张社交/社区扩展表和 3 张演示恢复审计表。所有表具有主键；关键外键、唯一约束、检查约束和索引在 schema.sql 中统一定义。</w:t>
      </w:r>
    </w:p>
    <w:p w14:paraId="565BCCC6">
      <w:pPr>
        <w:pStyle w:val="13"/>
        <w:keepNext/>
        <w:ind w:firstLine="0"/>
        <w:jc w:val="center"/>
      </w:pPr>
      <w:bookmarkStart w:id="54" w:name="tbl_13"/>
      <w:r>
        <w:rPr>
          <w:rFonts w:ascii="Times New Roman" w:hAnsi="Times New Roman" w:eastAsia="黑体"/>
          <w:sz w:val="20"/>
        </w:rPr>
        <w:t>表格 4-1  45 张表数据字典摘要</w:t>
      </w:r>
      <w:bookmarkEnd w:id="54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45D80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0ADF26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主题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10AA5E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表名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2D1AF0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用途</w:t>
            </w:r>
          </w:p>
        </w:tc>
      </w:tr>
      <w:tr w14:paraId="2BB9E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201C75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主体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81BFD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PLAYER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93415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玩家账号、昵称、密码哈希与状态</w:t>
            </w:r>
          </w:p>
        </w:tc>
      </w:tr>
      <w:tr w14:paraId="5ADAA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7FCA1F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主体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C8CC1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DEVELOPER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A848F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开发商账号、名称与状态</w:t>
            </w:r>
          </w:p>
        </w:tc>
      </w:tr>
      <w:tr w14:paraId="03E9B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E753F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主体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ACFDD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ADMIN_USER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E010C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管理员账号、密码哈希与管理角色</w:t>
            </w:r>
          </w:p>
        </w:tc>
      </w:tr>
      <w:tr w14:paraId="78525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BCE2CA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资金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E0BA8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WALLET_ACCOUNT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AF620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玩家可用余额与冻结余额唯一真相</w:t>
            </w:r>
          </w:p>
        </w:tc>
      </w:tr>
      <w:tr w14:paraId="0F97A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1CB7F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运营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F1A7F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SYS_NOTICE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2B8DD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平台公告、发布时间和排序</w:t>
            </w:r>
          </w:p>
        </w:tc>
      </w:tr>
      <w:tr w14:paraId="4EA1C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DF1422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发行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F9476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45456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游戏归属、定价及 ONLINE/OFFLINE 状态</w:t>
            </w:r>
          </w:p>
        </w:tc>
      </w:tr>
      <w:tr w14:paraId="1C004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47F456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订单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7DCD8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GAME_ORDER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75AD7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游戏订单头、金额与状态</w:t>
            </w:r>
          </w:p>
        </w:tc>
      </w:tr>
      <w:tr w14:paraId="68BBA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A5155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订单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53F43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ORDER_DETAIL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0B05B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订单游戏明细和成交价</w:t>
            </w:r>
          </w:p>
        </w:tc>
      </w:tr>
      <w:tr w14:paraId="728B8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89B1F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订单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13A4E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ORDER_STATUS_LOG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46A67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订单状态变更历史</w:t>
            </w:r>
          </w:p>
        </w:tc>
      </w:tr>
      <w:tr w14:paraId="53998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7D6FDF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支付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E7BA7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PAYMENT_TRANSACTION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C551D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支付请求、幂等与结果</w:t>
            </w:r>
          </w:p>
        </w:tc>
      </w:tr>
      <w:tr w14:paraId="4E793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6EBA5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退款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B7ADE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REFUND_TICKET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AF468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退款工单及审核状态</w:t>
            </w:r>
          </w:p>
        </w:tc>
      </w:tr>
      <w:tr w14:paraId="4509D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9A3E10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退款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30B45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REFUND_DETAIL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6211A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退款金额与原订单明细关联</w:t>
            </w:r>
          </w:p>
        </w:tc>
      </w:tr>
      <w:tr w14:paraId="31416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103324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退款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DEC4C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REFUND_AUDIT_LOG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768F1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退款审核操作日志</w:t>
            </w:r>
          </w:p>
        </w:tc>
      </w:tr>
      <w:tr w14:paraId="2704F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E77A71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权益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ABC22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PLAYER_LIBRARY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46128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玩家拥有游戏的唯一事实</w:t>
            </w:r>
          </w:p>
        </w:tc>
      </w:tr>
      <w:tr w14:paraId="38BFE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1CA336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CDKey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76BCF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CDKEY_BATCH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72967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开发商为自有游戏创建的密钥批次</w:t>
            </w:r>
          </w:p>
        </w:tc>
      </w:tr>
      <w:tr w14:paraId="0B8E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DC503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CDKey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50E0D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CDKEY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7C520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全局唯一密钥及使用状态</w:t>
            </w:r>
          </w:p>
        </w:tc>
      </w:tr>
      <w:tr w14:paraId="3326F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B785D0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CDKey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ED94D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CDKEY_REDEEM_LOG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30C03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密钥兑换主体和时间</w:t>
            </w:r>
          </w:p>
        </w:tc>
      </w:tr>
      <w:tr w14:paraId="75843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8061E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评价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43E7A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GAME_REVIEW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FD269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玩家当前评价、推荐与可见状态</w:t>
            </w:r>
          </w:p>
        </w:tc>
      </w:tr>
      <w:tr w14:paraId="783D7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5C2B2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评价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9CB9F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REVIEW_VERSION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D5ACA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评价历史版本</w:t>
            </w:r>
          </w:p>
        </w:tc>
      </w:tr>
      <w:tr w14:paraId="4F7DA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62046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成就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0A206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ACHIEVEMENT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23962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游戏成就定义</w:t>
            </w:r>
          </w:p>
        </w:tc>
      </w:tr>
      <w:tr w14:paraId="79509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69C7F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成就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49F42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PLAYER_ACHIEVEMENT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264BA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玩家解锁与进度事实</w:t>
            </w:r>
          </w:p>
        </w:tc>
      </w:tr>
      <w:tr w14:paraId="1294F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29634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库存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3B5FE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ITEM_TEMPLATE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138C8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游戏物品模板、品质与可交易性</w:t>
            </w:r>
          </w:p>
        </w:tc>
      </w:tr>
      <w:tr w14:paraId="33D06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3429D0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库存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B4D6E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INVENTORY_ITEM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2F129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实例化物品及当前所有者</w:t>
            </w:r>
          </w:p>
        </w:tc>
      </w:tr>
      <w:tr w14:paraId="4C8D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56F6D9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市场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E1979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MARKET_ORDER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E0E46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物品买单/卖单、目标价格、冻结额和状态</w:t>
            </w:r>
          </w:p>
        </w:tc>
      </w:tr>
      <w:tr w14:paraId="39FA5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5D603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市场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75E36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MARKET_TRADE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81C19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不可变成交事实</w:t>
            </w:r>
          </w:p>
        </w:tc>
      </w:tr>
      <w:tr w14:paraId="7AB9B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7B58C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账本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9A65A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ITEM_TRANSFER_LEDGER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69C40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物品所有权变化历史</w:t>
            </w:r>
          </w:p>
        </w:tc>
      </w:tr>
      <w:tr w14:paraId="51E5F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6F8CB2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账本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379F8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WALLET_TRANSACTION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A2F13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所有资金变动历史</w:t>
            </w:r>
          </w:p>
        </w:tc>
      </w:tr>
      <w:tr w14:paraId="31FED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CD7AA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6B889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FRIEND_RELATION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CC4D5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好友申请和关系状态</w:t>
            </w:r>
          </w:p>
        </w:tc>
      </w:tr>
      <w:tr w14:paraId="0CB9F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2FE40F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1F1EA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DIRECT_MESSAGE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5B69D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持久化私信</w:t>
            </w:r>
          </w:p>
        </w:tc>
      </w:tr>
      <w:tr w14:paraId="046D2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412A47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评价扩展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B6BE3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REVIEW_REACTION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10DDF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评价投票及唯一关系</w:t>
            </w:r>
          </w:p>
        </w:tc>
      </w:tr>
      <w:tr w14:paraId="775DD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50AEF3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工坊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10504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WORKSHOP_ITEM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95320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可浏览的工坊演示条目及发布者信息</w:t>
            </w:r>
          </w:p>
        </w:tc>
      </w:tr>
      <w:tr w14:paraId="2F4C3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5A4780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工坊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D43C9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WORKSHOP_SUBSCRIPTION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B52BE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玩家订阅关系</w:t>
            </w:r>
          </w:p>
        </w:tc>
      </w:tr>
      <w:tr w14:paraId="1947D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065602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通知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0D27A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USER_NOTIFICATION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5F014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站内通知与已读状态</w:t>
            </w:r>
          </w:p>
        </w:tc>
      </w:tr>
      <w:tr w14:paraId="7CB5F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C0EEF1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资料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53F4E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PLAYER_PROFILE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9D307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玩家展示资料与主题</w:t>
            </w:r>
          </w:p>
        </w:tc>
      </w:tr>
      <w:tr w14:paraId="03DF8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166326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徽章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46F94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BADGE_CATALOG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C1913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徽章定义</w:t>
            </w:r>
          </w:p>
        </w:tc>
      </w:tr>
      <w:tr w14:paraId="19745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6113A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徽章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2490A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PLAYER_BADGE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39D1E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玩家获得和装备徽章</w:t>
            </w:r>
          </w:p>
        </w:tc>
      </w:tr>
      <w:tr w14:paraId="245EC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F77DE2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报价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D8CFB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TRADE_OFFER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11B8F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玩家间交易报价头与状态</w:t>
            </w:r>
          </w:p>
        </w:tc>
      </w:tr>
      <w:tr w14:paraId="7E47A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73F1A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报价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31C29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TRADE_OFFER_ITEM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BB662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报价中的物品与方向</w:t>
            </w:r>
          </w:p>
        </w:tc>
      </w:tr>
      <w:tr w14:paraId="0DF46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032E4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社区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C0187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COMMUNITY_POST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07943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玩家动态</w:t>
            </w:r>
          </w:p>
        </w:tc>
      </w:tr>
      <w:tr w14:paraId="0A8F1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3FEF30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社区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0FBF6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COMMUNITY_POST_REACTION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79172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动态点赞关系</w:t>
            </w:r>
          </w:p>
        </w:tc>
      </w:tr>
      <w:tr w14:paraId="3E8B8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BEB4EA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讨论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41EFC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DISCUSSION_TOPIC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F1D2F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按游戏组织的讨论主题</w:t>
            </w:r>
          </w:p>
        </w:tc>
      </w:tr>
      <w:tr w14:paraId="46E7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269837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讨论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E7056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DISCUSSION_REPLY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26597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主题回复</w:t>
            </w:r>
          </w:p>
        </w:tc>
      </w:tr>
      <w:tr w14:paraId="74122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8A5FA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演示恢复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102B4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DEMO_RESET_RUN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20A81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恢复任务运行与最终状态</w:t>
            </w:r>
          </w:p>
        </w:tc>
      </w:tr>
      <w:tr w14:paraId="012B4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FFAA64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演示恢复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6B528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DEMO_RESET_TABLE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91F7B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逐表恢复结果</w:t>
            </w:r>
          </w:p>
        </w:tc>
      </w:tr>
      <w:tr w14:paraId="671C0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008005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演示恢复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1EE33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DEMO_RESET_EVENT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E1B41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恢复阶段事件与错误</w:t>
            </w:r>
          </w:p>
        </w:tc>
      </w:tr>
    </w:tbl>
    <w:p w14:paraId="09E5A9C0">
      <w:pPr>
        <w:pStyle w:val="40"/>
        <w:spacing w:after="0"/>
      </w:pPr>
    </w:p>
    <w:p w14:paraId="561CD5AC">
      <w:pPr>
        <w:pStyle w:val="3"/>
      </w:pPr>
      <w:bookmarkStart w:id="55" w:name="_Toc10747"/>
      <w:r>
        <w:t>规范化与完整性</w:t>
      </w:r>
      <w:bookmarkEnd w:id="55"/>
    </w:p>
    <w:p w14:paraId="60813DE5">
      <w:pPr>
        <w:pStyle w:val="14"/>
        <w:spacing w:after="0"/>
      </w:pPr>
      <w:r>
        <w:rPr>
          <w:rFonts w:ascii="Times New Roman" w:hAnsi="Times New Roman" w:eastAsia="宋体"/>
          <w:sz w:val="21"/>
        </w:rPr>
        <w:t>第一范式：字段保持原子性；订单明细、报价物品、讨论回复等多值内容拆成独立关系。</w:t>
      </w:r>
    </w:p>
    <w:p w14:paraId="4A028FA6">
      <w:pPr>
        <w:pStyle w:val="14"/>
        <w:spacing w:after="0"/>
      </w:pPr>
      <w:r>
        <w:rPr>
          <w:rFonts w:ascii="Times New Roman" w:hAnsi="Times New Roman" w:eastAsia="宋体"/>
          <w:sz w:val="21"/>
        </w:rPr>
        <w:t>第二范式：关联表的非主属性依赖完整业务键，例如玩家徽章和工坊订阅不保存无关主体属性。</w:t>
      </w:r>
    </w:p>
    <w:p w14:paraId="32C07D5C">
      <w:pPr>
        <w:pStyle w:val="14"/>
        <w:spacing w:after="0"/>
      </w:pPr>
      <w:r>
        <w:rPr>
          <w:rFonts w:ascii="Times New Roman" w:hAnsi="Times New Roman" w:eastAsia="宋体"/>
          <w:sz w:val="21"/>
        </w:rPr>
        <w:t>第三范式：开发商信息不重复写入游戏订单，游戏信息不重复写入库存实例；通过外键访问，消除传递依赖。</w:t>
      </w:r>
    </w:p>
    <w:p w14:paraId="00679201">
      <w:pPr>
        <w:pStyle w:val="14"/>
        <w:spacing w:after="0"/>
      </w:pPr>
      <w:r>
        <w:rPr>
          <w:rFonts w:ascii="Times New Roman" w:hAnsi="Times New Roman" w:eastAsia="宋体"/>
          <w:sz w:val="21"/>
        </w:rPr>
        <w:t>唯一约束：邮箱、玩家游戏库、CDKey、玩家评价、评价投票、好友组合、订阅关系等均由数据库兜底。</w:t>
      </w:r>
    </w:p>
    <w:p w14:paraId="0C928969">
      <w:pPr>
        <w:pStyle w:val="14"/>
        <w:spacing w:after="0"/>
      </w:pPr>
      <w:r>
        <w:rPr>
          <w:rFonts w:ascii="Times New Roman" w:hAnsi="Times New Roman" w:eastAsia="宋体"/>
          <w:sz w:val="21"/>
        </w:rPr>
        <w:t>检查约束：金额非负、状态枚举合法、参与方不能相同等规则尽量下沉到 Oracle。</w:t>
      </w:r>
    </w:p>
    <w:p w14:paraId="79438190">
      <w:pPr>
        <w:pStyle w:val="14"/>
        <w:spacing w:after="0"/>
      </w:pPr>
      <w:r>
        <w:rPr>
          <w:rFonts w:ascii="Times New Roman" w:hAnsi="Times New Roman" w:eastAsia="宋体"/>
          <w:sz w:val="21"/>
        </w:rPr>
        <w:t>删除策略：资金、资产、退款审核和状态日志不级联删除；课程演示数据恢复使用受控工具而非普通业务删除。</w:t>
      </w:r>
    </w:p>
    <w:p w14:paraId="03B12ECD">
      <w:pPr>
        <w:pStyle w:val="3"/>
      </w:pPr>
      <w:bookmarkStart w:id="56" w:name="_Toc27168"/>
      <w:r>
        <w:t>索引与查询设计</w:t>
      </w:r>
      <w:bookmarkEnd w:id="56"/>
    </w:p>
    <w:p w14:paraId="6946ECB7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模式包含 49 个命名业务索引，重点覆盖外键、玩家历史、游戏状态、退款任务、市场 MATCHING 订单、消息会话、通知未读、社区时间流和演示运行查询。索引选择遵循“服务真实查询、避免重复、控制写放大”的原则；主键和唯一约束自带索引不重复声明。</w:t>
      </w:r>
    </w:p>
    <w:p w14:paraId="02F591DA">
      <w:pPr>
        <w:pStyle w:val="13"/>
        <w:keepNext/>
        <w:ind w:firstLine="0"/>
        <w:jc w:val="center"/>
      </w:pPr>
      <w:bookmarkStart w:id="57" w:name="tbl_14"/>
      <w:r>
        <w:rPr>
          <w:rFonts w:ascii="Times New Roman" w:hAnsi="Times New Roman" w:eastAsia="黑体"/>
          <w:sz w:val="20"/>
        </w:rPr>
        <w:t>表格 4-2  代表性查询与索引策略</w:t>
      </w:r>
      <w:bookmarkEnd w:id="57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45153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08E25B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查询场景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8D0124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主要过滤/排序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5E9354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索引策略</w:t>
            </w:r>
          </w:p>
        </w:tc>
      </w:tr>
      <w:tr w14:paraId="786A7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376AA4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开发商游戏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3885F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dev_id、status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683B6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IDX_GAME_DEV_STATUS</w:t>
            </w:r>
          </w:p>
        </w:tc>
      </w:tr>
      <w:tr w14:paraId="09D76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182E8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玩家订单历史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EFE9F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user_id、create_time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598F4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IDX_ORDER_USER_TIME</w:t>
            </w:r>
          </w:p>
        </w:tc>
      </w:tr>
      <w:tr w14:paraId="650EF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2AE33A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钱包流水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999FD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wallet_id、create_time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E80CC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IDX_WALLET_TXN_WALLET_TIME</w:t>
            </w:r>
          </w:p>
        </w:tc>
      </w:tr>
      <w:tr w14:paraId="6C33D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9FF8DF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市场有效订单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4F3AD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template_id、status、order_type、target_price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E7AF1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IDX_MARKET_TEMPLATE_STATUS</w:t>
            </w:r>
          </w:p>
        </w:tc>
      </w:tr>
      <w:tr w14:paraId="560B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8ED772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好友会话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52803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relation_id、sent_at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9DF5E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IDX_MESSAGE_RELATION_TIME</w:t>
            </w:r>
          </w:p>
        </w:tc>
      </w:tr>
      <w:tr w14:paraId="6C1B2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DE8260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未读通知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4D976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user_id、is_read、created_at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1D848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IDX_USER_NOTIFICATION_UNREAD</w:t>
            </w:r>
          </w:p>
        </w:tc>
      </w:tr>
      <w:tr w14:paraId="1810F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C5DEF7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订单退款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427E1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order_id、status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6C684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IDX_REFUND_ORDER_STATUS</w:t>
            </w:r>
          </w:p>
        </w:tc>
      </w:tr>
    </w:tbl>
    <w:p w14:paraId="36AA9ABC">
      <w:pPr>
        <w:pStyle w:val="40"/>
        <w:spacing w:after="0"/>
      </w:pPr>
    </w:p>
    <w:p w14:paraId="782C1351">
      <w:pPr>
        <w:pStyle w:val="3"/>
      </w:pPr>
      <w:bookmarkStart w:id="58" w:name="_Toc26635"/>
      <w:r>
        <w:t>事务、锁与并发控制</w:t>
      </w:r>
      <w:bookmarkEnd w:id="58"/>
    </w:p>
    <w:p w14:paraId="21F25AC7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应用层将资金、权益和资产操作划分为明确事务边界。Oracle 行锁保护钱包、市场挂单、库存物品和关键权益；服务同时检查状态和受影响行数，避免仅依赖前端禁用按钮。冲突场景返回可重试的业务错误，不把 ORA 异常细节直接暴露给用户。</w:t>
      </w:r>
    </w:p>
    <w:p w14:paraId="0AD63D05">
      <w:pPr>
        <w:pStyle w:val="13"/>
        <w:keepNext/>
        <w:ind w:firstLine="0"/>
        <w:jc w:val="center"/>
      </w:pPr>
      <w:bookmarkStart w:id="59" w:name="tbl_15"/>
      <w:r>
        <w:rPr>
          <w:rFonts w:ascii="Times New Roman" w:hAnsi="Times New Roman" w:eastAsia="黑体"/>
          <w:sz w:val="20"/>
        </w:rPr>
        <w:t>表格 4-3  关键事务边界</w:t>
      </w:r>
      <w:bookmarkEnd w:id="59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7362C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7205C1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事务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312B04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锁定对象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9234CD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原子写入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74E493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核心不变量</w:t>
            </w:r>
          </w:p>
        </w:tc>
      </w:tr>
      <w:tr w14:paraId="6FAD5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0DA505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充值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AC6EC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钱包账户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3E856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余额 + 充值钱包流水（含外部支付方式）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05A04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金额为正且同一幂等键只入账一次</w:t>
            </w:r>
          </w:p>
        </w:tc>
      </w:tr>
      <w:tr w14:paraId="63F64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D2475A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购买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BEE13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订单/权益；钱包方式另锁钱包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901F1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订单、明细、支付、状态、游戏库；钱包方式另写余额与流水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9CFA9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库权益唯一；钱包余额不负</w:t>
            </w:r>
          </w:p>
        </w:tc>
      </w:tr>
      <w:tr w14:paraId="2D34F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DCB69F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退款批准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706FB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订单/工单/库；钱包方式另锁钱包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7E3C3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退款、审核、REVOKED 权益与状态；钱包方式另回款并写流水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F811C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不可重复退款；不混淆外部支付与钱包</w:t>
            </w:r>
          </w:p>
        </w:tc>
      </w:tr>
      <w:tr w14:paraId="4B96D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F01C1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掉落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42C98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库权益/规则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278FE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库存实例 + 资产账本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1BF6B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退款与掉落不产生幽灵资产</w:t>
            </w:r>
          </w:p>
        </w:tc>
      </w:tr>
      <w:tr w14:paraId="4A238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CC2BB2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挂单/撤单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29DFE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库存实例/挂单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A1746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物品状态 + 市场订单 + 资产日志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0A11C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资产不能同时可用和挂售</w:t>
            </w:r>
          </w:p>
        </w:tc>
      </w:tr>
      <w:tr w14:paraId="49EE7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B123D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市场成交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D0744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挂单/买方钱包/物品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51276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成交、双方余额流水、所有权、资产账本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770C8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单成交、双守恒</w:t>
            </w:r>
          </w:p>
        </w:tc>
      </w:tr>
      <w:tr w14:paraId="24AC9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5CD361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接受报价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FD91B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报价及所含物品</w:t>
            </w:r>
          </w:p>
        </w:tc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389EB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报价状态 + 多物品所有权 + 账本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D55DA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接受时再次验证所有权</w:t>
            </w:r>
          </w:p>
        </w:tc>
      </w:tr>
    </w:tbl>
    <w:p w14:paraId="032B48B6">
      <w:pPr>
        <w:pStyle w:val="40"/>
        <w:spacing w:after="0"/>
      </w:pPr>
    </w:p>
    <w:p w14:paraId="1F0FB484">
      <w:pPr>
        <w:pStyle w:val="3"/>
      </w:pPr>
      <w:bookmarkStart w:id="60" w:name="_Toc24362"/>
      <w:r>
        <w:t>数据库创建、迁移与验证</w:t>
      </w:r>
      <w:bookmarkEnd w:id="60"/>
    </w:p>
    <w:p w14:paraId="576069F3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database/schema.sql 创建模式，database/data.sql 写入确定性演示数据，verify_phase1.sql 与 verify_defense.sql 检查对象、约束、账本和业务不变量。合并包含数据库迁移的 PR 后，需先审查破坏性、幂等性、事务与回滚方案，再应用到腾讯云 Oracle，并同时验证公开 API。</w:t>
      </w:r>
    </w:p>
    <w:p w14:paraId="3B2C42F5">
      <w:pPr>
        <w:keepNext/>
        <w:ind w:firstLine="0"/>
      </w:pPr>
      <w:r>
        <w:rPr>
          <w:rFonts w:ascii="Times New Roman" w:hAnsi="Times New Roman" w:eastAsia="黑体"/>
          <w:b/>
          <w:sz w:val="18"/>
        </w:rPr>
        <w:t>Oracle 行锁概念摘录：钱包与有效市场订单均在事务内锁行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3FA38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5" w:type="dxa"/>
            <w:shd w:val="clear" w:color="auto" w:fill="F2F4F5"/>
          </w:tcPr>
          <w:p w14:paraId="4AB454E4">
            <w:pPr>
              <w:spacing w:line="240" w:lineRule="auto"/>
              <w:ind w:firstLine="0"/>
            </w:pPr>
            <w:r>
              <w:rPr>
                <w:rFonts w:ascii="Consolas" w:hAnsi="Consolas" w:eastAsia="宋体"/>
                <w:sz w:val="16"/>
              </w:rPr>
              <w:t>SELECT available_balance, frozen_balance FROM wallet_account</w:t>
            </w:r>
            <w:r>
              <w:br w:type="textWrapping"/>
            </w:r>
            <w:r>
              <w:rPr>
                <w:rFonts w:ascii="Consolas" w:hAnsi="Consolas" w:eastAsia="宋体"/>
                <w:sz w:val="16"/>
              </w:rPr>
              <w:t>WHERE user_id = :user_id FOR UPDATE;</w:t>
            </w:r>
            <w:r>
              <w:br w:type="textWrapping"/>
            </w:r>
            <w:r>
              <w:rPr>
                <w:rFonts w:ascii="Consolas" w:hAnsi="Consolas" w:eastAsia="宋体"/>
                <w:sz w:val="16"/>
              </w:rPr>
              <w:t>SELECT market_order_id FROM market_order</w:t>
            </w:r>
            <w:r>
              <w:br w:type="textWrapping"/>
            </w:r>
            <w:r>
              <w:rPr>
                <w:rFonts w:ascii="Consolas" w:hAnsi="Consolas" w:eastAsia="宋体"/>
                <w:sz w:val="16"/>
              </w:rPr>
              <w:t>WHERE market_order_id = :order_id AND status = 'MATCHING' FOR UPDATE;</w:t>
            </w:r>
          </w:p>
        </w:tc>
      </w:tr>
    </w:tbl>
    <w:p w14:paraId="56C74606">
      <w:pPr>
        <w:pStyle w:val="2"/>
      </w:pPr>
      <w:bookmarkStart w:id="61" w:name="_Toc25432"/>
      <w:r>
        <w:t>前端设计与实现</w:t>
      </w:r>
      <w:bookmarkEnd w:id="61"/>
    </w:p>
    <w:p w14:paraId="51247AEA">
      <w:pPr>
        <w:pStyle w:val="3"/>
      </w:pPr>
      <w:bookmarkStart w:id="62" w:name="_Toc9626"/>
      <w:r>
        <w:t>信息架构与视觉规范</w:t>
      </w:r>
      <w:bookmarkEnd w:id="62"/>
    </w:p>
    <w:p w14:paraId="4D018826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前端以真实 Steam 桌面客户端的信息密度和交互层级为参考，但使用项目自有 Game Deck 标识。全局采用深色背景、蓝色操作强调、绿色成功/购买状态和清晰的二级导航。商店强调媒体与价格，库强调左侧游戏轨道和当前游戏活动，市场强调筛选、价格和状态，管理端保持更克制的工作台密度。</w:t>
      </w:r>
    </w:p>
    <w:p w14:paraId="61D73226">
      <w:pPr>
        <w:pStyle w:val="14"/>
        <w:spacing w:after="0"/>
      </w:pPr>
      <w:r>
        <w:rPr>
          <w:rFonts w:ascii="Times New Roman" w:hAnsi="Times New Roman" w:eastAsia="宋体"/>
          <w:sz w:val="21"/>
        </w:rPr>
        <w:t>导航：顶部主导航、角色工作区菜单、功能二级导航和移动端折叠菜单保持一致。</w:t>
      </w:r>
    </w:p>
    <w:p w14:paraId="1E4055BB">
      <w:pPr>
        <w:pStyle w:val="14"/>
        <w:spacing w:after="0"/>
      </w:pPr>
      <w:r>
        <w:rPr>
          <w:rFonts w:ascii="Times New Roman" w:hAnsi="Times New Roman" w:eastAsia="宋体"/>
          <w:sz w:val="21"/>
        </w:rPr>
        <w:t>反馈：主要交互控件对应真实路由、弹窗或 API；暂不可执行的操作使用明确禁用状态；加载、空数据、错误、成功和确认状态可见。</w:t>
      </w:r>
    </w:p>
    <w:p w14:paraId="78E2F702">
      <w:pPr>
        <w:pStyle w:val="14"/>
        <w:spacing w:after="0"/>
      </w:pPr>
      <w:r>
        <w:rPr>
          <w:rFonts w:ascii="Times New Roman" w:hAnsi="Times New Roman" w:eastAsia="宋体"/>
          <w:sz w:val="21"/>
        </w:rPr>
        <w:t>媒体：详情支持截图画廊、预告片入口和全屏查看；启动公告覆盖商店而不是替代商店首页。</w:t>
      </w:r>
    </w:p>
    <w:p w14:paraId="0750F82E">
      <w:pPr>
        <w:pStyle w:val="14"/>
        <w:spacing w:after="0"/>
      </w:pPr>
      <w:r>
        <w:rPr>
          <w:rFonts w:ascii="Times New Roman" w:hAnsi="Times New Roman" w:eastAsia="宋体"/>
          <w:sz w:val="21"/>
        </w:rPr>
        <w:t>响应式：固定格式组件使用稳定尺寸与网格约束，桌面和移动端文字、按钮与媒体不重叠。</w:t>
      </w:r>
    </w:p>
    <w:p w14:paraId="70C07B41">
      <w:pPr>
        <w:pStyle w:val="14"/>
        <w:spacing w:after="0"/>
      </w:pPr>
      <w:r>
        <w:rPr>
          <w:rFonts w:ascii="Times New Roman" w:hAnsi="Times New Roman" w:eastAsia="宋体"/>
          <w:sz w:val="21"/>
        </w:rPr>
        <w:t>状态管理：认证状态由 Pinia 管理并将当前会话写入 sessionStorage；业务列表从 API 获取，localStorage 仅保存游戏库备注等非权威界面数据。</w:t>
      </w:r>
    </w:p>
    <w:p w14:paraId="17834654">
      <w:pPr>
        <w:pStyle w:val="3"/>
      </w:pPr>
      <w:bookmarkStart w:id="63" w:name="_Toc4130"/>
      <w:r>
        <w:t>页面与组件结构</w:t>
      </w:r>
      <w:bookmarkEnd w:id="63"/>
    </w:p>
    <w:p w14:paraId="389B562F">
      <w:pPr>
        <w:pStyle w:val="13"/>
        <w:keepNext/>
        <w:ind w:firstLine="0"/>
        <w:jc w:val="center"/>
      </w:pPr>
      <w:bookmarkStart w:id="64" w:name="tbl_16"/>
      <w:r>
        <w:rPr>
          <w:rFonts w:ascii="Times New Roman" w:hAnsi="Times New Roman" w:eastAsia="黑体"/>
          <w:sz w:val="20"/>
        </w:rPr>
        <w:t>表格 5-1  前端页面与组件映射</w:t>
      </w:r>
      <w:bookmarkEnd w:id="64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20E20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769795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业务域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93B2C4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主要 View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5D38CB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复用组件/接口</w:t>
            </w:r>
          </w:p>
        </w:tc>
      </w:tr>
      <w:tr w14:paraId="319B1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5C1E3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商店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FC63B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StoreView、StoreCollectionView、GameDetailView、GameCheckoutView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30E8C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GameCard、GameHeroPanel、SteamMediaGallery、games.ts</w:t>
            </w:r>
          </w:p>
        </w:tc>
      </w:tr>
      <w:tr w14:paraId="3143C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5B41DD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库与账户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B23E6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GameLibraryView、LibraryView、AccountView、ProfileView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CB858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LibraryRail、StatusBadge、coreApi.ts</w:t>
            </w:r>
          </w:p>
        </w:tc>
      </w:tr>
      <w:tr w14:paraId="1EE73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3ED9A7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钱包订单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EAF5A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WalletView、WalletHistoryView、OrderDetailView、RefundsView、RedeemView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5CC2E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PageState、coreApi.ts</w:t>
            </w:r>
          </w:p>
        </w:tc>
      </w:tr>
      <w:tr w14:paraId="184CD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725772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库存市场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DD76D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InventoryView、MarketView、TradeOffersView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3E2EBE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inventoryApi.ts、marketApi.ts、engagementApi.ts</w:t>
            </w:r>
          </w:p>
        </w:tc>
      </w:tr>
      <w:tr w14:paraId="0DF50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109865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社区社交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2B93B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CommunityHubView、GameCommunityView、ProfileView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FA446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communityApi.ts、socialApi.ts、socialRealtime.ts</w:t>
            </w:r>
          </w:p>
        </w:tc>
      </w:tr>
      <w:tr w14:paraId="185DC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74600D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开发商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9DAC6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DeveloperGamesView、CdkeyBatchView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666CF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games.ts、coreApi.ts</w:t>
            </w:r>
          </w:p>
        </w:tc>
      </w:tr>
      <w:tr w14:paraId="2F5B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232F26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管理员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AD58F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AdminGamesView、AdminRefundsView、AdminNoticesView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9189C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5"/>
              </w:rPr>
              <w:t>games.ts、coreApi.ts</w:t>
            </w:r>
          </w:p>
        </w:tc>
      </w:tr>
    </w:tbl>
    <w:p w14:paraId="15952868">
      <w:pPr>
        <w:pStyle w:val="40"/>
        <w:spacing w:after="0"/>
      </w:pPr>
    </w:p>
    <w:p w14:paraId="427BE591">
      <w:pPr>
        <w:pStyle w:val="3"/>
      </w:pPr>
      <w:bookmarkStart w:id="65" w:name="_Toc9106"/>
      <w:r>
        <w:t>响应式与可访问性</w:t>
      </w:r>
      <w:bookmarkEnd w:id="65"/>
    </w:p>
    <w:p w14:paraId="74E5BB40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移动端不是缩小桌面页面，而是调整网格、导航、媒体比例和操作顺序。表格型信息在窄屏转换为可扫描列表；按钮保持足够触控尺寸；图像提供替代文本；可交互元素可通过键盘聚焦；状态不仅依赖颜色表达。自动化测试覆盖主要桌面与移动视口。</w:t>
      </w:r>
    </w:p>
    <w:p w14:paraId="2A7A6950">
      <w:pPr>
        <w:spacing w:after="0"/>
        <w:ind w:firstLine="0"/>
        <w:jc w:val="center"/>
      </w:pPr>
      <w:r>
        <w:drawing>
          <wp:inline distT="0" distB="0" distL="114300" distR="114300">
            <wp:extent cx="1073785" cy="5399405"/>
            <wp:effectExtent l="0" t="0" r="5715" b="107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73941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8168">
      <w:pPr>
        <w:pStyle w:val="13"/>
        <w:ind w:firstLine="0"/>
        <w:jc w:val="center"/>
      </w:pPr>
      <w:bookmarkStart w:id="66" w:name="fig_22"/>
      <w:r>
        <w:rPr>
          <w:rFonts w:ascii="Times New Roman" w:hAnsi="Times New Roman" w:eastAsia="黑体"/>
          <w:sz w:val="20"/>
        </w:rPr>
        <w:t>图 5-1  商店移动端响应式布局</w:t>
      </w:r>
      <w:bookmarkEnd w:id="66"/>
    </w:p>
    <w:p w14:paraId="3D2CDE80">
      <w:pPr>
        <w:pStyle w:val="13"/>
        <w:keepNext/>
        <w:ind w:firstLine="0"/>
        <w:jc w:val="center"/>
      </w:pPr>
      <w:bookmarkStart w:id="67" w:name="tbl_17"/>
      <w:r>
        <w:rPr>
          <w:rFonts w:ascii="Times New Roman" w:hAnsi="Times New Roman" w:eastAsia="黑体"/>
          <w:sz w:val="20"/>
        </w:rPr>
        <w:t>表格 5-2  关键响应式行为</w:t>
      </w:r>
      <w:bookmarkEnd w:id="67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71012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71A43E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区域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53DA46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桌面端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6F770D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移动端</w:t>
            </w:r>
          </w:p>
        </w:tc>
      </w:tr>
      <w:tr w14:paraId="416DB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6BEAF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主导航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6CCDF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横向主导航和角色菜单同时可见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F4D61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折叠为可触控菜单，保留当前工作区</w:t>
            </w:r>
          </w:p>
        </w:tc>
      </w:tr>
      <w:tr w14:paraId="788BB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0C49C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商店卡片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7D444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多列网格与横向推荐区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59E69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单列信息流，价格与主操作保持可见</w:t>
            </w:r>
          </w:p>
        </w:tc>
      </w:tr>
      <w:tr w14:paraId="0AF02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5E2B5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游戏库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4D172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左侧固定游戏轨道 + 右侧详情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D4354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轨道可收起，详情按内容顺序纵向排列</w:t>
            </w:r>
          </w:p>
        </w:tc>
      </w:tr>
      <w:tr w14:paraId="205C3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E013D4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市场/历史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0E847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表格或多栏筛选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3A029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转换为卡片列表，避免水平滚动和文字截断</w:t>
            </w:r>
          </w:p>
        </w:tc>
      </w:tr>
      <w:tr w14:paraId="282FD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0B4364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媒体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309F0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宽屏画廊与全屏查看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43214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稳定宽高比，图片和视频入口不遮挡操作</w:t>
            </w:r>
          </w:p>
        </w:tc>
      </w:tr>
    </w:tbl>
    <w:p w14:paraId="5DFF8C8C">
      <w:pPr>
        <w:pStyle w:val="40"/>
        <w:spacing w:after="0"/>
      </w:pPr>
    </w:p>
    <w:p w14:paraId="460B0615">
      <w:pPr>
        <w:pStyle w:val="2"/>
      </w:pPr>
      <w:bookmarkStart w:id="68" w:name="_Toc31574"/>
      <w:r>
        <w:t>测试、部署与质量保证</w:t>
      </w:r>
      <w:bookmarkEnd w:id="68"/>
    </w:p>
    <w:p w14:paraId="114C225E">
      <w:pPr>
        <w:pStyle w:val="3"/>
      </w:pPr>
      <w:bookmarkStart w:id="69" w:name="_Toc23613"/>
      <w:r>
        <w:t>自动化测试体系</w:t>
      </w:r>
      <w:bookmarkEnd w:id="69"/>
    </w:p>
    <w:p w14:paraId="46E5AE6C">
      <w:pPr>
        <w:pStyle w:val="13"/>
        <w:keepNext/>
        <w:ind w:firstLine="0"/>
        <w:jc w:val="center"/>
      </w:pPr>
      <w:bookmarkStart w:id="70" w:name="tbl_18"/>
      <w:r>
        <w:rPr>
          <w:rFonts w:ascii="Times New Roman" w:hAnsi="Times New Roman" w:eastAsia="黑体"/>
          <w:sz w:val="20"/>
        </w:rPr>
        <w:t>表格 6-1  测试分层与最终结果</w:t>
      </w:r>
      <w:bookmarkEnd w:id="70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3A81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4371A7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层级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231C81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覆盖内容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8A1917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2026-09-11 复检结果</w:t>
            </w:r>
          </w:p>
        </w:tc>
      </w:tr>
      <w:tr w14:paraId="135E7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A1508F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解决方案自动化测试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809E44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Api.Tests 293、Database.Tests 63、CloudTests 9、DemoData.Tests 4、HttpsDeploy.Tests 12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22B4C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381/381；其中外部连接型用例按环境变量决定是否执行远端路径</w:t>
            </w:r>
          </w:p>
        </w:tc>
      </w:tr>
      <w:tr w14:paraId="674E8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26FA15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云端 API 冒烟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4A192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显式设置 STEAM_API_TEST_BASE_URL，验证真实 HTTPS、五类演示登录、授权端点和数据库健康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C1C1BF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9/9 真实云端通过</w:t>
            </w:r>
          </w:p>
        </w:tc>
      </w:tr>
      <w:tr w14:paraId="3690A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78C4C3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Oracle 只读总验收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89474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表、主键、索引、对象、钱包、订单退款、市场、账本、好友与恢复审计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5270B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21/21 真实 Oracle 断言通过并回滚</w:t>
            </w:r>
          </w:p>
        </w:tc>
      </w:tr>
      <w:tr w14:paraId="1034B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449DBB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云端只读浏览器回归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85FB3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桌面/移动认证、商店、公告、媒体、库、库存、资料与社区基线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7A748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26/26 通过</w:t>
            </w:r>
          </w:p>
        </w:tc>
      </w:tr>
      <w:tr w14:paraId="4AA4D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738EB0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云端完整 Playwright E2E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BF5E6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恢复基线后执行全角色业务闭环和社交闭环，再次恢复基线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243733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28/28 通过</w:t>
            </w:r>
          </w:p>
        </w:tc>
      </w:tr>
      <w:tr w14:paraId="44A27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6728D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依赖安全</w:t>
            </w:r>
          </w:p>
        </w:tc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16C73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官方 npm registry 审计；NuGet 直接/传递依赖漏洞检查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B6BF3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0 个已知漏洞</w:t>
            </w:r>
          </w:p>
        </w:tc>
      </w:tr>
    </w:tbl>
    <w:p w14:paraId="01C8590D">
      <w:pPr>
        <w:pStyle w:val="40"/>
        <w:spacing w:after="0"/>
      </w:pPr>
    </w:p>
    <w:p w14:paraId="31552DC5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本次 Oracle 验收确认 45 张表均有主码、49 个命名业务索引，禁用关系约束、无效索引、无效对象和失败恢复运行均为 0。381 项解决方案测试用于代码与 SQL 契约回归；9 项云端 API、21 项 Oracle 断言和 28 项完整 E2E 分别检查部署、数据库和浏览器业务链路，各项统计口径彼此独立。</w:t>
      </w:r>
    </w:p>
    <w:p w14:paraId="368EAE2A">
      <w:pPr>
        <w:pStyle w:val="3"/>
      </w:pPr>
      <w:bookmarkStart w:id="71" w:name="_Toc26021"/>
      <w:r>
        <w:t>CI 与协作质量门禁</w:t>
      </w:r>
      <w:bookmarkEnd w:id="71"/>
    </w:p>
    <w:p w14:paraId="45F23BAF">
      <w:pPr>
        <w:pStyle w:val="14"/>
        <w:spacing w:after="0"/>
      </w:pPr>
      <w:r>
        <w:rPr>
          <w:rFonts w:ascii="Times New Roman" w:hAnsi="Times New Roman" w:eastAsia="宋体"/>
          <w:sz w:val="21"/>
        </w:rPr>
        <w:t>普通组员使用功能分支并通过 Pull Request 合并，禁止直接 push main；main 禁止强推和删除。</w:t>
      </w:r>
    </w:p>
    <w:p w14:paraId="03366F76">
      <w:pPr>
        <w:pStyle w:val="14"/>
        <w:spacing w:after="0"/>
      </w:pPr>
      <w:r>
        <w:rPr>
          <w:rFonts w:ascii="Times New Roman" w:hAnsi="Times New Roman" w:eastAsia="宋体"/>
          <w:sz w:val="21"/>
        </w:rPr>
        <w:t>PR 审查检查技术路线、五层架构、数据库迁移、敏感信息、UTF-8、构建与测试。</w:t>
      </w:r>
    </w:p>
    <w:p w14:paraId="232F274C">
      <w:pPr>
        <w:pStyle w:val="14"/>
        <w:spacing w:after="0"/>
      </w:pPr>
      <w:r>
        <w:rPr>
          <w:rFonts w:ascii="Times New Roman" w:hAnsi="Times New Roman" w:eastAsia="宋体"/>
          <w:sz w:val="21"/>
        </w:rPr>
        <w:t>CI 使用 .NET 10 和 Node.js 22 执行后端 restore/build/test、前端 npm ci/build/test 和静态检查。</w:t>
      </w:r>
    </w:p>
    <w:p w14:paraId="21D6E546">
      <w:pPr>
        <w:pStyle w:val="14"/>
        <w:spacing w:after="0"/>
      </w:pPr>
      <w:r>
        <w:rPr>
          <w:rFonts w:ascii="Times New Roman" w:hAnsi="Times New Roman" w:eastAsia="宋体"/>
          <w:sz w:val="21"/>
        </w:rPr>
        <w:t>_archive 保存团队旧项目文件并提交；本地工具归档、pem 与 key 不提交。</w:t>
      </w:r>
    </w:p>
    <w:p w14:paraId="37C8A0AF">
      <w:pPr>
        <w:pStyle w:val="14"/>
        <w:spacing w:after="0"/>
      </w:pPr>
      <w:r>
        <w:rPr>
          <w:rFonts w:ascii="Times New Roman" w:hAnsi="Times New Roman" w:eastAsia="宋体"/>
          <w:sz w:val="21"/>
        </w:rPr>
        <w:t>包含数据库迁移的合并需在云端受控执行，验证 Oracle 与公网 API 后才算交付完成。</w:t>
      </w:r>
    </w:p>
    <w:p w14:paraId="07F51A2C">
      <w:pPr>
        <w:pStyle w:val="3"/>
      </w:pPr>
      <w:bookmarkStart w:id="72" w:name="_Toc22281"/>
      <w:r>
        <w:t>云端发布流程</w:t>
      </w:r>
      <w:bookmarkEnd w:id="72"/>
    </w:p>
    <w:p w14:paraId="2AAC69C0">
      <w:pPr>
        <w:pStyle w:val="12"/>
        <w:spacing w:after="0"/>
      </w:pPr>
      <w:r>
        <w:rPr>
          <w:rFonts w:ascii="Times New Roman" w:hAnsi="Times New Roman" w:eastAsia="宋体"/>
          <w:sz w:val="21"/>
        </w:rPr>
        <w:t>从受保护的 main 获取已审查版本，确认工作树、提交号与配置样例一致。</w:t>
      </w:r>
    </w:p>
    <w:p w14:paraId="555CB3F8">
      <w:pPr>
        <w:pStyle w:val="12"/>
        <w:spacing w:after="0"/>
      </w:pPr>
      <w:r>
        <w:rPr>
          <w:rFonts w:ascii="Times New Roman" w:hAnsi="Times New Roman" w:eastAsia="宋体"/>
          <w:sz w:val="21"/>
        </w:rPr>
        <w:t>构建 Vue 生产静态资源与 ASP.NET Core Linux 发布产物。</w:t>
      </w:r>
    </w:p>
    <w:p w14:paraId="1FC27FDE">
      <w:pPr>
        <w:pStyle w:val="12"/>
        <w:spacing w:after="0"/>
      </w:pPr>
      <w:r>
        <w:rPr>
          <w:rFonts w:ascii="Times New Roman" w:hAnsi="Times New Roman" w:eastAsia="宋体"/>
          <w:sz w:val="21"/>
        </w:rPr>
        <w:t>备份必要配置与数据库状态；按审查结果执行新增迁移，禁止自动运行 database/admin 管理脚本。</w:t>
      </w:r>
    </w:p>
    <w:p w14:paraId="40676DA9">
      <w:pPr>
        <w:pStyle w:val="12"/>
        <w:spacing w:after="0"/>
      </w:pPr>
      <w:r>
        <w:rPr>
          <w:rFonts w:ascii="Times New Roman" w:hAnsi="Times New Roman" w:eastAsia="宋体"/>
          <w:sz w:val="21"/>
        </w:rPr>
        <w:t>原子替换前端和 API 发布目录，重启 steam-platform-api systemd 服务并检查日志。</w:t>
      </w:r>
    </w:p>
    <w:p w14:paraId="3C9CF7F8">
      <w:pPr>
        <w:pStyle w:val="12"/>
        <w:spacing w:after="0"/>
      </w:pPr>
      <w:r>
        <w:rPr>
          <w:rFonts w:ascii="Times New Roman" w:hAnsi="Times New Roman" w:eastAsia="宋体"/>
          <w:sz w:val="21"/>
        </w:rPr>
        <w:t>检查 Nginx 配置、HTTPS、存活与数据库健康端点。</w:t>
      </w:r>
    </w:p>
    <w:p w14:paraId="77D0C842">
      <w:pPr>
        <w:pStyle w:val="12"/>
        <w:spacing w:after="0"/>
      </w:pPr>
      <w:r>
        <w:rPr>
          <w:rFonts w:ascii="Times New Roman" w:hAnsi="Times New Roman" w:eastAsia="宋体"/>
          <w:sz w:val="21"/>
        </w:rPr>
        <w:t>运行云端 API 冒烟、Playwright E2E 和 Oracle 验证；失败时回滚到上一发布产物。</w:t>
      </w:r>
    </w:p>
    <w:p w14:paraId="63AC8D14">
      <w:pPr>
        <w:pStyle w:val="12"/>
        <w:spacing w:after="0"/>
      </w:pPr>
      <w:r>
        <w:rPr>
          <w:rFonts w:ascii="Times New Roman" w:hAnsi="Times New Roman" w:eastAsia="宋体"/>
          <w:sz w:val="21"/>
        </w:rPr>
        <w:t>记录部署提交、验证结果和数据库变更，使 GitHub main、云端代码与文档保持一致。</w:t>
      </w:r>
    </w:p>
    <w:p w14:paraId="33A21E89">
      <w:pPr>
        <w:pStyle w:val="3"/>
      </w:pPr>
      <w:bookmarkStart w:id="73" w:name="_Toc25655"/>
      <w:r>
        <w:t>运行维护与恢复</w:t>
      </w:r>
      <w:bookmarkEnd w:id="73"/>
    </w:p>
    <w:p w14:paraId="61F9CD4A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云服务器上的 Nginx、ASP.NET Core 与 Oracle 作为系统服务长期运行，开发者关闭本机不会中断。运维关注磁盘、内存、证书、服务日志和数据库健康。答辩前由负责人/运维执行受控 C# 演示恢复工具，随后依次检查首页、登录、钱包、市场和管理端；演示中若状态被前一轮操作改变，可再次运行工具回到基线。</w:t>
      </w:r>
    </w:p>
    <w:p w14:paraId="45053EC7">
      <w:pPr>
        <w:pStyle w:val="13"/>
        <w:keepNext/>
        <w:ind w:firstLine="0"/>
        <w:jc w:val="center"/>
      </w:pPr>
      <w:bookmarkStart w:id="74" w:name="tbl_19"/>
      <w:r>
        <w:rPr>
          <w:rFonts w:ascii="Times New Roman" w:hAnsi="Times New Roman" w:eastAsia="黑体"/>
          <w:sz w:val="20"/>
        </w:rPr>
        <w:t>表格 6-2  答辩前运行检查清单</w:t>
      </w:r>
      <w:bookmarkEnd w:id="74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24B0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9FF0D0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检查项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6A46B9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通过标准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8F60AA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异常处置</w:t>
            </w:r>
          </w:p>
        </w:tc>
      </w:tr>
      <w:tr w14:paraId="051D0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A8EC22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公网入口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33F188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HTTPS 首页可访问，HTTP 自动跳转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8B302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检查 Lighthouse、防火墙与 Nginx</w:t>
            </w:r>
          </w:p>
        </w:tc>
      </w:tr>
      <w:tr w14:paraId="4AA8F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8937F5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应用服务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6CC6D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systemd 为 active，存活接口成功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40132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查看 journal 日志并回滚发布物</w:t>
            </w:r>
          </w:p>
        </w:tc>
      </w:tr>
      <w:tr w14:paraId="49EFC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E3BCB5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Oracle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410B9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数据库健康接口成功，无无效对象/约束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F44E7D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检查监听、容器/服务与连接配置</w:t>
            </w:r>
          </w:p>
        </w:tc>
      </w:tr>
      <w:tr w14:paraId="58767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29F4AF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演示基线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E3AB8A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两玩家、两游戏、钱包、库存、市场和社区数量符合基线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34FA4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负责人/运维执行受控 C# 工具并核验</w:t>
            </w:r>
          </w:p>
        </w:tc>
      </w:tr>
      <w:tr w14:paraId="5C93D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7E23A1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多角色账号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FE30F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玩家、开发商、管理员均可登录且路由正确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88303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检查 JWT 配置和演示账号状态</w:t>
            </w:r>
          </w:p>
        </w:tc>
      </w:tr>
      <w:tr w14:paraId="35271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7151FA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关键闭环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64DDB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DST 购买退款与 CS2 市场链路至少预演一次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59621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恢复基线后重新走云端 E2E</w:t>
            </w:r>
          </w:p>
        </w:tc>
      </w:tr>
      <w:tr w14:paraId="21660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EE856E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备用证据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791AC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测试报告、截图和答辩备用录屏可离线打开</w:t>
            </w:r>
          </w:p>
        </w:tc>
        <w:tc>
          <w:tcPr>
            <w:tcW w:w="283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4AB3B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从项目文档与输出目录准备副本</w:t>
            </w:r>
          </w:p>
        </w:tc>
      </w:tr>
    </w:tbl>
    <w:p w14:paraId="3E061787">
      <w:pPr>
        <w:pStyle w:val="40"/>
        <w:spacing w:after="0"/>
      </w:pPr>
    </w:p>
    <w:p w14:paraId="747F26B3">
      <w:pPr>
        <w:pStyle w:val="2"/>
      </w:pPr>
      <w:bookmarkStart w:id="75" w:name="_Toc14864"/>
      <w:r>
        <w:t>设计取舍与可扩展性</w:t>
      </w:r>
      <w:bookmarkEnd w:id="75"/>
    </w:p>
    <w:p w14:paraId="6A1568D5">
      <w:pPr>
        <w:pStyle w:val="3"/>
      </w:pPr>
      <w:bookmarkStart w:id="76" w:name="_Toc7177"/>
      <w:r>
        <w:t>功能演进与架构深化</w:t>
      </w:r>
      <w:bookmarkEnd w:id="76"/>
    </w:p>
    <w:p w14:paraId="04185DAE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早期广度设想中的家庭共享、愿望单促销广播、递归 Mod 依赖、标签重合推荐、开发商分级佣金和跨区赠礼风控未作为最终功能落地。团队将其替换为更能体现数据库课程深度的行级锁、市场并发、不可变双账本、多角色隔离、游戏状态治理、退款审计、Oracle 持久化社交和确定性演示恢复。需求文档与实现文档均采用相同口径，不将未实现项计入功能数。</w:t>
      </w:r>
    </w:p>
    <w:p w14:paraId="38FF0806">
      <w:pPr>
        <w:spacing w:after="0"/>
        <w:ind w:firstLine="0"/>
        <w:jc w:val="center"/>
      </w:pPr>
      <w:r>
        <w:drawing>
          <wp:inline distT="0" distB="0" distL="114300" distR="114300">
            <wp:extent cx="5687695" cy="3021330"/>
            <wp:effectExtent l="0" t="0" r="1905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2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9F08">
      <w:pPr>
        <w:pStyle w:val="13"/>
        <w:ind w:firstLine="0"/>
        <w:jc w:val="center"/>
      </w:pPr>
      <w:bookmarkStart w:id="77" w:name="fig_23"/>
      <w:r>
        <w:rPr>
          <w:rFonts w:ascii="Times New Roman" w:hAnsi="Times New Roman" w:eastAsia="黑体"/>
          <w:sz w:val="20"/>
        </w:rPr>
        <w:t>图 7-1  从功能广度到数据库深度的设计取舍</w:t>
      </w:r>
      <w:bookmarkEnd w:id="77"/>
    </w:p>
    <w:p w14:paraId="2AA0F495">
      <w:pPr>
        <w:pStyle w:val="3"/>
      </w:pPr>
      <w:bookmarkStart w:id="78" w:name="_Toc30843"/>
      <w:r>
        <w:t>当前边界与扩展方向</w:t>
      </w:r>
      <w:bookmarkEnd w:id="78"/>
    </w:p>
    <w:p w14:paraId="41CED8D5">
      <w:pPr>
        <w:pStyle w:val="13"/>
        <w:keepNext/>
        <w:ind w:firstLine="0"/>
        <w:jc w:val="center"/>
      </w:pPr>
      <w:bookmarkStart w:id="79" w:name="tbl_20"/>
      <w:r>
        <w:rPr>
          <w:rFonts w:ascii="Times New Roman" w:hAnsi="Times New Roman" w:eastAsia="黑体"/>
          <w:sz w:val="20"/>
        </w:rPr>
        <w:t>表格 7-1  后续扩展方向</w:t>
      </w:r>
      <w:bookmarkEnd w:id="79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0CD29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84E598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方向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CE1EB9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扩展方式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679444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不破坏的现有边界</w:t>
            </w:r>
          </w:p>
        </w:tc>
      </w:tr>
      <w:tr w14:paraId="6E98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15719D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域名与公信证书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34ACAB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购买并备案项目域名，替换 IP 证书和入口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262F8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Nginx/API/数据库拓扑不变</w:t>
            </w:r>
          </w:p>
        </w:tc>
      </w:tr>
      <w:tr w14:paraId="42B8F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3DDA06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对象存储与 CDN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FE53C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将大图与视频迁移到 COS/CDN，数据库仅存 URL 与元数据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0CBE0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Oracle 不保存大媒体 BLOB</w:t>
            </w:r>
          </w:p>
        </w:tc>
      </w:tr>
      <w:tr w14:paraId="3D6AD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BC0DF8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多实例应用服务器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19663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引入负载均衡和共享 SignalR backplane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F555C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Api/Application 契约保持无状态</w:t>
            </w:r>
          </w:p>
        </w:tc>
      </w:tr>
      <w:tr w14:paraId="24BD4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A4E34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高级推荐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93E3A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基于行为与标签建立独立推荐服务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AD57E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现有 GAME 与互动数据作为来源</w:t>
            </w:r>
          </w:p>
        </w:tc>
      </w:tr>
      <w:tr w14:paraId="77DD6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C6D433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真实支付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A573A6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以支付适配器接入第三方沙箱和回调签名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6A606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订单与钱包幂等/账本模型保持</w:t>
            </w:r>
          </w:p>
        </w:tc>
      </w:tr>
      <w:tr w14:paraId="0CC26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70C4DD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家庭共享/愿望单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BBD3F2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作为独立聚合模块加入状态机与通知</w:t>
            </w:r>
          </w:p>
        </w:tc>
        <w:tc>
          <w:tcPr>
            <w:tcW w:w="3118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121E81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不混入现有 PLAYER_LIBRARY 真相</w:t>
            </w:r>
          </w:p>
        </w:tc>
      </w:tr>
    </w:tbl>
    <w:p w14:paraId="7BCFFA63">
      <w:pPr>
        <w:pStyle w:val="40"/>
        <w:spacing w:after="0"/>
      </w:pPr>
    </w:p>
    <w:p w14:paraId="4ECEF038">
      <w:pPr>
        <w:pStyle w:val="3"/>
      </w:pPr>
      <w:bookmarkStart w:id="80" w:name="_Toc5440"/>
      <w:r>
        <w:t>结论</w:t>
      </w:r>
      <w:bookmarkEnd w:id="80"/>
    </w:p>
    <w:p w14:paraId="348AF7E9">
      <w:pPr>
        <w:pStyle w:val="40"/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系统已经完成部署、测试、审计和答辩数据恢复。资金、权益、资产、社交、游戏状态治理与退款审批均落实为明确的关系、事务和约束，并由五层 C# 应用服务器和 Vue 前端提供统一入口。当前设计满足课程技术路线和工作量要求，也保留了域名、对象存储和高级业务扩展所需的边界。</w:t>
      </w:r>
    </w:p>
    <w:p w14:paraId="3535ECD4">
      <w:pPr>
        <w:pStyle w:val="13"/>
        <w:keepNext/>
        <w:ind w:firstLine="0"/>
        <w:jc w:val="center"/>
      </w:pPr>
      <w:bookmarkStart w:id="81" w:name="tbl_21"/>
      <w:r>
        <w:rPr>
          <w:rFonts w:ascii="Times New Roman" w:hAnsi="Times New Roman" w:eastAsia="黑体"/>
          <w:sz w:val="20"/>
        </w:rPr>
        <w:t>表格 7-2  最终完成度证据</w:t>
      </w:r>
      <w:bookmarkEnd w:id="81"/>
    </w:p>
    <w:tbl>
      <w:tblPr>
        <w:tblStyle w:val="3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260EA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CF2597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维度</w:t>
            </w:r>
          </w:p>
        </w:tc>
        <w:tc>
          <w:tcPr>
            <w:tcW w:w="708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A436F7">
            <w:pPr>
              <w:pStyle w:val="40"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已完成证据</w:t>
            </w:r>
          </w:p>
        </w:tc>
      </w:tr>
      <w:tr w14:paraId="7FEAC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599607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数据库</w:t>
            </w:r>
          </w:p>
        </w:tc>
        <w:tc>
          <w:tcPr>
            <w:tcW w:w="708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DE492C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45 张表、45 个主键、49 个命名业务索引、无无效对象/约束</w:t>
            </w:r>
          </w:p>
        </w:tc>
      </w:tr>
      <w:tr w14:paraId="62BC0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80295C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业务</w:t>
            </w:r>
          </w:p>
        </w:tc>
        <w:tc>
          <w:tcPr>
            <w:tcW w:w="708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FA1D15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32 个功能点，购买退款与市场交易形成可复现闭环</w:t>
            </w:r>
          </w:p>
        </w:tc>
      </w:tr>
      <w:tr w14:paraId="01C11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9FEB17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工程</w:t>
            </w:r>
          </w:p>
        </w:tc>
        <w:tc>
          <w:tcPr>
            <w:tcW w:w="708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5793A9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C#/.NET 10 五层后端、Vue 3 前端、受保护 main 与 CI</w:t>
            </w:r>
          </w:p>
        </w:tc>
      </w:tr>
      <w:tr w14:paraId="5052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12AF59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质量</w:t>
            </w:r>
          </w:p>
        </w:tc>
        <w:tc>
          <w:tcPr>
            <w:tcW w:w="708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1D97B0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381/381 解决方案测试、9/9 真实云端 API、28/28 云端 E2E、21/21 真实 Oracle 断言</w:t>
            </w:r>
          </w:p>
        </w:tc>
      </w:tr>
      <w:tr w14:paraId="48059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7045E7">
            <w:pPr>
              <w:pStyle w:val="40"/>
              <w:spacing w:after="0" w:line="36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交付</w:t>
            </w:r>
          </w:p>
        </w:tc>
        <w:tc>
          <w:tcPr>
            <w:tcW w:w="708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8E21E7">
            <w:pPr>
              <w:pStyle w:val="40"/>
              <w:spacing w:after="0"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6"/>
              </w:rPr>
              <w:t>腾讯云 HTTPS 成品、确定性演示恢复、需求/设计/答辩文档</w:t>
            </w:r>
          </w:p>
        </w:tc>
      </w:tr>
    </w:tbl>
    <w:p w14:paraId="0A5F57E4">
      <w:pPr>
        <w:pStyle w:val="40"/>
        <w:spacing w:after="0"/>
      </w:pPr>
    </w:p>
    <w:p w14:paraId="1131C514">
      <w:pPr>
        <w:pStyle w:val="43"/>
      </w:pPr>
      <w:bookmarkStart w:id="82" w:name="appendix_index"/>
      <w:bookmarkStart w:id="83" w:name="_Toc15633"/>
      <w:r>
        <w:t>图表索引</w:t>
      </w:r>
      <w:bookmarkEnd w:id="82"/>
      <w:bookmarkEnd w:id="83"/>
    </w:p>
    <w:p w14:paraId="57007EDB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2-1  系统 B/S 五层架构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fig_1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</w:t>
      </w:r>
      <w:r>
        <w:rPr>
          <w:rFonts w:ascii="Times New Roman" w:hAnsi="Times New Roman" w:eastAsia="宋体"/>
          <w:sz w:val="20"/>
        </w:rPr>
        <w:fldChar w:fldCharType="end"/>
      </w:r>
    </w:p>
    <w:p w14:paraId="3E59B019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2-2  腾讯云单机部署拓扑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fig_2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5</w:t>
      </w:r>
      <w:r>
        <w:rPr>
          <w:rFonts w:ascii="Times New Roman" w:hAnsi="Times New Roman" w:eastAsia="宋体"/>
          <w:sz w:val="20"/>
        </w:rPr>
        <w:fldChar w:fldCharType="end"/>
      </w:r>
    </w:p>
    <w:p w14:paraId="7F823824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3-1  云端商店首页与 Steam 风格导航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fig_3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8</w:t>
      </w:r>
      <w:r>
        <w:rPr>
          <w:rFonts w:ascii="Times New Roman" w:hAnsi="Times New Roman" w:eastAsia="宋体"/>
          <w:sz w:val="20"/>
        </w:rPr>
        <w:fldChar w:fldCharType="end"/>
      </w:r>
    </w:p>
    <w:p w14:paraId="08AFC815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3-2  DST 游戏详情、媒体与购买入口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fig_4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9</w:t>
      </w:r>
      <w:r>
        <w:rPr>
          <w:rFonts w:ascii="Times New Roman" w:hAnsi="Times New Roman" w:eastAsia="宋体"/>
          <w:sz w:val="20"/>
        </w:rPr>
        <w:fldChar w:fldCharType="end"/>
      </w:r>
    </w:p>
    <w:p w14:paraId="33A8C23F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3-3  开发商游戏管理工作台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fig_5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9</w:t>
      </w:r>
      <w:r>
        <w:rPr>
          <w:rFonts w:ascii="Times New Roman" w:hAnsi="Times New Roman" w:eastAsia="宋体"/>
          <w:sz w:val="20"/>
        </w:rPr>
        <w:fldChar w:fldCharType="end"/>
      </w:r>
    </w:p>
    <w:p w14:paraId="78B3382D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3-4  管理员游戏上架与下架界面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fig_6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10</w:t>
      </w:r>
      <w:r>
        <w:rPr>
          <w:rFonts w:ascii="Times New Roman" w:hAnsi="Times New Roman" w:eastAsia="宋体"/>
          <w:sz w:val="20"/>
        </w:rPr>
        <w:fldChar w:fldCharType="end"/>
      </w:r>
    </w:p>
    <w:p w14:paraId="1CCF3D84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3-5  游戏购买与退款事务时序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fig_7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11</w:t>
      </w:r>
      <w:r>
        <w:rPr>
          <w:rFonts w:ascii="Times New Roman" w:hAnsi="Times New Roman" w:eastAsia="宋体"/>
          <w:sz w:val="20"/>
        </w:rPr>
        <w:fldChar w:fldCharType="end"/>
      </w:r>
    </w:p>
    <w:p w14:paraId="61B4573C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3-6  玩家钱包与可审计资金流水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fig_8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12</w:t>
      </w:r>
      <w:r>
        <w:rPr>
          <w:rFonts w:ascii="Times New Roman" w:hAnsi="Times New Roman" w:eastAsia="宋体"/>
          <w:sz w:val="20"/>
        </w:rPr>
        <w:fldChar w:fldCharType="end"/>
      </w:r>
    </w:p>
    <w:p w14:paraId="69D74F48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3-7  玩家游戏库与游戏活动信息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fig_9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13</w:t>
      </w:r>
      <w:r>
        <w:rPr>
          <w:rFonts w:ascii="Times New Roman" w:hAnsi="Times New Roman" w:eastAsia="宋体"/>
          <w:sz w:val="20"/>
        </w:rPr>
        <w:fldChar w:fldCharType="end"/>
      </w:r>
    </w:p>
    <w:p w14:paraId="02167690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3-8  市场挂单、撮合与结算时序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fig_10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14</w:t>
      </w:r>
      <w:r>
        <w:rPr>
          <w:rFonts w:ascii="Times New Roman" w:hAnsi="Times New Roman" w:eastAsia="宋体"/>
          <w:sz w:val="20"/>
        </w:rPr>
        <w:fldChar w:fldCharType="end"/>
      </w:r>
    </w:p>
    <w:p w14:paraId="6237AB5D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3-9  CS2 实例化物品库存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fig_11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15</w:t>
      </w:r>
      <w:r>
        <w:rPr>
          <w:rFonts w:ascii="Times New Roman" w:hAnsi="Times New Roman" w:eastAsia="宋体"/>
          <w:sz w:val="20"/>
        </w:rPr>
        <w:fldChar w:fldCharType="end"/>
      </w:r>
    </w:p>
    <w:p w14:paraId="0C7706FE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3-10  社区市场挂单与成交界面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fig_12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16</w:t>
      </w:r>
      <w:r>
        <w:rPr>
          <w:rFonts w:ascii="Times New Roman" w:hAnsi="Times New Roman" w:eastAsia="宋体"/>
          <w:sz w:val="20"/>
        </w:rPr>
        <w:fldChar w:fldCharType="end"/>
      </w:r>
    </w:p>
    <w:p w14:paraId="62039C8C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3-11  好友列表、私信与实时通知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fig_13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17</w:t>
      </w:r>
      <w:r>
        <w:rPr>
          <w:rFonts w:ascii="Times New Roman" w:hAnsi="Times New Roman" w:eastAsia="宋体"/>
          <w:sz w:val="20"/>
        </w:rPr>
        <w:fldChar w:fldCharType="end"/>
      </w:r>
    </w:p>
    <w:p w14:paraId="776AD928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3-12  社区动态、讨论与工坊入口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fig_14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18</w:t>
      </w:r>
      <w:r>
        <w:rPr>
          <w:rFonts w:ascii="Times New Roman" w:hAnsi="Times New Roman" w:eastAsia="宋体"/>
          <w:sz w:val="20"/>
        </w:rPr>
        <w:fldChar w:fldCharType="end"/>
      </w:r>
    </w:p>
    <w:p w14:paraId="2BC4ED9D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4-1  基于最终 45 张表的数据库领域总览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fig_15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20</w:t>
      </w:r>
      <w:r>
        <w:rPr>
          <w:rFonts w:ascii="Times New Roman" w:hAnsi="Times New Roman" w:eastAsia="宋体"/>
          <w:sz w:val="20"/>
        </w:rPr>
        <w:fldChar w:fldCharType="end"/>
      </w:r>
    </w:p>
    <w:p w14:paraId="01A08E28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4-2  最终主体、发行与运营关系模型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fig_16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21</w:t>
      </w:r>
      <w:r>
        <w:rPr>
          <w:rFonts w:ascii="Times New Roman" w:hAnsi="Times New Roman" w:eastAsia="宋体"/>
          <w:sz w:val="20"/>
        </w:rPr>
        <w:fldChar w:fldCharType="end"/>
      </w:r>
    </w:p>
    <w:p w14:paraId="7A64B6CA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4-3  最终订单、退款、权益与 CDKey 关系模型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fig_17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21</w:t>
      </w:r>
      <w:r>
        <w:rPr>
          <w:rFonts w:ascii="Times New Roman" w:hAnsi="Times New Roman" w:eastAsia="宋体"/>
          <w:sz w:val="20"/>
        </w:rPr>
        <w:fldChar w:fldCharType="end"/>
      </w:r>
    </w:p>
    <w:p w14:paraId="3F0D7F07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4-4  最终评价、成就、库存与市场关系模型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fig_18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22</w:t>
      </w:r>
      <w:r>
        <w:rPr>
          <w:rFonts w:ascii="Times New Roman" w:hAnsi="Times New Roman" w:eastAsia="宋体"/>
          <w:sz w:val="20"/>
        </w:rPr>
        <w:fldChar w:fldCharType="end"/>
      </w:r>
    </w:p>
    <w:p w14:paraId="2A0E9E6F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4-5  最终好友、消息、评价互动与工坊关系模型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fig_19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22</w:t>
      </w:r>
      <w:r>
        <w:rPr>
          <w:rFonts w:ascii="Times New Roman" w:hAnsi="Times New Roman" w:eastAsia="宋体"/>
          <w:sz w:val="20"/>
        </w:rPr>
        <w:fldChar w:fldCharType="end"/>
      </w:r>
    </w:p>
    <w:p w14:paraId="4DECE850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4-6  最终资料、徽章、报价与社区关系模型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fig_20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23</w:t>
      </w:r>
      <w:r>
        <w:rPr>
          <w:rFonts w:ascii="Times New Roman" w:hAnsi="Times New Roman" w:eastAsia="宋体"/>
          <w:sz w:val="20"/>
        </w:rPr>
        <w:fldChar w:fldCharType="end"/>
      </w:r>
    </w:p>
    <w:p w14:paraId="6F630DB1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4-7  最终演示恢复审计关系模型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fig_21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23</w:t>
      </w:r>
      <w:r>
        <w:rPr>
          <w:rFonts w:ascii="Times New Roman" w:hAnsi="Times New Roman" w:eastAsia="宋体"/>
          <w:sz w:val="20"/>
        </w:rPr>
        <w:fldChar w:fldCharType="end"/>
      </w:r>
    </w:p>
    <w:p w14:paraId="09B6AE29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5-1  商店移动端响应式布局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fig_22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29</w:t>
      </w:r>
      <w:r>
        <w:rPr>
          <w:rFonts w:ascii="Times New Roman" w:hAnsi="Times New Roman" w:eastAsia="宋体"/>
          <w:sz w:val="20"/>
        </w:rPr>
        <w:fldChar w:fldCharType="end"/>
      </w:r>
    </w:p>
    <w:p w14:paraId="64C5ABAD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图 7-1  从功能广度到数据库深度的设计取舍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fig_23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34</w:t>
      </w:r>
      <w:r>
        <w:rPr>
          <w:rFonts w:ascii="Times New Roman" w:hAnsi="Times New Roman" w:eastAsia="宋体"/>
          <w:sz w:val="20"/>
        </w:rPr>
        <w:fldChar w:fldCharType="end"/>
      </w:r>
    </w:p>
    <w:p w14:paraId="2D588D7F"/>
    <w:p w14:paraId="7CEFCD25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1-1  设计范围与主模块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</w:t>
      </w:r>
      <w:r>
        <w:rPr>
          <w:rFonts w:ascii="Times New Roman" w:hAnsi="Times New Roman" w:eastAsia="宋体"/>
          <w:sz w:val="20"/>
        </w:rPr>
        <w:fldChar w:fldCharType="end"/>
      </w:r>
    </w:p>
    <w:p w14:paraId="4B204FF9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1-2  课程要求符合性对照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tbl_2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</w:t>
      </w:r>
      <w:r>
        <w:rPr>
          <w:rFonts w:ascii="Times New Roman" w:hAnsi="Times New Roman" w:eastAsia="宋体"/>
          <w:sz w:val="20"/>
        </w:rPr>
        <w:fldChar w:fldCharType="end"/>
      </w:r>
    </w:p>
    <w:p w14:paraId="15BE4D59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2-1  五层职责与依赖约束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tbl_3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</w:t>
      </w:r>
      <w:r>
        <w:rPr>
          <w:rFonts w:ascii="Times New Roman" w:hAnsi="Times New Roman" w:eastAsia="宋体"/>
          <w:sz w:val="20"/>
        </w:rPr>
        <w:fldChar w:fldCharType="end"/>
      </w:r>
    </w:p>
    <w:p w14:paraId="402AD2F0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2-2  技术栈基线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tbl_4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4</w:t>
      </w:r>
      <w:r>
        <w:rPr>
          <w:rFonts w:ascii="Times New Roman" w:hAnsi="Times New Roman" w:eastAsia="宋体"/>
          <w:sz w:val="20"/>
        </w:rPr>
        <w:fldChar w:fldCharType="end"/>
      </w:r>
    </w:p>
    <w:p w14:paraId="28A560C8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2-3  部署端口与暴露策略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tbl_5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5</w:t>
      </w:r>
      <w:r>
        <w:rPr>
          <w:rFonts w:ascii="Times New Roman" w:hAnsi="Times New Roman" w:eastAsia="宋体"/>
          <w:sz w:val="20"/>
        </w:rPr>
        <w:fldChar w:fldCharType="end"/>
      </w:r>
    </w:p>
    <w:p w14:paraId="35BDA2B0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3-1  认证模块文件映射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tbl_6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7</w:t>
      </w:r>
      <w:r>
        <w:rPr>
          <w:rFonts w:ascii="Times New Roman" w:hAnsi="Times New Roman" w:eastAsia="宋体"/>
          <w:sz w:val="20"/>
        </w:rPr>
        <w:fldChar w:fldCharType="end"/>
      </w:r>
    </w:p>
    <w:p w14:paraId="1ACA23FB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3-2  游戏与公告状态规则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tbl_7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7</w:t>
      </w:r>
      <w:r>
        <w:rPr>
          <w:rFonts w:ascii="Times New Roman" w:hAnsi="Times New Roman" w:eastAsia="宋体"/>
          <w:sz w:val="20"/>
        </w:rPr>
        <w:fldChar w:fldCharType="end"/>
      </w:r>
    </w:p>
    <w:p w14:paraId="5313B304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3-3  购买事务写入顺序与失败处理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tbl_8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11</w:t>
      </w:r>
      <w:r>
        <w:rPr>
          <w:rFonts w:ascii="Times New Roman" w:hAnsi="Times New Roman" w:eastAsia="宋体"/>
          <w:sz w:val="20"/>
        </w:rPr>
        <w:fldChar w:fldCharType="end"/>
      </w:r>
    </w:p>
    <w:p w14:paraId="48C788F4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3-4  评价与成就一致性规则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tbl_9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13</w:t>
      </w:r>
      <w:r>
        <w:rPr>
          <w:rFonts w:ascii="Times New Roman" w:hAnsi="Times New Roman" w:eastAsia="宋体"/>
          <w:sz w:val="20"/>
        </w:rPr>
        <w:fldChar w:fldCharType="end"/>
      </w:r>
    </w:p>
    <w:p w14:paraId="0D350B08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3-5  市场事务不变量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tbl_10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14</w:t>
      </w:r>
      <w:r>
        <w:rPr>
          <w:rFonts w:ascii="Times New Roman" w:hAnsi="Times New Roman" w:eastAsia="宋体"/>
          <w:sz w:val="20"/>
        </w:rPr>
        <w:fldChar w:fldCharType="end"/>
      </w:r>
    </w:p>
    <w:p w14:paraId="59FEBB03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3-6  社交与互动数据边界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tbl_11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16</w:t>
      </w:r>
      <w:r>
        <w:rPr>
          <w:rFonts w:ascii="Times New Roman" w:hAnsi="Times New Roman" w:eastAsia="宋体"/>
          <w:sz w:val="20"/>
        </w:rPr>
        <w:fldChar w:fldCharType="end"/>
      </w:r>
    </w:p>
    <w:p w14:paraId="25FA60C4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3-7  确定性演示基线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tbl_12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18</w:t>
      </w:r>
      <w:r>
        <w:rPr>
          <w:rFonts w:ascii="Times New Roman" w:hAnsi="Times New Roman" w:eastAsia="宋体"/>
          <w:sz w:val="20"/>
        </w:rPr>
        <w:fldChar w:fldCharType="end"/>
      </w:r>
    </w:p>
    <w:p w14:paraId="597779FE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4-1  45 张表数据字典摘要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tbl_13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24</w:t>
      </w:r>
      <w:r>
        <w:rPr>
          <w:rFonts w:ascii="Times New Roman" w:hAnsi="Times New Roman" w:eastAsia="宋体"/>
          <w:sz w:val="20"/>
        </w:rPr>
        <w:fldChar w:fldCharType="end"/>
      </w:r>
    </w:p>
    <w:p w14:paraId="28CECA7C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4-2  代表性查询与索引策略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tbl_14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26</w:t>
      </w:r>
      <w:r>
        <w:rPr>
          <w:rFonts w:ascii="Times New Roman" w:hAnsi="Times New Roman" w:eastAsia="宋体"/>
          <w:sz w:val="20"/>
        </w:rPr>
        <w:fldChar w:fldCharType="end"/>
      </w:r>
    </w:p>
    <w:p w14:paraId="5B40C6A4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4-3  关键事务边界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tbl_15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27</w:t>
      </w:r>
      <w:r>
        <w:rPr>
          <w:rFonts w:ascii="Times New Roman" w:hAnsi="Times New Roman" w:eastAsia="宋体"/>
          <w:sz w:val="20"/>
        </w:rPr>
        <w:fldChar w:fldCharType="end"/>
      </w:r>
    </w:p>
    <w:p w14:paraId="3EC644EC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5-1  前端页面与组件映射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tbl_16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28</w:t>
      </w:r>
      <w:r>
        <w:rPr>
          <w:rFonts w:ascii="Times New Roman" w:hAnsi="Times New Roman" w:eastAsia="宋体"/>
          <w:sz w:val="20"/>
        </w:rPr>
        <w:fldChar w:fldCharType="end"/>
      </w:r>
    </w:p>
    <w:p w14:paraId="263D76CC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5-2  关键响应式行为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tbl_17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29</w:t>
      </w:r>
      <w:r>
        <w:rPr>
          <w:rFonts w:ascii="Times New Roman" w:hAnsi="Times New Roman" w:eastAsia="宋体"/>
          <w:sz w:val="20"/>
        </w:rPr>
        <w:fldChar w:fldCharType="end"/>
      </w:r>
    </w:p>
    <w:p w14:paraId="37EC24E6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6-1  测试分层与最终结果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tbl_18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31</w:t>
      </w:r>
      <w:r>
        <w:rPr>
          <w:rFonts w:ascii="Times New Roman" w:hAnsi="Times New Roman" w:eastAsia="宋体"/>
          <w:sz w:val="20"/>
        </w:rPr>
        <w:fldChar w:fldCharType="end"/>
      </w:r>
    </w:p>
    <w:p w14:paraId="62ECF138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6-2  答辩前运行检查清单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tbl_19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32</w:t>
      </w:r>
      <w:r>
        <w:rPr>
          <w:rFonts w:ascii="Times New Roman" w:hAnsi="Times New Roman" w:eastAsia="宋体"/>
          <w:sz w:val="20"/>
        </w:rPr>
        <w:fldChar w:fldCharType="end"/>
      </w:r>
    </w:p>
    <w:p w14:paraId="3C2858A7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7-1  后续扩展方向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tbl_20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34</w:t>
      </w:r>
      <w:r>
        <w:rPr>
          <w:rFonts w:ascii="Times New Roman" w:hAnsi="Times New Roman" w:eastAsia="宋体"/>
          <w:sz w:val="20"/>
        </w:rPr>
        <w:fldChar w:fldCharType="end"/>
      </w:r>
    </w:p>
    <w:p w14:paraId="65E376DE">
      <w:pPr>
        <w:pStyle w:val="29"/>
        <w:tabs>
          <w:tab w:val="right" w:leader="dot" w:pos="9343"/>
        </w:tabs>
        <w:spacing w:before="0" w:after="0"/>
      </w:pPr>
      <w:r>
        <w:rPr>
          <w:rFonts w:ascii="Times New Roman" w:hAnsi="Times New Roman" w:eastAsia="宋体"/>
          <w:sz w:val="20"/>
        </w:rPr>
        <w:t>表格 7-2  最终完成度证据</w:t>
      </w:r>
      <w:r>
        <w:tab/>
      </w:r>
      <w:r>
        <w:rPr>
          <w:rFonts w:ascii="Times New Roman" w:hAnsi="Times New Roman" w:eastAsia="宋体"/>
          <w:sz w:val="20"/>
        </w:rPr>
        <w:fldChar w:fldCharType="begin"/>
      </w:r>
      <w:r>
        <w:rPr>
          <w:rFonts w:ascii="Times New Roman" w:hAnsi="Times New Roman" w:eastAsia="宋体"/>
          <w:sz w:val="20"/>
        </w:rPr>
        <w:instrText xml:space="preserve">PAGEREF tbl_21 \h</w:instrText>
      </w:r>
      <w:r>
        <w:rPr>
          <w:rFonts w:ascii="Times New Roman" w:hAnsi="Times New Roman" w:eastAsia="宋体"/>
          <w:sz w:val="20"/>
        </w:rPr>
        <w:fldChar w:fldCharType="separate"/>
      </w:r>
      <w:r>
        <w:rPr>
          <w:rFonts w:ascii="Times New Roman" w:hAnsi="Times New Roman" w:eastAsia="宋体"/>
          <w:sz w:val="20"/>
        </w:rPr>
        <w:t>35</w:t>
      </w:r>
      <w:r>
        <w:rPr>
          <w:rFonts w:ascii="Times New Roman" w:hAnsi="Times New Roman" w:eastAsia="宋体"/>
          <w:sz w:val="20"/>
        </w:rPr>
        <w:fldChar w:fldCharType="end"/>
      </w:r>
    </w:p>
    <w:sectPr>
      <w:footerReference r:id="rId6" w:type="default"/>
      <w:pgSz w:w="11906" w:h="16838"/>
      <w:pgMar w:top="1134" w:right="1134" w:bottom="850" w:left="1417" w:header="850" w:footer="850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46632">
    <w:pPr>
      <w:pStyle w:val="24"/>
      <w:pBdr>
        <w:top w:val="single" w:color="auto" w:sz="4" w:space="1"/>
      </w:pBdr>
      <w:tabs>
        <w:tab w:val="right" w:pos="9343"/>
      </w:tabs>
      <w:spacing w:after="0"/>
      <w:ind w:firstLine="0"/>
      <w:jc w:val="left"/>
      <w:rPr>
        <w:rStyle w:val="36"/>
        <w:rFonts w:hint="eastAsia"/>
      </w:rPr>
    </w:pPr>
    <w:r>
      <w:rPr>
        <w:rFonts w:ascii="Times New Roman" w:hAnsi="Times New Roman" w:eastAsia="宋体"/>
        <w:sz w:val="18"/>
      </w:rPr>
      <w:t>同济大学软件学院</w:t>
    </w:r>
  </w:p>
  <w:p w14:paraId="26A09853">
    <w:pPr>
      <w:pStyle w:val="24"/>
      <w:pBdr>
        <w:top w:val="single" w:color="auto" w:sz="4" w:space="1"/>
      </w:pBdr>
      <w:spacing w:after="0"/>
      <w:ind w:firstLine="0"/>
      <w:rPr>
        <w:rFonts w:hint="eastAsia"/>
      </w:rPr>
    </w:pPr>
    <w:r>
      <w:rPr>
        <w:rFonts w:ascii="Times New Roman" w:hAnsi="Times New Roman" w:eastAsia="宋体"/>
        <w:sz w:val="18"/>
      </w:rPr>
      <w:t>数据库课程设计项目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A8179">
    <w:pPr>
      <w:pStyle w:val="24"/>
      <w:pBdr>
        <w:top w:val="single" w:color="auto" w:sz="4" w:space="1"/>
      </w:pBdr>
      <w:tabs>
        <w:tab w:val="right" w:pos="9343"/>
      </w:tabs>
      <w:spacing w:after="0"/>
      <w:ind w:firstLine="0"/>
      <w:jc w:val="left"/>
    </w:pPr>
    <w:r>
      <w:rPr>
        <w:rFonts w:ascii="Times New Roman" w:hAnsi="Times New Roman" w:eastAsia="宋体"/>
        <w:sz w:val="18"/>
      </w:rPr>
      <w:t>同济大学软件学院</w:t>
    </w:r>
    <w:r>
      <w:tab/>
    </w: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PAGE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</w:p>
  <w:p w14:paraId="085E46EC">
    <w:pPr>
      <w:pStyle w:val="24"/>
      <w:spacing w:after="0"/>
      <w:ind w:firstLine="0"/>
    </w:pPr>
    <w:r>
      <w:rPr>
        <w:rFonts w:ascii="Times New Roman" w:hAnsi="Times New Roman" w:eastAsia="宋体"/>
        <w:sz w:val="18"/>
      </w:rPr>
      <w:t>数据库课程设计项目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DA2B46">
    <w:pPr>
      <w:pStyle w:val="24"/>
      <w:pBdr>
        <w:top w:val="single" w:color="auto" w:sz="4" w:space="1"/>
      </w:pBdr>
      <w:tabs>
        <w:tab w:val="right" w:pos="9343"/>
      </w:tabs>
      <w:spacing w:after="0"/>
      <w:ind w:firstLine="0"/>
      <w:jc w:val="left"/>
    </w:pPr>
    <w:r>
      <w:rPr>
        <w:rFonts w:ascii="Times New Roman" w:hAnsi="Times New Roman" w:eastAsia="宋体"/>
        <w:sz w:val="18"/>
      </w:rPr>
      <w:t>同济大学软件学院</w:t>
    </w:r>
    <w:r>
      <w:tab/>
    </w: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PAGE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</w:p>
  <w:p w14:paraId="3A1C368E">
    <w:pPr>
      <w:pStyle w:val="24"/>
      <w:spacing w:after="0"/>
      <w:ind w:firstLine="0"/>
    </w:pPr>
    <w:r>
      <w:rPr>
        <w:rFonts w:ascii="Times New Roman" w:hAnsi="Times New Roman" w:eastAsia="宋体"/>
        <w:sz w:val="18"/>
      </w:rPr>
      <w:t>数据库课程设计项目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2C745">
    <w:pPr>
      <w:pStyle w:val="25"/>
      <w:pBdr>
        <w:bottom w:val="single" w:color="auto" w:sz="4" w:space="1"/>
      </w:pBdr>
      <w:tabs>
        <w:tab w:val="right" w:pos="9343"/>
      </w:tabs>
      <w:spacing w:after="0"/>
      <w:ind w:firstLine="0"/>
      <w:jc w:val="left"/>
    </w:pPr>
    <w:r>
      <w:rPr>
        <w:rFonts w:ascii="Times New Roman" w:hAnsi="Times New Roman" w:eastAsia="宋体"/>
        <w:sz w:val="18"/>
      </w:rPr>
      <w:t>Steam-数字游戏平台系统</w:t>
    </w:r>
    <w:r>
      <w:rPr>
        <w:rFonts w:ascii="Times New Roman" w:hAnsi="Times New Roman" w:eastAsia="宋体"/>
        <w:sz w:val="18"/>
      </w:rPr>
      <w:tab/>
    </w:r>
    <w:r>
      <w:rPr>
        <w:rFonts w:ascii="Times New Roman" w:hAnsi="Times New Roman" w:eastAsia="宋体"/>
        <w:sz w:val="18"/>
      </w:rPr>
      <w:t>设计与实现文档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1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016A6DF7"/>
    <w:multiLevelType w:val="multilevel"/>
    <w:tmpl w:val="016A6DF7"/>
    <w:lvl w:ilvl="0" w:tentative="0">
      <w:start w:val="1"/>
      <w:numFmt w:val="decimal"/>
      <w:lvlText w:val="第%1章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pStyle w:val="50"/>
      <w:lvlText w:val="%1.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>
    <w:nsid w:val="3A202B8B"/>
    <w:multiLevelType w:val="multilevel"/>
    <w:tmpl w:val="3A202B8B"/>
    <w:lvl w:ilvl="0" w:tentative="0">
      <w:start w:val="1"/>
      <w:numFmt w:val="upperLetter"/>
      <w:pStyle w:val="43"/>
      <w:lvlText w:val="附录%1."/>
      <w:lvlJc w:val="left"/>
      <w:pPr>
        <w:tabs>
          <w:tab w:val="left" w:pos="360"/>
        </w:tabs>
        <w:ind w:left="0" w:firstLine="0"/>
      </w:pPr>
      <w:rPr>
        <w:rFonts w:hint="default" w:ascii="Arial" w:hAnsi="Arial" w:eastAsia="黑体"/>
        <w:b/>
        <w:i w:val="0"/>
        <w:sz w:val="36"/>
      </w:rPr>
    </w:lvl>
    <w:lvl w:ilvl="1" w:tentative="0">
      <w:start w:val="1"/>
      <w:numFmt w:val="decimal"/>
      <w:pStyle w:val="45"/>
      <w:lvlText w:val="%1.%2"/>
      <w:lvlJc w:val="left"/>
      <w:pPr>
        <w:tabs>
          <w:tab w:val="left" w:pos="2700"/>
        </w:tabs>
        <w:ind w:left="1980" w:firstLine="0"/>
      </w:pPr>
      <w:rPr>
        <w:rFonts w:hint="default" w:ascii="Arial" w:hAnsi="Arial" w:eastAsia="黑体"/>
        <w:b/>
        <w:i w:val="0"/>
        <w:sz w:val="32"/>
      </w:rPr>
    </w:lvl>
    <w:lvl w:ilvl="2" w:tentative="0">
      <w:start w:val="1"/>
      <w:numFmt w:val="decimal"/>
      <w:pStyle w:val="46"/>
      <w:lvlText w:val="%1.%2.%3 "/>
      <w:lvlJc w:val="left"/>
      <w:pPr>
        <w:tabs>
          <w:tab w:val="left" w:pos="567"/>
        </w:tabs>
        <w:ind w:left="1021" w:hanging="1021"/>
      </w:pPr>
      <w:rPr>
        <w:rFonts w:hint="default" w:ascii="Arial" w:hAnsi="Arial"/>
        <w:b/>
        <w:i w:val="0"/>
        <w:sz w:val="30"/>
      </w:rPr>
    </w:lvl>
    <w:lvl w:ilvl="3" w:tentative="0">
      <w:start w:val="1"/>
      <w:numFmt w:val="decimal"/>
      <w:pStyle w:val="44"/>
      <w:lvlText w:val="%1.%2.%3.%4 "/>
      <w:lvlJc w:val="left"/>
      <w:pPr>
        <w:tabs>
          <w:tab w:val="left" w:pos="1080"/>
        </w:tabs>
        <w:ind w:left="0" w:firstLine="0"/>
      </w:pPr>
      <w:rPr>
        <w:rFonts w:hint="default" w:ascii="Arial" w:hAnsi="Arial"/>
        <w:b/>
        <w:i w:val="0"/>
        <w:sz w:val="28"/>
      </w:rPr>
    </w:lvl>
    <w:lvl w:ilvl="4" w:tentative="0">
      <w:start w:val="1"/>
      <w:numFmt w:val="decimal"/>
      <w:pStyle w:val="51"/>
      <w:lvlText w:val="%1.%2.%3.%4.%5 "/>
      <w:lvlJc w:val="left"/>
      <w:pPr>
        <w:tabs>
          <w:tab w:val="left" w:pos="1080"/>
        </w:tabs>
        <w:ind w:left="0" w:firstLine="0"/>
      </w:pPr>
      <w:rPr>
        <w:rFonts w:hint="default" w:ascii="Arial" w:hAnsi="Arial"/>
        <w:b/>
        <w:i w:val="0"/>
        <w:sz w:val="24"/>
      </w:rPr>
    </w:lvl>
    <w:lvl w:ilvl="5" w:tentative="0">
      <w:start w:val="1"/>
      <w:numFmt w:val="decimal"/>
      <w:pStyle w:val="52"/>
      <w:lvlText w:val="%1.%2.%3.%4.%5.%6 "/>
      <w:lvlJc w:val="left"/>
      <w:pPr>
        <w:tabs>
          <w:tab w:val="left" w:pos="1440"/>
        </w:tabs>
        <w:ind w:left="0" w:firstLine="0"/>
      </w:pPr>
      <w:rPr>
        <w:rFonts w:hint="default" w:ascii="Arial" w:hAnsi="Arial"/>
        <w:b/>
        <w:i w:val="0"/>
        <w:sz w:val="24"/>
      </w:rPr>
    </w:lvl>
    <w:lvl w:ilvl="6" w:tentative="0">
      <w:start w:val="1"/>
      <w:numFmt w:val="decimal"/>
      <w:pStyle w:val="53"/>
      <w:lvlText w:val="%1.%2.%3.%4.%5.%6.%7."/>
      <w:lvlJc w:val="left"/>
      <w:pPr>
        <w:tabs>
          <w:tab w:val="left" w:pos="1440"/>
        </w:tabs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800"/>
        </w:tabs>
        <w:ind w:left="0" w:firstLine="0"/>
      </w:pPr>
      <w:rPr>
        <w:rFonts w:hint="default" w:ascii="Arial" w:hAnsi="Arial"/>
        <w:b/>
        <w:i w:val="0"/>
        <w:sz w:val="24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2160"/>
        </w:tabs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4">
    <w:nsid w:val="7E252333"/>
    <w:multiLevelType w:val="multilevel"/>
    <w:tmpl w:val="7E252333"/>
    <w:lvl w:ilvl="0" w:tentative="0">
      <w:start w:val="1"/>
      <w:numFmt w:val="decimal"/>
      <w:pStyle w:val="2"/>
      <w:isLgl/>
      <w:lvlText w:val="%1."/>
      <w:lvlJc w:val="left"/>
      <w:pPr>
        <w:tabs>
          <w:tab w:val="left" w:pos="540"/>
        </w:tabs>
        <w:ind w:left="180" w:hanging="180"/>
      </w:pPr>
      <w:rPr>
        <w:rFonts w:hint="default" w:ascii="Arial" w:hAnsi="Arial" w:eastAsia="黑体"/>
        <w:b/>
        <w:i w:val="0"/>
        <w:sz w:val="36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67"/>
        </w:tabs>
        <w:ind w:left="0" w:firstLine="0"/>
      </w:pPr>
      <w:rPr>
        <w:rFonts w:hint="default" w:ascii="Arial" w:hAnsi="Arial" w:eastAsia="黑体"/>
        <w:b/>
        <w:i w:val="0"/>
        <w:sz w:val="32"/>
      </w:rPr>
    </w:lvl>
    <w:lvl w:ilvl="2" w:tentative="0">
      <w:start w:val="1"/>
      <w:numFmt w:val="decimal"/>
      <w:pStyle w:val="4"/>
      <w:isLgl/>
      <w:lvlText w:val="%1.%2.%3 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sz w:val="30"/>
      </w:rPr>
    </w:lvl>
    <w:lvl w:ilvl="3" w:tentative="0">
      <w:start w:val="1"/>
      <w:numFmt w:val="decimal"/>
      <w:pStyle w:val="5"/>
      <w:lvlText w:val="%1.%2.%3.%4 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sz w:val="28"/>
      </w:rPr>
    </w:lvl>
    <w:lvl w:ilvl="4" w:tentative="0">
      <w:start w:val="1"/>
      <w:numFmt w:val="decimal"/>
      <w:pStyle w:val="6"/>
      <w:lvlText w:val="%1.%2.%3.%4.%5 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sz w:val="24"/>
      </w:rPr>
    </w:lvl>
    <w:lvl w:ilvl="5" w:tentative="0">
      <w:start w:val="1"/>
      <w:numFmt w:val="decimal"/>
      <w:pStyle w:val="7"/>
      <w:lvlText w:val="%1.%2.%3.%4.%5.%6 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sz w:val="24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800"/>
        </w:tabs>
        <w:ind w:left="0" w:firstLine="0"/>
      </w:pPr>
      <w:rPr>
        <w:rFonts w:hint="default" w:ascii="Arial" w:hAnsi="Arial"/>
        <w:b/>
        <w:i w:val="0"/>
        <w:sz w:val="24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2160"/>
        </w:tabs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A5C67"/>
    <w:rsid w:val="00002021"/>
    <w:rsid w:val="00002BA8"/>
    <w:rsid w:val="00013047"/>
    <w:rsid w:val="00016CD8"/>
    <w:rsid w:val="000173C6"/>
    <w:rsid w:val="000230A5"/>
    <w:rsid w:val="00032292"/>
    <w:rsid w:val="00032907"/>
    <w:rsid w:val="00043A8C"/>
    <w:rsid w:val="000522CD"/>
    <w:rsid w:val="00055D47"/>
    <w:rsid w:val="0006056F"/>
    <w:rsid w:val="0006470A"/>
    <w:rsid w:val="00067D8E"/>
    <w:rsid w:val="000858B0"/>
    <w:rsid w:val="00090A77"/>
    <w:rsid w:val="000C1CD0"/>
    <w:rsid w:val="000E0E08"/>
    <w:rsid w:val="000E7D3C"/>
    <w:rsid w:val="0011605E"/>
    <w:rsid w:val="00141425"/>
    <w:rsid w:val="00144BE3"/>
    <w:rsid w:val="00147F3C"/>
    <w:rsid w:val="00150655"/>
    <w:rsid w:val="0015185A"/>
    <w:rsid w:val="00160A58"/>
    <w:rsid w:val="0017762F"/>
    <w:rsid w:val="00193B3B"/>
    <w:rsid w:val="001A190E"/>
    <w:rsid w:val="001A466E"/>
    <w:rsid w:val="001A5794"/>
    <w:rsid w:val="001B38C2"/>
    <w:rsid w:val="001C6164"/>
    <w:rsid w:val="001E39D0"/>
    <w:rsid w:val="001F22A4"/>
    <w:rsid w:val="00206852"/>
    <w:rsid w:val="00225CF9"/>
    <w:rsid w:val="00241368"/>
    <w:rsid w:val="002513F1"/>
    <w:rsid w:val="00261166"/>
    <w:rsid w:val="00262820"/>
    <w:rsid w:val="00285288"/>
    <w:rsid w:val="00285622"/>
    <w:rsid w:val="002903AF"/>
    <w:rsid w:val="002B5411"/>
    <w:rsid w:val="002D5EE0"/>
    <w:rsid w:val="002D6C11"/>
    <w:rsid w:val="002E18F5"/>
    <w:rsid w:val="002F51D0"/>
    <w:rsid w:val="00317F01"/>
    <w:rsid w:val="0032005D"/>
    <w:rsid w:val="003368B3"/>
    <w:rsid w:val="00337898"/>
    <w:rsid w:val="00340085"/>
    <w:rsid w:val="00343B29"/>
    <w:rsid w:val="00351975"/>
    <w:rsid w:val="003601B4"/>
    <w:rsid w:val="00367331"/>
    <w:rsid w:val="00385E55"/>
    <w:rsid w:val="00387A70"/>
    <w:rsid w:val="00394CA9"/>
    <w:rsid w:val="003A5C67"/>
    <w:rsid w:val="003C4809"/>
    <w:rsid w:val="003D40CD"/>
    <w:rsid w:val="003D45F0"/>
    <w:rsid w:val="003F1DD5"/>
    <w:rsid w:val="003F2DC0"/>
    <w:rsid w:val="003F6E23"/>
    <w:rsid w:val="003F7C8F"/>
    <w:rsid w:val="004001C7"/>
    <w:rsid w:val="00402FB0"/>
    <w:rsid w:val="00412260"/>
    <w:rsid w:val="00412D29"/>
    <w:rsid w:val="00431C95"/>
    <w:rsid w:val="00441A8F"/>
    <w:rsid w:val="004538F0"/>
    <w:rsid w:val="00465AC1"/>
    <w:rsid w:val="00472CDF"/>
    <w:rsid w:val="004804D8"/>
    <w:rsid w:val="004843F5"/>
    <w:rsid w:val="00487FF5"/>
    <w:rsid w:val="00490477"/>
    <w:rsid w:val="00490929"/>
    <w:rsid w:val="004922A2"/>
    <w:rsid w:val="00496842"/>
    <w:rsid w:val="004C0736"/>
    <w:rsid w:val="004D5334"/>
    <w:rsid w:val="004D639C"/>
    <w:rsid w:val="004E2F5F"/>
    <w:rsid w:val="004E391A"/>
    <w:rsid w:val="004E3D5D"/>
    <w:rsid w:val="004E7D3E"/>
    <w:rsid w:val="004F7CB8"/>
    <w:rsid w:val="00504B46"/>
    <w:rsid w:val="00515254"/>
    <w:rsid w:val="00530BF1"/>
    <w:rsid w:val="00531262"/>
    <w:rsid w:val="005351F1"/>
    <w:rsid w:val="00543036"/>
    <w:rsid w:val="00543526"/>
    <w:rsid w:val="00554F16"/>
    <w:rsid w:val="005563A6"/>
    <w:rsid w:val="00582254"/>
    <w:rsid w:val="0058478D"/>
    <w:rsid w:val="0058628E"/>
    <w:rsid w:val="005915FD"/>
    <w:rsid w:val="00595E7A"/>
    <w:rsid w:val="005A1500"/>
    <w:rsid w:val="005A415D"/>
    <w:rsid w:val="005B0CF1"/>
    <w:rsid w:val="005C4A58"/>
    <w:rsid w:val="005D3701"/>
    <w:rsid w:val="005D6A17"/>
    <w:rsid w:val="005D6C5C"/>
    <w:rsid w:val="005D72AA"/>
    <w:rsid w:val="005E500C"/>
    <w:rsid w:val="005E6518"/>
    <w:rsid w:val="005F69E9"/>
    <w:rsid w:val="00601DDE"/>
    <w:rsid w:val="00610227"/>
    <w:rsid w:val="00610878"/>
    <w:rsid w:val="006215C1"/>
    <w:rsid w:val="006223ED"/>
    <w:rsid w:val="006335D9"/>
    <w:rsid w:val="006465B5"/>
    <w:rsid w:val="00650687"/>
    <w:rsid w:val="00652612"/>
    <w:rsid w:val="006725C9"/>
    <w:rsid w:val="00674C31"/>
    <w:rsid w:val="00675CC5"/>
    <w:rsid w:val="006763BE"/>
    <w:rsid w:val="00677306"/>
    <w:rsid w:val="006931A2"/>
    <w:rsid w:val="006951E5"/>
    <w:rsid w:val="006C37C5"/>
    <w:rsid w:val="006D180D"/>
    <w:rsid w:val="006D2955"/>
    <w:rsid w:val="006D4FA3"/>
    <w:rsid w:val="006F3B99"/>
    <w:rsid w:val="00717E39"/>
    <w:rsid w:val="00720050"/>
    <w:rsid w:val="00723D9B"/>
    <w:rsid w:val="00724A12"/>
    <w:rsid w:val="007326E1"/>
    <w:rsid w:val="00733267"/>
    <w:rsid w:val="00736C4B"/>
    <w:rsid w:val="007413C6"/>
    <w:rsid w:val="00743A6B"/>
    <w:rsid w:val="0075185D"/>
    <w:rsid w:val="00764297"/>
    <w:rsid w:val="007827AA"/>
    <w:rsid w:val="00783763"/>
    <w:rsid w:val="007A0374"/>
    <w:rsid w:val="007A2C26"/>
    <w:rsid w:val="007A363C"/>
    <w:rsid w:val="007A4FE8"/>
    <w:rsid w:val="007D6354"/>
    <w:rsid w:val="007F3847"/>
    <w:rsid w:val="007F582D"/>
    <w:rsid w:val="008074C5"/>
    <w:rsid w:val="00807B6A"/>
    <w:rsid w:val="00813AEE"/>
    <w:rsid w:val="00814DE8"/>
    <w:rsid w:val="008416C4"/>
    <w:rsid w:val="00852C67"/>
    <w:rsid w:val="0086229B"/>
    <w:rsid w:val="00863FFB"/>
    <w:rsid w:val="00864275"/>
    <w:rsid w:val="00866FA1"/>
    <w:rsid w:val="008743F7"/>
    <w:rsid w:val="008765AC"/>
    <w:rsid w:val="0088045A"/>
    <w:rsid w:val="00890C20"/>
    <w:rsid w:val="008A5702"/>
    <w:rsid w:val="008B05A7"/>
    <w:rsid w:val="008B4B38"/>
    <w:rsid w:val="008B6E59"/>
    <w:rsid w:val="008D127B"/>
    <w:rsid w:val="008D72D7"/>
    <w:rsid w:val="008E52CE"/>
    <w:rsid w:val="008F2EE1"/>
    <w:rsid w:val="008F7002"/>
    <w:rsid w:val="0091609A"/>
    <w:rsid w:val="00917F00"/>
    <w:rsid w:val="00922507"/>
    <w:rsid w:val="00930B55"/>
    <w:rsid w:val="00931A17"/>
    <w:rsid w:val="00936D7F"/>
    <w:rsid w:val="00964D41"/>
    <w:rsid w:val="0096763D"/>
    <w:rsid w:val="00972ABD"/>
    <w:rsid w:val="009742E0"/>
    <w:rsid w:val="009757A4"/>
    <w:rsid w:val="00980D35"/>
    <w:rsid w:val="00987B13"/>
    <w:rsid w:val="00990C51"/>
    <w:rsid w:val="009A37D2"/>
    <w:rsid w:val="009D122B"/>
    <w:rsid w:val="009D2EF0"/>
    <w:rsid w:val="009E4656"/>
    <w:rsid w:val="009F63B8"/>
    <w:rsid w:val="009F7DDD"/>
    <w:rsid w:val="00A15189"/>
    <w:rsid w:val="00A20470"/>
    <w:rsid w:val="00A230AE"/>
    <w:rsid w:val="00A37020"/>
    <w:rsid w:val="00A37F2D"/>
    <w:rsid w:val="00A468F7"/>
    <w:rsid w:val="00A52B6D"/>
    <w:rsid w:val="00A530D7"/>
    <w:rsid w:val="00A5640D"/>
    <w:rsid w:val="00A72416"/>
    <w:rsid w:val="00A7429A"/>
    <w:rsid w:val="00A76CC3"/>
    <w:rsid w:val="00A95142"/>
    <w:rsid w:val="00A97CEE"/>
    <w:rsid w:val="00AA66F5"/>
    <w:rsid w:val="00AD6C6E"/>
    <w:rsid w:val="00AE445D"/>
    <w:rsid w:val="00AE6842"/>
    <w:rsid w:val="00B0008E"/>
    <w:rsid w:val="00B0365F"/>
    <w:rsid w:val="00B14BF5"/>
    <w:rsid w:val="00B1683D"/>
    <w:rsid w:val="00B2097D"/>
    <w:rsid w:val="00B3018A"/>
    <w:rsid w:val="00B32D8A"/>
    <w:rsid w:val="00B3523F"/>
    <w:rsid w:val="00B447E0"/>
    <w:rsid w:val="00B565E1"/>
    <w:rsid w:val="00B56C99"/>
    <w:rsid w:val="00B76235"/>
    <w:rsid w:val="00B927C2"/>
    <w:rsid w:val="00BA5B89"/>
    <w:rsid w:val="00BB5DEE"/>
    <w:rsid w:val="00BC1945"/>
    <w:rsid w:val="00BD39EE"/>
    <w:rsid w:val="00BD6F23"/>
    <w:rsid w:val="00BE397B"/>
    <w:rsid w:val="00BF0860"/>
    <w:rsid w:val="00BF0EB0"/>
    <w:rsid w:val="00BF1956"/>
    <w:rsid w:val="00BF1F75"/>
    <w:rsid w:val="00BF3233"/>
    <w:rsid w:val="00C11362"/>
    <w:rsid w:val="00C1273E"/>
    <w:rsid w:val="00C12A3E"/>
    <w:rsid w:val="00C17E24"/>
    <w:rsid w:val="00C305F3"/>
    <w:rsid w:val="00C32F12"/>
    <w:rsid w:val="00C52646"/>
    <w:rsid w:val="00C54AB1"/>
    <w:rsid w:val="00C56348"/>
    <w:rsid w:val="00C568AA"/>
    <w:rsid w:val="00C60D77"/>
    <w:rsid w:val="00C64099"/>
    <w:rsid w:val="00C708BF"/>
    <w:rsid w:val="00C74802"/>
    <w:rsid w:val="00C75EFD"/>
    <w:rsid w:val="00C86680"/>
    <w:rsid w:val="00CA2E40"/>
    <w:rsid w:val="00CA5859"/>
    <w:rsid w:val="00CC195B"/>
    <w:rsid w:val="00CC6A31"/>
    <w:rsid w:val="00CD5D58"/>
    <w:rsid w:val="00CE42B1"/>
    <w:rsid w:val="00CE5532"/>
    <w:rsid w:val="00D02AF9"/>
    <w:rsid w:val="00D148C4"/>
    <w:rsid w:val="00D45446"/>
    <w:rsid w:val="00D46180"/>
    <w:rsid w:val="00D51D90"/>
    <w:rsid w:val="00D54C8D"/>
    <w:rsid w:val="00D71003"/>
    <w:rsid w:val="00D86A17"/>
    <w:rsid w:val="00D87E8B"/>
    <w:rsid w:val="00DB0CCB"/>
    <w:rsid w:val="00DC6603"/>
    <w:rsid w:val="00DF41D2"/>
    <w:rsid w:val="00E0656C"/>
    <w:rsid w:val="00E11ADA"/>
    <w:rsid w:val="00E1240E"/>
    <w:rsid w:val="00E12EE6"/>
    <w:rsid w:val="00E14741"/>
    <w:rsid w:val="00E250D1"/>
    <w:rsid w:val="00E25358"/>
    <w:rsid w:val="00E35746"/>
    <w:rsid w:val="00E61E7D"/>
    <w:rsid w:val="00E72E14"/>
    <w:rsid w:val="00E840B5"/>
    <w:rsid w:val="00E854E0"/>
    <w:rsid w:val="00E92C54"/>
    <w:rsid w:val="00EA0793"/>
    <w:rsid w:val="00EA77D8"/>
    <w:rsid w:val="00EB3A9B"/>
    <w:rsid w:val="00EB7677"/>
    <w:rsid w:val="00EB7F3A"/>
    <w:rsid w:val="00EC4BB7"/>
    <w:rsid w:val="00EC5D72"/>
    <w:rsid w:val="00ED0F54"/>
    <w:rsid w:val="00ED2D5D"/>
    <w:rsid w:val="00ED4777"/>
    <w:rsid w:val="00EF061C"/>
    <w:rsid w:val="00EF6B57"/>
    <w:rsid w:val="00F0033A"/>
    <w:rsid w:val="00F121F7"/>
    <w:rsid w:val="00F1302A"/>
    <w:rsid w:val="00F343B1"/>
    <w:rsid w:val="00F363C8"/>
    <w:rsid w:val="00F46F8B"/>
    <w:rsid w:val="00F47842"/>
    <w:rsid w:val="00F47E66"/>
    <w:rsid w:val="00F56E09"/>
    <w:rsid w:val="00F65F0B"/>
    <w:rsid w:val="00F87970"/>
    <w:rsid w:val="00F910B9"/>
    <w:rsid w:val="00F96E06"/>
    <w:rsid w:val="00FB531C"/>
    <w:rsid w:val="00FB7C4B"/>
    <w:rsid w:val="00FC5FEC"/>
    <w:rsid w:val="00FF4FAA"/>
    <w:rsid w:val="4084317D"/>
    <w:rsid w:val="657548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iPriority="99" w:semiHidden="0" w:name="List Bullet"/>
    <w:lsdException w:uiPriority="99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spacing w:before="240" w:after="64"/>
      <w:outlineLvl w:val="0"/>
    </w:pPr>
    <w:rPr>
      <w:b/>
      <w:bCs/>
      <w:kern w:val="44"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40" w:after="64"/>
      <w:outlineLvl w:val="1"/>
    </w:pPr>
    <w:rPr>
      <w:rFonts w:ascii="Arial" w:hAnsi="Arial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40" w:after="64"/>
      <w:outlineLvl w:val="2"/>
    </w:pPr>
    <w:rPr>
      <w:b/>
      <w:bCs/>
      <w:color w:val="000000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40" w:after="64"/>
      <w:outlineLvl w:val="3"/>
    </w:pPr>
    <w:rPr>
      <w:rFonts w:ascii="Arial" w:hAnsi="Arial"/>
      <w:b/>
      <w:bCs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120" w:after="64" w:line="360" w:lineRule="auto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/>
      <w:b/>
      <w:szCs w:val="21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</w:rPr>
  </w:style>
  <w:style w:type="character" w:default="1" w:styleId="34">
    <w:name w:val="Default Paragraph Font"/>
    <w:semiHidden/>
    <w:uiPriority w:val="0"/>
  </w:style>
  <w:style w:type="table" w:default="1" w:styleId="3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uiPriority w:val="0"/>
    <w:pPr>
      <w:ind w:left="1440"/>
    </w:pPr>
    <w:rPr>
      <w:rFonts w:ascii="Times New Roman"/>
      <w:sz w:val="18"/>
      <w:szCs w:val="18"/>
    </w:rPr>
  </w:style>
  <w:style w:type="paragraph" w:styleId="12">
    <w:name w:val="List Number"/>
    <w:unhideWhenUsed/>
    <w:uiPriority w:val="99"/>
    <w:pPr>
      <w:numPr>
        <w:ilvl w:val="0"/>
        <w:numId w:val="2"/>
      </w:numPr>
      <w:spacing w:line="360" w:lineRule="auto"/>
      <w:ind w:left="420" w:firstLine="0"/>
      <w:contextualSpacing/>
    </w:pPr>
    <w:rPr>
      <w:rFonts w:ascii="Times New Roman" w:hAnsi="Times New Roman" w:eastAsia="宋体" w:cs="Times New Roman"/>
      <w:sz w:val="21"/>
    </w:rPr>
  </w:style>
  <w:style w:type="paragraph" w:styleId="13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4">
    <w:name w:val="List Bullet"/>
    <w:unhideWhenUsed/>
    <w:uiPriority w:val="99"/>
    <w:pPr>
      <w:numPr>
        <w:ilvl w:val="0"/>
        <w:numId w:val="3"/>
      </w:numPr>
      <w:spacing w:line="360" w:lineRule="auto"/>
      <w:ind w:left="420" w:firstLine="0"/>
      <w:contextualSpacing/>
    </w:pPr>
    <w:rPr>
      <w:rFonts w:ascii="Times New Roman" w:hAnsi="Times New Roman" w:eastAsia="宋体" w:cs="Times New Roman"/>
      <w:sz w:val="21"/>
    </w:rPr>
  </w:style>
  <w:style w:type="paragraph" w:styleId="15">
    <w:name w:val="Document Map"/>
    <w:basedOn w:val="1"/>
    <w:semiHidden/>
    <w:uiPriority w:val="0"/>
    <w:pPr>
      <w:shd w:val="clear" w:color="auto" w:fill="000080"/>
    </w:pPr>
  </w:style>
  <w:style w:type="paragraph" w:styleId="16">
    <w:name w:val="annotation text"/>
    <w:basedOn w:val="1"/>
    <w:semiHidden/>
    <w:uiPriority w:val="0"/>
  </w:style>
  <w:style w:type="paragraph" w:styleId="17">
    <w:name w:val="Salutation"/>
    <w:basedOn w:val="1"/>
    <w:next w:val="1"/>
    <w:uiPriority w:val="0"/>
    <w:pPr>
      <w:autoSpaceDE/>
      <w:autoSpaceDN/>
      <w:adjustRightInd/>
      <w:jc w:val="both"/>
    </w:pPr>
    <w:rPr>
      <w:rFonts w:ascii="仿宋_GB2312" w:eastAsia="仿宋_GB2312"/>
      <w:b/>
      <w:kern w:val="2"/>
      <w:sz w:val="28"/>
      <w:szCs w:val="20"/>
    </w:rPr>
  </w:style>
  <w:style w:type="paragraph" w:styleId="18">
    <w:name w:val="Body Text Indent"/>
    <w:basedOn w:val="1"/>
    <w:uiPriority w:val="0"/>
    <w:pPr>
      <w:autoSpaceDE/>
      <w:autoSpaceDN/>
      <w:adjustRightInd/>
      <w:spacing w:line="400" w:lineRule="exact"/>
      <w:ind w:firstLine="420" w:firstLineChars="200"/>
      <w:jc w:val="both"/>
    </w:pPr>
    <w:rPr>
      <w:rFonts w:hAnsi="宋体"/>
      <w:kern w:val="2"/>
      <w:sz w:val="21"/>
    </w:rPr>
  </w:style>
  <w:style w:type="paragraph" w:styleId="19">
    <w:name w:val="toc 5"/>
    <w:basedOn w:val="1"/>
    <w:next w:val="1"/>
    <w:semiHidden/>
    <w:uiPriority w:val="0"/>
    <w:pPr>
      <w:ind w:left="960"/>
    </w:pPr>
    <w:rPr>
      <w:rFonts w:ascii="Times New Roman"/>
      <w:sz w:val="18"/>
      <w:szCs w:val="18"/>
    </w:rPr>
  </w:style>
  <w:style w:type="paragraph" w:styleId="20">
    <w:name w:val="toc 3"/>
    <w:basedOn w:val="1"/>
    <w:next w:val="1"/>
    <w:uiPriority w:val="39"/>
    <w:pPr>
      <w:ind w:left="480"/>
    </w:pPr>
    <w:rPr>
      <w:rFonts w:ascii="Times New Roman"/>
      <w:i/>
      <w:iCs/>
      <w:sz w:val="20"/>
      <w:szCs w:val="20"/>
    </w:rPr>
  </w:style>
  <w:style w:type="paragraph" w:styleId="21">
    <w:name w:val="toc 8"/>
    <w:basedOn w:val="1"/>
    <w:next w:val="1"/>
    <w:semiHidden/>
    <w:uiPriority w:val="0"/>
    <w:pPr>
      <w:ind w:left="1680"/>
    </w:pPr>
    <w:rPr>
      <w:rFonts w:ascii="Times New Roman"/>
      <w:sz w:val="18"/>
      <w:szCs w:val="18"/>
    </w:rPr>
  </w:style>
  <w:style w:type="paragraph" w:styleId="22">
    <w:name w:val="Body Text Indent 2"/>
    <w:basedOn w:val="1"/>
    <w:uiPriority w:val="0"/>
    <w:pPr>
      <w:ind w:firstLine="420"/>
    </w:pPr>
    <w:rPr>
      <w:sz w:val="21"/>
    </w:r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6">
    <w:name w:val="toc 1"/>
    <w:basedOn w:val="1"/>
    <w:next w:val="1"/>
    <w:uiPriority w:val="39"/>
    <w:pPr>
      <w:tabs>
        <w:tab w:val="left" w:pos="510"/>
        <w:tab w:val="right" w:leader="dot" w:pos="9344"/>
      </w:tabs>
      <w:spacing w:before="120" w:after="120"/>
    </w:pPr>
    <w:rPr>
      <w:rFonts w:ascii="Times New Roman"/>
      <w:b/>
      <w:bCs/>
      <w:caps/>
      <w:sz w:val="20"/>
      <w:szCs w:val="20"/>
    </w:rPr>
  </w:style>
  <w:style w:type="paragraph" w:styleId="27">
    <w:name w:val="toc 4"/>
    <w:basedOn w:val="1"/>
    <w:next w:val="1"/>
    <w:semiHidden/>
    <w:uiPriority w:val="0"/>
    <w:pPr>
      <w:ind w:left="720"/>
    </w:pPr>
    <w:rPr>
      <w:rFonts w:ascii="Times New Roman"/>
      <w:sz w:val="18"/>
      <w:szCs w:val="18"/>
    </w:rPr>
  </w:style>
  <w:style w:type="paragraph" w:styleId="28">
    <w:name w:val="toc 6"/>
    <w:basedOn w:val="1"/>
    <w:next w:val="1"/>
    <w:semiHidden/>
    <w:uiPriority w:val="0"/>
    <w:pPr>
      <w:ind w:left="1200"/>
    </w:pPr>
    <w:rPr>
      <w:rFonts w:ascii="Times New Roman"/>
      <w:sz w:val="18"/>
      <w:szCs w:val="18"/>
    </w:rPr>
  </w:style>
  <w:style w:type="paragraph" w:styleId="29">
    <w:name w:val="table of figures"/>
    <w:basedOn w:val="1"/>
    <w:next w:val="1"/>
    <w:semiHidden/>
    <w:uiPriority w:val="0"/>
    <w:pPr>
      <w:ind w:left="480" w:hanging="480"/>
    </w:pPr>
    <w:rPr>
      <w:rFonts w:ascii="Times New Roman"/>
      <w:smallCaps/>
      <w:sz w:val="20"/>
      <w:szCs w:val="20"/>
    </w:rPr>
  </w:style>
  <w:style w:type="paragraph" w:styleId="30">
    <w:name w:val="toc 2"/>
    <w:basedOn w:val="1"/>
    <w:next w:val="1"/>
    <w:uiPriority w:val="39"/>
    <w:pPr>
      <w:ind w:left="240"/>
    </w:pPr>
    <w:rPr>
      <w:rFonts w:ascii="Times New Roman"/>
      <w:smallCaps/>
      <w:sz w:val="20"/>
      <w:szCs w:val="20"/>
    </w:rPr>
  </w:style>
  <w:style w:type="paragraph" w:styleId="31">
    <w:name w:val="toc 9"/>
    <w:basedOn w:val="1"/>
    <w:next w:val="1"/>
    <w:semiHidden/>
    <w:uiPriority w:val="0"/>
    <w:pPr>
      <w:ind w:left="1920"/>
    </w:pPr>
    <w:rPr>
      <w:rFonts w:ascii="Times New Roman"/>
      <w:sz w:val="18"/>
      <w:szCs w:val="18"/>
    </w:rPr>
  </w:style>
  <w:style w:type="paragraph" w:styleId="32">
    <w:name w:val="annotation subject"/>
    <w:basedOn w:val="16"/>
    <w:next w:val="16"/>
    <w:semiHidden/>
    <w:uiPriority w:val="0"/>
    <w:rPr>
      <w:b/>
      <w:bCs/>
    </w:rPr>
  </w:style>
  <w:style w:type="character" w:styleId="35">
    <w:name w:val="Strong"/>
    <w:qFormat/>
    <w:uiPriority w:val="0"/>
    <w:rPr>
      <w:b/>
      <w:bCs/>
    </w:rPr>
  </w:style>
  <w:style w:type="character" w:styleId="36">
    <w:name w:val="page number"/>
    <w:basedOn w:val="34"/>
    <w:uiPriority w:val="0"/>
  </w:style>
  <w:style w:type="character" w:styleId="37">
    <w:name w:val="FollowedHyperlink"/>
    <w:uiPriority w:val="0"/>
    <w:rPr>
      <w:color w:val="800080"/>
      <w:u w:val="single"/>
    </w:rPr>
  </w:style>
  <w:style w:type="character" w:styleId="38">
    <w:name w:val="Hyperlink"/>
    <w:uiPriority w:val="99"/>
    <w:rPr>
      <w:color w:val="3D362B"/>
      <w:u w:val="single"/>
    </w:rPr>
  </w:style>
  <w:style w:type="character" w:styleId="39">
    <w:name w:val="annotation reference"/>
    <w:semiHidden/>
    <w:uiPriority w:val="0"/>
    <w:rPr>
      <w:sz w:val="21"/>
      <w:szCs w:val="21"/>
    </w:rPr>
  </w:style>
  <w:style w:type="paragraph" w:customStyle="1" w:styleId="40">
    <w:name w:val="文档正文"/>
    <w:basedOn w:val="1"/>
    <w:uiPriority w:val="0"/>
    <w:pPr>
      <w:spacing w:line="360" w:lineRule="auto"/>
      <w:ind w:firstLine="200" w:firstLineChars="200"/>
      <w:jc w:val="both"/>
    </w:pPr>
    <w:rPr>
      <w:rFonts w:ascii="Times New Roman" w:cs="宋体"/>
      <w:sz w:val="21"/>
      <w:szCs w:val="21"/>
    </w:rPr>
  </w:style>
  <w:style w:type="character" w:customStyle="1" w:styleId="41">
    <w:name w:val="文档正文 Char1"/>
    <w:uiPriority w:val="0"/>
    <w:rPr>
      <w:rFonts w:eastAsia="宋体" w:cs="宋体"/>
      <w:sz w:val="21"/>
      <w:szCs w:val="21"/>
      <w:lang w:val="en-US" w:eastAsia="zh-CN" w:bidi="ar-SA"/>
    </w:rPr>
  </w:style>
  <w:style w:type="paragraph" w:customStyle="1" w:styleId="42">
    <w:name w:val="封面标题"/>
    <w:basedOn w:val="1"/>
    <w:next w:val="40"/>
    <w:uiPriority w:val="0"/>
    <w:pPr>
      <w:spacing w:line="360" w:lineRule="auto"/>
      <w:ind w:firstLine="420"/>
      <w:jc w:val="center"/>
    </w:pPr>
    <w:rPr>
      <w:rFonts w:ascii="黑体" w:eastAsia="黑体"/>
      <w:b/>
      <w:sz w:val="48"/>
      <w:szCs w:val="48"/>
    </w:rPr>
  </w:style>
  <w:style w:type="paragraph" w:customStyle="1" w:styleId="43">
    <w:name w:val="附录"/>
    <w:basedOn w:val="1"/>
    <w:next w:val="1"/>
    <w:uiPriority w:val="0"/>
    <w:pPr>
      <w:keepNext/>
      <w:keepLines/>
      <w:pageBreakBefore/>
      <w:numPr>
        <w:ilvl w:val="0"/>
        <w:numId w:val="4"/>
      </w:numPr>
      <w:spacing w:before="64" w:after="240"/>
      <w:outlineLvl w:val="0"/>
    </w:pPr>
    <w:rPr>
      <w:b/>
      <w:sz w:val="30"/>
    </w:rPr>
  </w:style>
  <w:style w:type="paragraph" w:customStyle="1" w:styleId="44">
    <w:name w:val="附录A.1.1.1"/>
    <w:basedOn w:val="5"/>
    <w:next w:val="40"/>
    <w:uiPriority w:val="0"/>
    <w:pPr>
      <w:numPr>
        <w:ilvl w:val="3"/>
        <w:numId w:val="4"/>
      </w:numPr>
      <w:tabs>
        <w:tab w:val="clear" w:pos="567"/>
      </w:tabs>
    </w:pPr>
  </w:style>
  <w:style w:type="paragraph" w:customStyle="1" w:styleId="45">
    <w:name w:val="附录A.1"/>
    <w:basedOn w:val="3"/>
    <w:next w:val="40"/>
    <w:uiPriority w:val="0"/>
    <w:pPr>
      <w:numPr>
        <w:ilvl w:val="1"/>
        <w:numId w:val="4"/>
      </w:numPr>
      <w:tabs>
        <w:tab w:val="left" w:pos="360"/>
        <w:tab w:val="clear" w:pos="2700"/>
        <w:tab w:val="clear" w:pos="567"/>
      </w:tabs>
      <w:ind w:left="0"/>
    </w:pPr>
  </w:style>
  <w:style w:type="paragraph" w:customStyle="1" w:styleId="46">
    <w:name w:val="附录A.1.1"/>
    <w:basedOn w:val="45"/>
    <w:next w:val="40"/>
    <w:uiPriority w:val="0"/>
    <w:pPr>
      <w:numPr>
        <w:ilvl w:val="2"/>
        <w:numId w:val="4"/>
      </w:numPr>
    </w:pPr>
  </w:style>
  <w:style w:type="paragraph" w:customStyle="1" w:styleId="47">
    <w:name w:val="封面副标题"/>
    <w:basedOn w:val="1"/>
    <w:next w:val="40"/>
    <w:uiPriority w:val="0"/>
    <w:pPr>
      <w:spacing w:line="360" w:lineRule="auto"/>
      <w:jc w:val="center"/>
    </w:pPr>
    <w:rPr>
      <w:rFonts w:eastAsia="黑体"/>
      <w:b/>
      <w:sz w:val="36"/>
    </w:rPr>
  </w:style>
  <w:style w:type="paragraph" w:customStyle="1" w:styleId="48">
    <w:name w:val="封面更小标题"/>
    <w:basedOn w:val="47"/>
    <w:next w:val="40"/>
    <w:uiPriority w:val="0"/>
    <w:rPr>
      <w:sz w:val="30"/>
    </w:rPr>
  </w:style>
  <w:style w:type="character" w:customStyle="1" w:styleId="49">
    <w:name w:val="style11"/>
    <w:uiPriority w:val="0"/>
    <w:rPr>
      <w:rFonts w:hint="eastAsia" w:ascii="新宋体" w:hAnsi="新宋体" w:eastAsia="新宋体"/>
      <w:color w:val="666666"/>
      <w:sz w:val="20"/>
      <w:szCs w:val="20"/>
    </w:rPr>
  </w:style>
  <w:style w:type="paragraph" w:customStyle="1" w:styleId="50">
    <w:name w:val="标5"/>
    <w:basedOn w:val="1"/>
    <w:semiHidden/>
    <w:uiPriority w:val="0"/>
    <w:pPr>
      <w:numPr>
        <w:ilvl w:val="4"/>
        <w:numId w:val="5"/>
      </w:numPr>
    </w:pPr>
    <w:rPr>
      <w:b/>
    </w:rPr>
  </w:style>
  <w:style w:type="paragraph" w:customStyle="1" w:styleId="51">
    <w:name w:val="附录A.1.1.1.1"/>
    <w:basedOn w:val="6"/>
    <w:next w:val="40"/>
    <w:uiPriority w:val="0"/>
    <w:pPr>
      <w:numPr>
        <w:ilvl w:val="4"/>
        <w:numId w:val="4"/>
      </w:numPr>
      <w:tabs>
        <w:tab w:val="clear" w:pos="567"/>
      </w:tabs>
    </w:pPr>
  </w:style>
  <w:style w:type="paragraph" w:customStyle="1" w:styleId="52">
    <w:name w:val="附录A.1.1.1.1.1"/>
    <w:basedOn w:val="7"/>
    <w:next w:val="40"/>
    <w:uiPriority w:val="0"/>
    <w:pPr>
      <w:numPr>
        <w:ilvl w:val="5"/>
        <w:numId w:val="4"/>
      </w:numPr>
      <w:tabs>
        <w:tab w:val="clear" w:pos="567"/>
      </w:tabs>
    </w:pPr>
  </w:style>
  <w:style w:type="paragraph" w:customStyle="1" w:styleId="53">
    <w:name w:val="附录A.1.1.1.1.1.1"/>
    <w:basedOn w:val="8"/>
    <w:next w:val="40"/>
    <w:uiPriority w:val="0"/>
    <w:pPr>
      <w:numPr>
        <w:ilvl w:val="6"/>
        <w:numId w:val="4"/>
      </w:numPr>
      <w:tabs>
        <w:tab w:val="clear" w:pos="567"/>
      </w:tabs>
    </w:pPr>
  </w:style>
  <w:style w:type="character" w:customStyle="1" w:styleId="54">
    <w:name w:val="myp11"/>
    <w:basedOn w:val="34"/>
    <w:uiPriority w:val="0"/>
  </w:style>
  <w:style w:type="character" w:customStyle="1" w:styleId="55">
    <w:name w:val="文档正文 Char"/>
    <w:uiPriority w:val="0"/>
    <w:rPr>
      <w:rFonts w:eastAsia="宋体" w:cs="宋体"/>
      <w:sz w:val="21"/>
      <w:szCs w:val="21"/>
      <w:lang w:val="en-US" w:eastAsia="zh-CN" w:bidi="ar-SA"/>
    </w:rPr>
  </w:style>
  <w:style w:type="paragraph" w:customStyle="1" w:styleId="56">
    <w:name w:val="样式 文档正文 + 加粗 首行缩进:  2 字符"/>
    <w:basedOn w:val="40"/>
    <w:uiPriority w:val="0"/>
    <w:pPr>
      <w:outlineLvl w:val="2"/>
    </w:pPr>
    <w:rPr>
      <w:b/>
      <w:bCs/>
      <w:szCs w:val="20"/>
    </w:rPr>
  </w:style>
  <w:style w:type="paragraph" w:customStyle="1" w:styleId="57">
    <w:name w:val="样式 样式 文档正文 + 加粗 首行缩进:  2 字符 + 首行缩进:  2 字符"/>
    <w:basedOn w:val="56"/>
    <w:uiPriority w:val="0"/>
    <w:pPr>
      <w:outlineLvl w:val="3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bab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bab.dot</Template>
  <Company>School of Software Engineering,Tongji University</Company>
  <Pages>40</Pages>
  <Words>254</Words>
  <Characters>1450</Characters>
  <Lines>12</Lines>
  <Paragraphs>3</Paragraphs>
  <TotalTime>0</TotalTime>
  <ScaleCrop>false</ScaleCrop>
  <LinksUpToDate>false</LinksUpToDate>
  <CharactersWithSpaces>1701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2007-01-10T15:38:00Z</dcterms:created>
  <dc:creator>Steam-数字游戏平台课程设计小组</dc:creator>
  <dc:description>依据课程模板、现有源码、Oracle 数据库与云端部署实测编制</dc:description>
  <cp:lastModifiedBy>马祥珲</cp:lastModifiedBy>
  <dcterms:modified xsi:type="dcterms:W3CDTF">2026-09-11T09:36:52Z</dcterms:modified>
  <dc:subject>同济大学软件学院数据库课程设计</dc:subject>
  <dc:title>Steam-数字游戏平台系统设计与实现文档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157A90EA23454A2CA3B5063392095D1D_13</vt:lpwstr>
  </property>
</Properties>
</file>