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C7887">
      <w:bookmarkStart w:id="40" w:name="_GoBack"/>
      <w:bookmarkEnd w:id="40"/>
    </w:p>
    <w:p w14:paraId="100234A6"/>
    <w:p w14:paraId="5F1141F3"/>
    <w:p w14:paraId="27936DD4"/>
    <w:p w14:paraId="02672E3B"/>
    <w:p w14:paraId="69F5DA78"/>
    <w:p w14:paraId="7EF4CCBF"/>
    <w:p w14:paraId="5FC55979">
      <w:pPr>
        <w:pStyle w:val="42"/>
      </w:pPr>
      <w:r>
        <w:t>Steam-数字游戏平台系统</w:t>
      </w:r>
    </w:p>
    <w:p w14:paraId="5092352F">
      <w:pPr>
        <w:pStyle w:val="47"/>
      </w:pPr>
      <w:r>
        <w:t>系统需求分析文档</w:t>
      </w:r>
    </w:p>
    <w:p w14:paraId="4D659C4A">
      <w:pPr>
        <w:pStyle w:val="47"/>
      </w:pPr>
    </w:p>
    <w:p w14:paraId="2280F6DC">
      <w:pPr>
        <w:pStyle w:val="47"/>
      </w:pPr>
    </w:p>
    <w:p w14:paraId="4F4D21F7">
      <w:pPr>
        <w:pStyle w:val="47"/>
      </w:pPr>
      <w:r>
        <w:t>2451753  马祥珲</w:t>
      </w:r>
    </w:p>
    <w:p w14:paraId="3C4724E0">
      <w:pPr>
        <w:pStyle w:val="47"/>
      </w:pPr>
      <w:r>
        <w:t>2451754  胡知鱼</w:t>
      </w:r>
    </w:p>
    <w:p w14:paraId="0DCE4AD1">
      <w:pPr>
        <w:pStyle w:val="47"/>
      </w:pPr>
      <w:r>
        <w:t>2452874  张茗博</w:t>
      </w:r>
    </w:p>
    <w:p w14:paraId="3D00F092">
      <w:pPr>
        <w:pStyle w:val="47"/>
      </w:pPr>
      <w:r>
        <w:t>2354127  靳岱泽</w:t>
      </w:r>
    </w:p>
    <w:p w14:paraId="3153D63D">
      <w:pPr>
        <w:pStyle w:val="47"/>
      </w:pPr>
      <w:r>
        <w:t>2453195  李胤龙</w:t>
      </w:r>
    </w:p>
    <w:p w14:paraId="7A5407F4">
      <w:pPr>
        <w:pStyle w:val="47"/>
      </w:pPr>
      <w:r>
        <w:t>2452654  郭炫君</w:t>
      </w:r>
    </w:p>
    <w:p w14:paraId="2937703D">
      <w:pPr>
        <w:pStyle w:val="47"/>
      </w:pPr>
      <w:r>
        <w:t>2452676  徐京</w:t>
      </w:r>
    </w:p>
    <w:p w14:paraId="02DE107B">
      <w:pPr>
        <w:pStyle w:val="47"/>
      </w:pPr>
      <w:r>
        <w:t>2451398  王子轩</w:t>
      </w:r>
    </w:p>
    <w:p w14:paraId="6CD2367F">
      <w:pPr>
        <w:pStyle w:val="47"/>
      </w:pPr>
      <w:r>
        <w:t>2451769  元梓浩</w:t>
      </w:r>
    </w:p>
    <w:p w14:paraId="229FE70B">
      <w:pPr>
        <w:pStyle w:val="47"/>
      </w:pPr>
      <w:r>
        <w:t>2453736  周力扬</w:t>
      </w:r>
    </w:p>
    <w:p w14:paraId="2CD2B841">
      <w:pPr>
        <w:sectPr>
          <w:headerReference r:id="rId3" w:type="default"/>
          <w:footerReference r:id="rId4" w:type="default"/>
          <w:pgSz w:w="11906" w:h="16838"/>
          <w:pgMar w:top="1134" w:right="1134" w:bottom="850" w:left="1417" w:header="850" w:footer="850" w:gutter="0"/>
          <w:pgNumType w:start="1"/>
          <w:cols w:space="425" w:num="1"/>
          <w:docGrid w:type="lines" w:linePitch="312" w:charSpace="0"/>
        </w:sectPr>
      </w:pPr>
    </w:p>
    <w:p w14:paraId="026C07CE">
      <w:pPr>
        <w:pStyle w:val="40"/>
      </w:pPr>
    </w:p>
    <w:p w14:paraId="63007F98">
      <w:pPr>
        <w:pStyle w:val="47"/>
      </w:pPr>
      <w:r>
        <w:t>目  录</w:t>
      </w:r>
    </w:p>
    <w:p w14:paraId="0E910244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TOC \o "1-3" \h \z \t "附录,1"</w:instrText>
      </w:r>
      <w:r>
        <w:fldChar w:fldCharType="separate"/>
      </w:r>
      <w:r>
        <w:fldChar w:fldCharType="begin"/>
      </w:r>
      <w:r>
        <w:instrText xml:space="preserve"> HYPERLINK \l _Toc5605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 </w:t>
      </w:r>
      <w:r>
        <w:t>系统需求概述</w:t>
      </w:r>
      <w:r>
        <w:tab/>
      </w:r>
      <w:r>
        <w:fldChar w:fldCharType="begin"/>
      </w:r>
      <w:r>
        <w:instrText xml:space="preserve"> PAGEREF _Toc5605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0272BF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_Toc4309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1.1 </w:t>
      </w:r>
      <w:r>
        <w:t>项目背景</w:t>
      </w:r>
      <w:r>
        <w:tab/>
      </w:r>
      <w:r>
        <w:fldChar w:fldCharType="begin"/>
      </w:r>
      <w:r>
        <w:instrText xml:space="preserve"> PAGEREF _Toc4309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11A72F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_Toc11227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1.2 </w:t>
      </w:r>
      <w:r>
        <w:t>建设目标</w:t>
      </w:r>
      <w:r>
        <w:tab/>
      </w:r>
      <w:r>
        <w:fldChar w:fldCharType="begin"/>
      </w:r>
      <w:r>
        <w:instrText xml:space="preserve"> PAGEREF _Toc11227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653C1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_Toc17916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1.3 </w:t>
      </w:r>
      <w:r>
        <w:t>系统范围与边界</w:t>
      </w:r>
      <w:r>
        <w:tab/>
      </w:r>
      <w:r>
        <w:fldChar w:fldCharType="begin"/>
      </w:r>
      <w:r>
        <w:instrText xml:space="preserve"> PAGEREF _Toc17916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58323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_Toc18924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1.4 </w:t>
      </w:r>
      <w:r>
        <w:t>用户角色与职责</w:t>
      </w:r>
      <w:r>
        <w:tab/>
      </w:r>
      <w:r>
        <w:fldChar w:fldCharType="begin"/>
      </w:r>
      <w:r>
        <w:instrText xml:space="preserve"> PAGEREF _Toc18924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6A26D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_Toc19282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1.5 </w:t>
      </w:r>
      <w:r>
        <w:t>固定演示数据与业务定位</w:t>
      </w:r>
      <w:r>
        <w:tab/>
      </w:r>
      <w:r>
        <w:fldChar w:fldCharType="begin"/>
      </w:r>
      <w:r>
        <w:instrText xml:space="preserve"> PAGEREF _Toc19282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19C9AB1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_Toc21231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1.6 </w:t>
      </w:r>
      <w:r>
        <w:t>技术与运行约束</w:t>
      </w:r>
      <w:r>
        <w:tab/>
      </w:r>
      <w:r>
        <w:fldChar w:fldCharType="begin"/>
      </w:r>
      <w:r>
        <w:instrText xml:space="preserve"> PAGEREF _Toc21231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54DEE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_Toc15966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1.7 </w:t>
      </w:r>
      <w:r>
        <w:t>功能演进与架构深化说明</w:t>
      </w:r>
      <w:r>
        <w:tab/>
      </w:r>
      <w:r>
        <w:fldChar w:fldCharType="begin"/>
      </w:r>
      <w:r>
        <w:instrText xml:space="preserve"> PAGEREF _Toc15966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24ADD9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_Toc17454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 </w:t>
      </w:r>
      <w:r>
        <w:t>系统需求分析</w:t>
      </w:r>
      <w:r>
        <w:tab/>
      </w:r>
      <w:r>
        <w:fldChar w:fldCharType="begin"/>
      </w:r>
      <w:r>
        <w:instrText xml:space="preserve"> PAGEREF _Toc17454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47FD8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_Toc11676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 </w:t>
      </w:r>
      <w:r>
        <w:t>总体业务场景</w:t>
      </w:r>
      <w:r>
        <w:tab/>
      </w:r>
      <w:r>
        <w:fldChar w:fldCharType="begin"/>
      </w:r>
      <w:r>
        <w:instrText xml:space="preserve"> PAGEREF _Toc11676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EDF1A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_Toc18212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2.2 </w:t>
      </w:r>
      <w:r>
        <w:t>功能需求总表</w:t>
      </w:r>
      <w:r>
        <w:tab/>
      </w:r>
      <w:r>
        <w:fldChar w:fldCharType="begin"/>
      </w:r>
      <w:r>
        <w:instrText xml:space="preserve"> PAGEREF _Toc18212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705C9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_Toc26051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2.3 </w:t>
      </w:r>
      <w:r>
        <w:t>玩家端需求</w:t>
      </w:r>
      <w:r>
        <w:tab/>
      </w:r>
      <w:r>
        <w:fldChar w:fldCharType="begin"/>
      </w:r>
      <w:r>
        <w:instrText xml:space="preserve"> PAGEREF _Toc26051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E78C22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_Toc16948 </w:instrText>
      </w:r>
      <w:r>
        <w:fldChar w:fldCharType="separate"/>
      </w:r>
      <w:r>
        <w:rPr>
          <w:rFonts w:hint="default" w:ascii="Arial" w:hAnsi="Arial"/>
          <w:i w:val="0"/>
        </w:rPr>
        <w:t xml:space="preserve">2.3.1 </w:t>
      </w:r>
      <w:r>
        <w:t>账号、资料与导航</w:t>
      </w:r>
      <w:r>
        <w:tab/>
      </w:r>
      <w:r>
        <w:fldChar w:fldCharType="begin"/>
      </w:r>
      <w:r>
        <w:instrText xml:space="preserve"> PAGEREF _Toc16948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BCC5FEA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_Toc22053 </w:instrText>
      </w:r>
      <w:r>
        <w:fldChar w:fldCharType="separate"/>
      </w:r>
      <w:r>
        <w:rPr>
          <w:rFonts w:hint="default" w:ascii="Arial" w:hAnsi="Arial"/>
          <w:i w:val="0"/>
        </w:rPr>
        <w:t xml:space="preserve">2.3.2 </w:t>
      </w:r>
      <w:r>
        <w:t>商店、钱包与订单</w:t>
      </w:r>
      <w:r>
        <w:tab/>
      </w:r>
      <w:r>
        <w:fldChar w:fldCharType="begin"/>
      </w:r>
      <w:r>
        <w:instrText xml:space="preserve"> PAGEREF _Toc22053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702736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_Toc26615 </w:instrText>
      </w:r>
      <w:r>
        <w:fldChar w:fldCharType="separate"/>
      </w:r>
      <w:r>
        <w:rPr>
          <w:rFonts w:hint="default" w:ascii="Arial" w:hAnsi="Arial"/>
          <w:i w:val="0"/>
        </w:rPr>
        <w:t xml:space="preserve">2.3.3 </w:t>
      </w:r>
      <w:r>
        <w:t>库存与社区市场</w:t>
      </w:r>
      <w:r>
        <w:tab/>
      </w:r>
      <w:r>
        <w:fldChar w:fldCharType="begin"/>
      </w:r>
      <w:r>
        <w:instrText xml:space="preserve"> PAGEREF _Toc26615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75666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_Toc11585 </w:instrText>
      </w:r>
      <w:r>
        <w:fldChar w:fldCharType="separate"/>
      </w:r>
      <w:r>
        <w:rPr>
          <w:rFonts w:hint="default" w:ascii="Arial" w:hAnsi="Arial"/>
          <w:i w:val="0"/>
        </w:rPr>
        <w:t xml:space="preserve">2.3.4 </w:t>
      </w:r>
      <w:r>
        <w:t>社区与社交</w:t>
      </w:r>
      <w:r>
        <w:tab/>
      </w:r>
      <w:r>
        <w:fldChar w:fldCharType="begin"/>
      </w:r>
      <w:r>
        <w:instrText xml:space="preserve"> PAGEREF _Toc11585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D928A0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_Toc531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2.4 </w:t>
      </w:r>
      <w:r>
        <w:t>开发商端需求</w:t>
      </w:r>
      <w:r>
        <w:tab/>
      </w:r>
      <w:r>
        <w:fldChar w:fldCharType="begin"/>
      </w:r>
      <w:r>
        <w:instrText xml:space="preserve"> PAGEREF _Toc531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90AD88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_Toc5824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2.5 </w:t>
      </w:r>
      <w:r>
        <w:t>管理员端需求</w:t>
      </w:r>
      <w:r>
        <w:tab/>
      </w:r>
      <w:r>
        <w:fldChar w:fldCharType="begin"/>
      </w:r>
      <w:r>
        <w:instrText xml:space="preserve"> PAGEREF _Toc5824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978A7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_Toc23484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2.6 </w:t>
      </w:r>
      <w:r>
        <w:t>核心用例规约</w:t>
      </w:r>
      <w:r>
        <w:tab/>
      </w:r>
      <w:r>
        <w:fldChar w:fldCharType="begin"/>
      </w:r>
      <w:r>
        <w:instrText xml:space="preserve"> PAGEREF _Toc23484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37144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_Toc3697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2.7 </w:t>
      </w:r>
      <w:r>
        <w:t>业务规则</w:t>
      </w:r>
      <w:r>
        <w:tab/>
      </w:r>
      <w:r>
        <w:fldChar w:fldCharType="begin"/>
      </w:r>
      <w:r>
        <w:instrText xml:space="preserve"> PAGEREF _Toc3697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68662E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_Toc4428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2.8 </w:t>
      </w:r>
      <w:r>
        <w:t>数据需求</w:t>
      </w:r>
      <w:r>
        <w:tab/>
      </w:r>
      <w:r>
        <w:fldChar w:fldCharType="begin"/>
      </w:r>
      <w:r>
        <w:instrText xml:space="preserve"> PAGEREF _Toc4428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D39202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_Toc6139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2.9 </w:t>
      </w:r>
      <w:r>
        <w:t>非功能需求</w:t>
      </w:r>
      <w:r>
        <w:tab/>
      </w:r>
      <w:r>
        <w:fldChar w:fldCharType="begin"/>
      </w:r>
      <w:r>
        <w:instrText xml:space="preserve"> PAGEREF _Toc6139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70C2FC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_Toc30106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2.10 </w:t>
      </w:r>
      <w:r>
        <w:t>接口与外部环境需求</w:t>
      </w:r>
      <w:r>
        <w:tab/>
      </w:r>
      <w:r>
        <w:fldChar w:fldCharType="begin"/>
      </w:r>
      <w:r>
        <w:instrText xml:space="preserve"> PAGEREF _Toc30106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CC2FE3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_Toc26984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2.11 </w:t>
      </w:r>
      <w:r>
        <w:t>验收场景</w:t>
      </w:r>
      <w:r>
        <w:tab/>
      </w:r>
      <w:r>
        <w:fldChar w:fldCharType="begin"/>
      </w:r>
      <w:r>
        <w:instrText xml:space="preserve"> PAGEREF _Toc26984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041CB6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_Toc753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2.12 </w:t>
      </w:r>
      <w:r>
        <w:t>需求追踪矩阵</w:t>
      </w:r>
      <w:r>
        <w:tab/>
      </w:r>
      <w:r>
        <w:fldChar w:fldCharType="begin"/>
      </w:r>
      <w:r>
        <w:instrText xml:space="preserve"> PAGEREF _Toc753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517D808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_Toc18095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附录A. </w:t>
      </w:r>
      <w:r>
        <w:t>图表索引</w:t>
      </w:r>
      <w:r>
        <w:tab/>
      </w:r>
      <w:r>
        <w:fldChar w:fldCharType="begin"/>
      </w:r>
      <w:r>
        <w:instrText xml:space="preserve"> PAGEREF _Toc18095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AD33FC0">
      <w:pPr>
        <w:ind w:firstLine="0"/>
      </w:pPr>
      <w:r>
        <w:fldChar w:fldCharType="end"/>
      </w:r>
    </w:p>
    <w:p w14:paraId="3030B716">
      <w:pPr>
        <w:sectPr>
          <w:footerReference r:id="rId5" w:type="default"/>
          <w:pgSz w:w="11906" w:h="16838"/>
          <w:pgMar w:top="1134" w:right="1134" w:bottom="850" w:left="1417" w:header="850" w:footer="850" w:gutter="0"/>
          <w:pgNumType w:fmt="upperRoman" w:start="1"/>
          <w:cols w:space="425" w:num="1"/>
          <w:docGrid w:type="lines" w:linePitch="312" w:charSpace="0"/>
        </w:sectPr>
      </w:pPr>
    </w:p>
    <w:p w14:paraId="70EEC412">
      <w:pPr>
        <w:pStyle w:val="2"/>
      </w:pPr>
      <w:bookmarkStart w:id="0" w:name="_Toc5605"/>
      <w:r>
        <w:t>系统需求概述</w:t>
      </w:r>
      <w:bookmarkEnd w:id="0"/>
    </w:p>
    <w:p w14:paraId="582F5FB1">
      <w:pPr>
        <w:pStyle w:val="3"/>
      </w:pPr>
      <w:bookmarkStart w:id="1" w:name="_Toc4309"/>
      <w:r>
        <w:t>项目背景</w:t>
      </w:r>
      <w:bookmarkEnd w:id="1"/>
    </w:p>
    <w:p w14:paraId="07C24968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team-数字游戏平台系统是面向数据库课程设计的综合信息系统。系统以真实数字游戏分发平台的核心业务为参照，覆盖商店、钱包、订单、退款、CDKey、游戏库、评价、成就、库存、社区市场、好友社交、创意工坊、开发商运营和管理员治理。项目不追求复制商业平台的全部规模，而是以可验证的业务闭环展示关系数据库建模、事务一致性、并发控制、权限隔离、审计追踪与工程化部署能力。</w:t>
      </w:r>
    </w:p>
    <w:p w14:paraId="66383876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课程要求后端及数据库相关实现采用 C# 与 Oracle，系统可选择 C/S 或 B/S 架构。本项目确定采用 B/S 架构：浏览器承担交互表示，ASP.NET Core 承担应用服务器职责，Oracle 保存全部业务真相，便于十人团队并行开发、集中部署和课堂答辩。</w:t>
      </w:r>
    </w:p>
    <w:p w14:paraId="330510B5">
      <w:pPr>
        <w:spacing w:after="0"/>
        <w:ind w:firstLine="0"/>
        <w:jc w:val="center"/>
      </w:pPr>
      <w:r>
        <w:drawing>
          <wp:inline distT="0" distB="0" distL="114300" distR="114300">
            <wp:extent cx="5687695" cy="34836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9ABE">
      <w:pPr>
        <w:pStyle w:val="13"/>
        <w:ind w:firstLine="0"/>
        <w:jc w:val="center"/>
      </w:pPr>
      <w:bookmarkStart w:id="2" w:name="fig_1"/>
      <w:r>
        <w:rPr>
          <w:rFonts w:ascii="Times New Roman" w:hAnsi="Times New Roman" w:eastAsia="黑体"/>
          <w:sz w:val="20"/>
        </w:rPr>
        <w:t>图 1-1  系统上下文与外部参与者</w:t>
      </w:r>
      <w:bookmarkEnd w:id="2"/>
    </w:p>
    <w:p w14:paraId="47C44C58">
      <w:pPr>
        <w:pStyle w:val="3"/>
      </w:pPr>
      <w:bookmarkStart w:id="3" w:name="_Toc11227"/>
      <w:r>
        <w:t>建设目标</w:t>
      </w:r>
      <w:bookmarkEnd w:id="3"/>
    </w:p>
    <w:p w14:paraId="6AD0A369">
      <w:pPr>
        <w:pStyle w:val="12"/>
        <w:spacing w:after="0"/>
      </w:pPr>
      <w:r>
        <w:rPr>
          <w:rFonts w:ascii="Times New Roman" w:hAnsi="Times New Roman" w:eastAsia="宋体"/>
          <w:sz w:val="21"/>
        </w:rPr>
        <w:t>构建可公开访问、可独立演示的 B/S 数字游戏平台，主要业务流程不依赖本机环境。</w:t>
      </w:r>
    </w:p>
    <w:p w14:paraId="7615F76A">
      <w:pPr>
        <w:pStyle w:val="12"/>
        <w:spacing w:after="0"/>
      </w:pPr>
      <w:r>
        <w:rPr>
          <w:rFonts w:ascii="Times New Roman" w:hAnsi="Times New Roman" w:eastAsia="宋体"/>
          <w:sz w:val="21"/>
        </w:rPr>
        <w:t>以 Oracle 为唯一持久化真相源，通过主外键、唯一约束、检查约束、索引、事务和行级锁保证数据正确性。</w:t>
      </w:r>
    </w:p>
    <w:p w14:paraId="2040CD9B">
      <w:pPr>
        <w:pStyle w:val="12"/>
        <w:spacing w:after="0"/>
      </w:pPr>
      <w:r>
        <w:rPr>
          <w:rFonts w:ascii="Times New Roman" w:hAnsi="Times New Roman" w:eastAsia="宋体"/>
          <w:sz w:val="21"/>
        </w:rPr>
        <w:t>实现不少于 20 个功能点且至少 15 个包含真实业务逻辑；最终系统定义 32 个功能点，其中 27 个属于业务功能。</w:t>
      </w:r>
    </w:p>
    <w:p w14:paraId="16D44B8A">
      <w:pPr>
        <w:pStyle w:val="12"/>
        <w:spacing w:after="0"/>
      </w:pPr>
      <w:r>
        <w:rPr>
          <w:rFonts w:ascii="Times New Roman" w:hAnsi="Times New Roman" w:eastAsia="宋体"/>
          <w:sz w:val="21"/>
        </w:rPr>
        <w:t>形成玩家、开发商、管理员三类主体的权限闭环，防止跨账号、跨开发商和越权访问。</w:t>
      </w:r>
    </w:p>
    <w:p w14:paraId="6FEFE0B1">
      <w:pPr>
        <w:pStyle w:val="12"/>
        <w:spacing w:after="0"/>
      </w:pPr>
      <w:r>
        <w:rPr>
          <w:rFonts w:ascii="Times New Roman" w:hAnsi="Times New Roman" w:eastAsia="宋体"/>
          <w:sz w:val="21"/>
        </w:rPr>
        <w:t>通过 CS2 和 DST 两款固定样例游戏完整展示免费入库、付费购买、退款、库存市场、社区与内容运营。</w:t>
      </w:r>
    </w:p>
    <w:p w14:paraId="5DB5B018">
      <w:pPr>
        <w:pStyle w:val="12"/>
        <w:spacing w:after="0"/>
      </w:pPr>
      <w:r>
        <w:rPr>
          <w:rFonts w:ascii="Times New Roman" w:hAnsi="Times New Roman" w:eastAsia="宋体"/>
          <w:sz w:val="21"/>
        </w:rPr>
        <w:t>提供确定性演示数据恢复、自动化测试、HTTPS 部署和审计证据，使答辩过程稳定、可复现。</w:t>
      </w:r>
    </w:p>
    <w:p w14:paraId="2AFFCDDB">
      <w:pPr>
        <w:pStyle w:val="3"/>
      </w:pPr>
      <w:bookmarkStart w:id="4" w:name="_Toc17916"/>
      <w:r>
        <w:t>系统范围与边界</w:t>
      </w:r>
      <w:bookmarkEnd w:id="4"/>
    </w:p>
    <w:p w14:paraId="21AFBD5E">
      <w:pPr>
        <w:pStyle w:val="13"/>
        <w:keepNext/>
        <w:ind w:firstLine="0"/>
        <w:jc w:val="center"/>
      </w:pPr>
      <w:bookmarkStart w:id="5" w:name="tbl_1"/>
      <w:r>
        <w:rPr>
          <w:rFonts w:ascii="Times New Roman" w:hAnsi="Times New Roman" w:eastAsia="黑体"/>
          <w:sz w:val="20"/>
        </w:rPr>
        <w:t>表格 1-1  系统范围</w:t>
      </w:r>
      <w:bookmarkEnd w:id="5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A89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532FF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类别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34B3A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包含内容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B681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边界说明</w:t>
            </w:r>
          </w:p>
        </w:tc>
      </w:tr>
      <w:tr w14:paraId="3802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FA8B9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商店与发行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52DD8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游戏浏览、详情、价格、媒体、开发商维护、管理员上/下架、公告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5A4A7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不实现真实 Steam 商业分发网络和版权结算</w:t>
            </w:r>
          </w:p>
        </w:tc>
      </w:tr>
      <w:tr w14:paraId="169D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2E73C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交易与权益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B4AD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充值、购买、订单、支付、退款、CDKey、游戏库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44CBB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支付为课程演示支付，不连接真实第三方支付机构</w:t>
            </w:r>
          </w:p>
        </w:tc>
      </w:tr>
      <w:tr w14:paraId="0D47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4DDC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物品经济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1F558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实例化库存、掉落、挂单、撤单、撮合、成交、资产与资金账本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ABB66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以 CS2 饰品作为演示数据，不接入外部市场</w:t>
            </w:r>
          </w:p>
        </w:tc>
      </w:tr>
      <w:tr w14:paraId="2A73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8BFF9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社区与互动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9F24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评价、投票、成就、好友、私信、通知、动态、讨论、工坊、徽章、报价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7694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DST 成就为项目定义的演示成就，不声称同步官方成就</w:t>
            </w:r>
          </w:p>
        </w:tc>
      </w:tr>
      <w:tr w14:paraId="000F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596F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运维与答辩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A41D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云端健康检查、演示数据恢复、自动测试、审计日志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5B7C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不建设多地域容灾、计费和海量并发能力</w:t>
            </w:r>
          </w:p>
        </w:tc>
      </w:tr>
    </w:tbl>
    <w:p w14:paraId="781D9B24">
      <w:pPr>
        <w:pStyle w:val="40"/>
        <w:spacing w:after="0"/>
      </w:pPr>
    </w:p>
    <w:p w14:paraId="2754725E">
      <w:pPr>
        <w:pStyle w:val="3"/>
      </w:pPr>
      <w:bookmarkStart w:id="6" w:name="_Toc18924"/>
      <w:r>
        <w:t>用户角色与职责</w:t>
      </w:r>
      <w:bookmarkEnd w:id="6"/>
    </w:p>
    <w:p w14:paraId="3AC745DA">
      <w:pPr>
        <w:pStyle w:val="13"/>
        <w:keepNext/>
        <w:ind w:firstLine="0"/>
        <w:jc w:val="center"/>
      </w:pPr>
      <w:bookmarkStart w:id="7" w:name="tbl_2"/>
      <w:r>
        <w:rPr>
          <w:rFonts w:ascii="Times New Roman" w:hAnsi="Times New Roman" w:eastAsia="黑体"/>
          <w:sz w:val="20"/>
        </w:rPr>
        <w:t>表格 1-2  用户角色与权限边界</w:t>
      </w:r>
      <w:bookmarkEnd w:id="7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29CF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6794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角色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5061C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主要目标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8A6E6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允许的核心操作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3BBF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禁止的越权行为</w:t>
            </w:r>
          </w:p>
        </w:tc>
      </w:tr>
      <w:tr w14:paraId="64B0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0C184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访客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B4A4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了解平台和游戏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0A1A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浏览已发布游戏、详情、公共社区、注册和登录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09408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访问钱包、库、库存、管理和私信数据</w:t>
            </w:r>
          </w:p>
        </w:tc>
      </w:tr>
      <w:tr w14:paraId="04AD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9C013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30AC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购买和使用平台服务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BEC00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维护个人资料、充值、购买退款、库与库存、市场、评价、好友社区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86E7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读取其他玩家私有账本或代表他人交易</w:t>
            </w:r>
          </w:p>
        </w:tc>
      </w:tr>
      <w:tr w14:paraId="24CD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92CE9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5FAEB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维护并运营自有游戏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39A1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创建和编辑归属自己的游戏、删除 OFFLINE 游戏、生成归属游戏的 CDKey 批次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A996A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修改其他开发商游戏或自行改变上/下架状态</w:t>
            </w:r>
          </w:p>
        </w:tc>
      </w:tr>
      <w:tr w14:paraId="4D51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B9F3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管理员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8CD2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治理平台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F0AA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切换游戏上/下架状态、审核退款、维护公告和查看运营任务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97C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绕过审计直接篡改业务账本</w:t>
            </w:r>
          </w:p>
        </w:tc>
      </w:tr>
    </w:tbl>
    <w:p w14:paraId="22A27B88">
      <w:pPr>
        <w:pStyle w:val="40"/>
        <w:spacing w:after="0"/>
      </w:pPr>
    </w:p>
    <w:p w14:paraId="00EA6ED9">
      <w:pPr>
        <w:pStyle w:val="3"/>
      </w:pPr>
      <w:bookmarkStart w:id="8" w:name="_Toc19282"/>
      <w:r>
        <w:t>固定演示数据与业务定位</w:t>
      </w:r>
      <w:bookmarkEnd w:id="8"/>
    </w:p>
    <w:p w14:paraId="23205781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项目固定使用 Counter-Strike 2（CS2，Steam AppID 730，内部标识 GAME_CS2）和 Don't Starve Together（DST，Steam AppID 322330，内部标识 GAME_DST）。固定样例有利于十人团队统一主键、界面文案、测试数据和答辩流程，避免各模块各自造数导致无法合并。</w:t>
      </w:r>
    </w:p>
    <w:p w14:paraId="3BD98B88">
      <w:pPr>
        <w:pStyle w:val="13"/>
        <w:keepNext/>
        <w:ind w:firstLine="0"/>
        <w:jc w:val="center"/>
      </w:pPr>
      <w:bookmarkStart w:id="9" w:name="tbl_3"/>
      <w:r>
        <w:rPr>
          <w:rFonts w:ascii="Times New Roman" w:hAnsi="Times New Roman" w:eastAsia="黑体"/>
          <w:sz w:val="20"/>
        </w:rPr>
        <w:t>表格 1-3  样例游戏职责分配</w:t>
      </w:r>
      <w:bookmarkEnd w:id="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9D7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CDC6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C0E4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商业模式</w:t>
            </w:r>
          </w:p>
        </w:tc>
        <w:tc>
          <w:tcPr>
            <w:tcW w:w="5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093F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主要演示职责</w:t>
            </w:r>
          </w:p>
        </w:tc>
      </w:tr>
      <w:tr w14:paraId="47DF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28F6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CS2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2B75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免费入库</w:t>
            </w:r>
          </w:p>
        </w:tc>
        <w:tc>
          <w:tcPr>
            <w:tcW w:w="5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8CDE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游戏库、饰品库存、掉落、市场挂单、并发撮合、成交账本、玩家间报价</w:t>
            </w:r>
          </w:p>
        </w:tc>
      </w:tr>
      <w:tr w14:paraId="4F49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D194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DST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52A9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买断制</w:t>
            </w:r>
          </w:p>
        </w:tc>
        <w:tc>
          <w:tcPr>
            <w:tcW w:w="5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32588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钱包购买、订单支付、退款、CDKey、评价、内容包、社区、工坊和项目自定义成就</w:t>
            </w:r>
          </w:p>
        </w:tc>
      </w:tr>
    </w:tbl>
    <w:p w14:paraId="1FA74364">
      <w:pPr>
        <w:pStyle w:val="40"/>
        <w:spacing w:after="0"/>
      </w:pPr>
    </w:p>
    <w:p w14:paraId="6EFE7243">
      <w:pPr>
        <w:pStyle w:val="3"/>
      </w:pPr>
      <w:bookmarkStart w:id="10" w:name="_Toc21231"/>
      <w:r>
        <w:t>技术与运行约束</w:t>
      </w:r>
      <w:bookmarkEnd w:id="10"/>
    </w:p>
    <w:p w14:paraId="6A2AA1EF">
      <w:pPr>
        <w:pStyle w:val="14"/>
        <w:spacing w:after="0"/>
      </w:pPr>
      <w:r>
        <w:rPr>
          <w:rFonts w:ascii="Times New Roman" w:hAnsi="Times New Roman" w:eastAsia="宋体"/>
          <w:sz w:val="21"/>
        </w:rPr>
        <w:t>系统架构：B/S；浏览器通过 HTTPS 访问，不要求答辩电脑安装专用客户端。</w:t>
      </w:r>
    </w:p>
    <w:p w14:paraId="55B23D29">
      <w:pPr>
        <w:pStyle w:val="14"/>
        <w:spacing w:after="0"/>
      </w:pPr>
      <w:r>
        <w:rPr>
          <w:rFonts w:ascii="Times New Roman" w:hAnsi="Times New Roman" w:eastAsia="宋体"/>
          <w:sz w:val="21"/>
        </w:rPr>
        <w:t>后端与应用服务器：C#、.NET 10、ASP.NET Core Web API；按 Api、Application、Domain、Infrastructure、Shared 组织。</w:t>
      </w:r>
    </w:p>
    <w:p w14:paraId="51AF198B">
      <w:pPr>
        <w:pStyle w:val="14"/>
        <w:spacing w:after="0"/>
      </w:pPr>
      <w:r>
        <w:rPr>
          <w:rFonts w:ascii="Times New Roman" w:hAnsi="Times New Roman" w:eastAsia="宋体"/>
          <w:sz w:val="21"/>
        </w:rPr>
        <w:t>前端：Vue 3、TypeScript、Vite、Pinia、Vue Router、Axios 与 SignalR 客户端。</w:t>
      </w:r>
    </w:p>
    <w:p w14:paraId="45A7B7F1">
      <w:pPr>
        <w:pStyle w:val="14"/>
        <w:spacing w:after="0"/>
      </w:pPr>
      <w:r>
        <w:rPr>
          <w:rFonts w:ascii="Times New Roman" w:hAnsi="Times New Roman" w:eastAsia="宋体"/>
          <w:sz w:val="21"/>
        </w:rPr>
        <w:t>数据库：Oracle 18c 以上；项目采用 Oracle Database Free，仓库部署口径为 Oracle 26ai Free，运行时精确版本以部署镜像及 v$version 查询为准。</w:t>
      </w:r>
    </w:p>
    <w:p w14:paraId="590D7020">
      <w:pPr>
        <w:pStyle w:val="14"/>
        <w:spacing w:after="0"/>
      </w:pPr>
      <w:r>
        <w:rPr>
          <w:rFonts w:ascii="Times New Roman" w:hAnsi="Times New Roman" w:eastAsia="宋体"/>
          <w:sz w:val="21"/>
        </w:rPr>
        <w:t>数据访问：当前业务路径使用 Dapper + ODP.NET 执行参数化 SQL；Oracle.EntityFrameworkCore 已作为依赖保留，但成品没有启用 DbContext/实体映射。</w:t>
      </w:r>
    </w:p>
    <w:p w14:paraId="5E2F8A45">
      <w:pPr>
        <w:pStyle w:val="14"/>
        <w:spacing w:after="0"/>
      </w:pPr>
      <w:r>
        <w:rPr>
          <w:rFonts w:ascii="Times New Roman" w:hAnsi="Times New Roman" w:eastAsia="宋体"/>
          <w:sz w:val="21"/>
        </w:rPr>
        <w:t>部署：腾讯云轻量应用服务器，Ubuntu 22.04 LTS；Nginx 对外提供 80/443，Kestrel 与 Oracle 仅监听回环地址。</w:t>
      </w:r>
    </w:p>
    <w:p w14:paraId="078B8FFE">
      <w:pPr>
        <w:pStyle w:val="14"/>
        <w:spacing w:after="0"/>
      </w:pPr>
      <w:r>
        <w:rPr>
          <w:rFonts w:ascii="Times New Roman" w:hAnsi="Times New Roman" w:eastAsia="宋体"/>
          <w:sz w:val="21"/>
        </w:rPr>
        <w:t>编码：源码、SQL、配置样例和 Markdown 统一 UTF-8；密钥、口令和真实连接串不得入库。</w:t>
      </w:r>
    </w:p>
    <w:p w14:paraId="480E8F78">
      <w:pPr>
        <w:pStyle w:val="3"/>
      </w:pPr>
      <w:bookmarkStart w:id="11" w:name="_Toc15966"/>
      <w:r>
        <w:t>功能演进与架构深化说明</w:t>
      </w:r>
      <w:bookmarkEnd w:id="11"/>
    </w:p>
    <w:p w14:paraId="1FF6548A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需求分析阶段曾提出家庭共享、愿望单促销广播、递归 Mod 依赖、标签重合推荐、开发商分级佣金和跨区赠礼风控等扩展设想。进入迭代后，团队根据课程评价重点、工期和可验证性进行了需求收敛：这些设想未被列为最终已实现功能，也不参与验收统计。</w:t>
      </w:r>
    </w:p>
    <w:p w14:paraId="7AA7770F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释放出的工作量被投入到数据库深度：Oracle 行级锁和冲突处理、市场并发撮合、资金与资产唯一真相源、不可变账本、多主体数据隔离、状态治理与退款审计、持久化好友私信、SignalR 实时通知以及可恢复的答辩数据基线。该调整使系统从“功能面广但逻辑浅”转为“闭环完整且数据库特征可证明”。</w:t>
      </w:r>
    </w:p>
    <w:p w14:paraId="639AF0F7">
      <w:pPr>
        <w:spacing w:after="0"/>
        <w:ind w:firstLine="0"/>
        <w:jc w:val="center"/>
      </w:pPr>
      <w:r>
        <w:drawing>
          <wp:inline distT="0" distB="0" distL="114300" distR="114300">
            <wp:extent cx="5687695" cy="30213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F348">
      <w:pPr>
        <w:pStyle w:val="13"/>
        <w:ind w:firstLine="0"/>
        <w:jc w:val="center"/>
      </w:pPr>
      <w:bookmarkStart w:id="12" w:name="fig_2"/>
      <w:r>
        <w:rPr>
          <w:rFonts w:ascii="Times New Roman" w:hAnsi="Times New Roman" w:eastAsia="黑体"/>
          <w:sz w:val="20"/>
        </w:rPr>
        <w:t>图 1-2  需求收敛与数据库能力深化</w:t>
      </w:r>
      <w:bookmarkEnd w:id="12"/>
    </w:p>
    <w:p w14:paraId="1F3D28A2">
      <w:pPr>
        <w:pStyle w:val="13"/>
        <w:keepNext/>
        <w:ind w:firstLine="0"/>
        <w:jc w:val="center"/>
      </w:pPr>
      <w:bookmarkStart w:id="13" w:name="tbl_4"/>
      <w:r>
        <w:rPr>
          <w:rFonts w:ascii="Times New Roman" w:hAnsi="Times New Roman" w:eastAsia="黑体"/>
          <w:sz w:val="20"/>
        </w:rPr>
        <w:t>表格 1-4  最终范围取舍</w:t>
      </w:r>
      <w:bookmarkEnd w:id="13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622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BF00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未纳入最终验收的早期设想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A619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对应投入的已实现数据库能力</w:t>
            </w:r>
          </w:p>
        </w:tc>
      </w:tr>
      <w:tr w14:paraId="6E86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7019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家庭共享与并发踢出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ACD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玩家库唯一权益、退款/掉落并发隔离</w:t>
            </w:r>
          </w:p>
        </w:tc>
      </w:tr>
      <w:tr w14:paraId="08B6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B8626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愿望单降价广播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B4A2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持久化站内通知与 SignalR 实时推送</w:t>
            </w:r>
          </w:p>
        </w:tc>
      </w:tr>
      <w:tr w14:paraId="36DA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D4C0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递归 Mod 依赖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971C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工坊条目与订阅关系的完整数据库闭环</w:t>
            </w:r>
          </w:p>
        </w:tc>
      </w:tr>
      <w:tr w14:paraId="3E9E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9D9F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标签重合推荐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3FC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商店检索、筛选、详情与评价聚合</w:t>
            </w:r>
          </w:p>
        </w:tc>
      </w:tr>
      <w:tr w14:paraId="57C6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202B4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开发商分级佣金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F89E0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开发商归属隔离、管理员上/下架治理和 CDKey 审计</w:t>
            </w:r>
          </w:p>
        </w:tc>
      </w:tr>
      <w:tr w14:paraId="17AE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275F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跨区赠礼风控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2341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市场行锁撮合、资金/资产双账本与报价状态机</w:t>
            </w:r>
          </w:p>
        </w:tc>
      </w:tr>
    </w:tbl>
    <w:p w14:paraId="0F6DA842">
      <w:pPr>
        <w:pStyle w:val="40"/>
        <w:spacing w:after="0"/>
      </w:pPr>
    </w:p>
    <w:p w14:paraId="09346E02">
      <w:pPr>
        <w:pStyle w:val="2"/>
      </w:pPr>
      <w:bookmarkStart w:id="14" w:name="_Toc17454"/>
      <w:r>
        <w:t>系统需求分析</w:t>
      </w:r>
      <w:bookmarkEnd w:id="14"/>
    </w:p>
    <w:p w14:paraId="6059209E">
      <w:pPr>
        <w:pStyle w:val="3"/>
      </w:pPr>
      <w:bookmarkStart w:id="15" w:name="_Toc11676"/>
      <w:r>
        <w:t>总体业务场景</w:t>
      </w:r>
      <w:bookmarkEnd w:id="15"/>
    </w:p>
    <w:p w14:paraId="684FB973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访客从商店进入系统；玩家注册登录后可充值并购买 DST，也可将免费游戏 CS2 加入库。拥有游戏后，玩家可评价、解锁项目演示成就、领取或交易物品，并通过好友、私信、动态、讨论和工坊参与社区。开发商维护自有游戏与 CDKey；管理员治理游戏上/下架、审核退款并发布公告；负责人/运维在答辩前通过 C# 工具恢复演示数据。所有会改变资金、权益或资产的行为必须落入 Oracle 事务并形成可追溯记录。</w:t>
      </w:r>
    </w:p>
    <w:p w14:paraId="14750B84">
      <w:pPr>
        <w:pStyle w:val="3"/>
      </w:pPr>
      <w:bookmarkStart w:id="16" w:name="_Toc18212"/>
      <w:r>
        <w:t>功能需求总表</w:t>
      </w:r>
      <w:bookmarkEnd w:id="16"/>
    </w:p>
    <w:p w14:paraId="380BC2E0">
      <w:pPr>
        <w:pStyle w:val="13"/>
        <w:keepNext/>
        <w:ind w:firstLine="0"/>
        <w:jc w:val="center"/>
      </w:pPr>
      <w:bookmarkStart w:id="17" w:name="tbl_5"/>
      <w:r>
        <w:rPr>
          <w:rFonts w:ascii="Times New Roman" w:hAnsi="Times New Roman" w:eastAsia="黑体"/>
          <w:sz w:val="20"/>
        </w:rPr>
        <w:t>表格 2-1  功能需求清单</w:t>
      </w:r>
      <w:bookmarkEnd w:id="17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F2C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16E9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编号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B0142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功能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16198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角色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FE9B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需求说明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13ED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类型</w:t>
            </w:r>
          </w:p>
        </w:tc>
      </w:tr>
      <w:tr w14:paraId="5EB1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D2DB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439DA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账号注册与登录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A8A3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D35B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注册玩家账号；多角色登录并签发 JWT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FE543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21AD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A7F1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AF97A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角色鉴权与路由隔离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9225E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全体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385A1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玩家、开发商、管理员仅访问授权资源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496B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61F7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575C2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FR-03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7114D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商店浏览、搜索与筛选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9A83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访客/玩家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E02F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按类型、价格、状态检索 ONLINE 游戏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BB64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查询</w:t>
            </w:r>
          </w:p>
        </w:tc>
      </w:tr>
      <w:tr w14:paraId="4F21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8BB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FR-04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77093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游戏详情与媒体画廊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B2DDD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访客/玩家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599D5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展示价格、标签、截图、视频、评测摘要和内容包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10FB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查询</w:t>
            </w:r>
          </w:p>
        </w:tc>
      </w:tr>
      <w:tr w14:paraId="4596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97C5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FR-05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E31A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开发商游戏维护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40D43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开发商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7D17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创建、编辑归属自己的游戏；新建游戏固定为 OFFLINE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6A11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7299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828E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FR-06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6DE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游戏上架与下架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23C9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管理员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A96C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在 ONLINE/OFFLINE 间切换状态并控制公开可见性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9DE0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2736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867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FR-07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6606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平台公告管理与展示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61BD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管理员/全体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9F5F1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维护定时发布公告，首次进入商店弹窗展示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87E2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1EC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35CC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FR-08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0D61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钱包充值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57B2A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6104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确认充值并形成余额变化及流水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996B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7EF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167DD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FR-09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32E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买断制游戏购买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16B0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58D8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余额校验、订单、支付、入库在同一事务完成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584A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001F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4C133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FR-10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C5D5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请求幂等与重复支付防护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1A76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6751A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同一幂等键绑定同一请求，重复提交返回既有结果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00C3D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244C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0C06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77D3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游戏库与 CDKey 兑换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C4346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C04D6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购买或兑换后获得唯一库记录，并保留兑换日志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A645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224F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1AC7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C178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退款申请与审核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A55A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玩家/管理员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CD1A6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按资格申请；批准后原子撤销权益并按原支付方式退款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5708B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169C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3106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FR-13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8CC9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钱包流水查询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43955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5543E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展示充值、购买、退款、市场冻结/结算等可审计记录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6F476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查询</w:t>
            </w:r>
          </w:p>
        </w:tc>
      </w:tr>
      <w:tr w14:paraId="47AD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354D2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FR-14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DB7CD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评价发布与版本修订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C0B87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731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仅拥有游戏者可评价，修改保留历史版本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84F7A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33A1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F9D50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FR-15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D6D1B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评价投票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0659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8AF78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有用/无用投票唯一且可切换，聚合结果可查询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0C9F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3F72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9A1A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FR-16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40B8D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成就解锁与展示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6DA88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551E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验证游戏库资格后解锁项目定义的演示成就并展示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CE1B2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B42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44D94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FR-17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4780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库存查询与筛选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CDA3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BEAD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按游戏、品质和可交易状态查看实例化物品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61F9A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查询</w:t>
            </w:r>
          </w:p>
        </w:tc>
      </w:tr>
      <w:tr w14:paraId="25A8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F7627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FR-18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EAB3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库存掉落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064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66415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校验游戏库资格，生成唯一物品实例并写资产账本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A1B1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7F2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843DF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FR-19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0D0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市场挂单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0D87B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052ED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锁定可交易库存物品并发布卖单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BE6A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1F9C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B5CC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FR-20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3405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撤销挂单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6479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98C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仅卖家可撤单，释放物品并写状态与资产日志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BD21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06CC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C94E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5DE12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市场撮合购买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7A261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0B2A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并发锁单、扣款、分账、转移物品和记录成交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A7C5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53C0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801E6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4D959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成交与资产账本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18EDC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玩家/管理员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97E9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展示不可变交易记录并追溯所有权变化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496C5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查询</w:t>
            </w:r>
          </w:p>
        </w:tc>
      </w:tr>
      <w:tr w14:paraId="4149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1BAB7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FR-23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535CC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好友关系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4FA32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8B4C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发送好友申请、接受待处理申请并查询好友及共同游戏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2C53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866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4DD3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FR-24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72379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私信与实时通知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3FD6A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7AE72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好友间保存消息，并通过 SignalR 推送在线事件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6997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254C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6E00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FR-25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5D9E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站内通知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1C6A5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C7634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持久化通知、未读计数和已读状态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26C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68F0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673D1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FR-26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B27DE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创意工坊订阅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F96D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D4021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浏览已发布工坊条目，订阅/取消订阅并维护唯一关系与计数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788C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4402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E057A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FR-27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EE08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个人资料、徽章与装扮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A272B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2948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编辑展示信息，选择已拥有徽章和主题装扮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EF75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7191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65571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FR-28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89715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玩家间交易报价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00F3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449C2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以多个库存物品建立报价并接受、拒绝或取消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346A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36C9A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96079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FR-29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BF75A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社区动态与互动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BB83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BDDC3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发布动态，点赞/取消点赞并展示社区流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1A3E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541D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EB42D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FR-30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5DFEA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讨论区主题与回复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499E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804D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按游戏创建主题、回复并维护更新时间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267BF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1F9C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71E41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FR-31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8C0A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退款与运营管理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0FE8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管理员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DE05F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处理待审退款并记录审核主体、原因和时间；治理游戏状态与公告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2D7B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  <w:tr w14:paraId="02BE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D417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FR-32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1A58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演示数据一键恢复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329D9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负责人/运维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4FC2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通过受保护的 C# 命令行工具恢复确定性数据基线并记录审计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AB323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</w:t>
            </w:r>
          </w:p>
        </w:tc>
      </w:tr>
    </w:tbl>
    <w:p w14:paraId="27F2FCC0">
      <w:pPr>
        <w:pStyle w:val="40"/>
        <w:spacing w:after="0"/>
      </w:pPr>
    </w:p>
    <w:p w14:paraId="6A76F106">
      <w:pPr>
        <w:pStyle w:val="40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统计口径：共 32 个功能点，其中 27 个标记为“业务”，均包含状态转换、权限判断、事务、约束、幂等、并发或审计等非简单 CRUD 逻辑，满足课程对功能数量与业务复杂度的要求。</w:t>
      </w:r>
    </w:p>
    <w:p w14:paraId="49EA9AEE">
      <w:pPr>
        <w:pStyle w:val="3"/>
      </w:pPr>
      <w:bookmarkStart w:id="18" w:name="_Toc26051"/>
      <w:r>
        <w:t>玩家端需求</w:t>
      </w:r>
      <w:bookmarkEnd w:id="18"/>
    </w:p>
    <w:p w14:paraId="2873434E">
      <w:pPr>
        <w:pStyle w:val="4"/>
      </w:pPr>
      <w:bookmarkStart w:id="19" w:name="_Toc16948"/>
      <w:r>
        <w:t>账号、资料与导航</w:t>
      </w:r>
      <w:bookmarkEnd w:id="19"/>
    </w:p>
    <w:p w14:paraId="3194F323">
      <w:pPr>
        <w:pStyle w:val="14"/>
        <w:spacing w:after="0"/>
      </w:pPr>
      <w:r>
        <w:rPr>
          <w:rFonts w:ascii="Times New Roman" w:hAnsi="Times New Roman" w:eastAsia="宋体"/>
          <w:sz w:val="21"/>
        </w:rPr>
        <w:t>玩家使用邮箱、昵称和密码注册；邮箱应唯一，密码仅保存安全哈希。</w:t>
      </w:r>
    </w:p>
    <w:p w14:paraId="209B17BD">
      <w:pPr>
        <w:pStyle w:val="14"/>
        <w:spacing w:after="0"/>
      </w:pPr>
      <w:r>
        <w:rPr>
          <w:rFonts w:ascii="Times New Roman" w:hAnsi="Times New Roman" w:eastAsia="宋体"/>
          <w:sz w:val="21"/>
        </w:rPr>
        <w:t>登录成功后返回带角色和主体标识的 JWT；前端依据角色进入对应工作区，后端再次强制鉴权。</w:t>
      </w:r>
    </w:p>
    <w:p w14:paraId="1D6C5661">
      <w:pPr>
        <w:pStyle w:val="14"/>
        <w:spacing w:after="0"/>
      </w:pPr>
      <w:r>
        <w:rPr>
          <w:rFonts w:ascii="Times New Roman" w:hAnsi="Times New Roman" w:eastAsia="宋体"/>
          <w:sz w:val="21"/>
        </w:rPr>
        <w:t>玩家可维护展示名、简介、主题和已拥有徽章；浏览器只保存界面偏好，不保存业务真相。</w:t>
      </w:r>
    </w:p>
    <w:p w14:paraId="6ADAC770">
      <w:pPr>
        <w:pStyle w:val="14"/>
        <w:spacing w:after="0"/>
      </w:pPr>
      <w:r>
        <w:rPr>
          <w:rFonts w:ascii="Times New Roman" w:hAnsi="Times New Roman" w:eastAsia="宋体"/>
          <w:sz w:val="21"/>
        </w:rPr>
        <w:t>桌面端采用接近 Steam 的顶部导航、商店二级导航和深色视觉；移动端提供可操作的折叠菜单。</w:t>
      </w:r>
    </w:p>
    <w:p w14:paraId="1A237D4B">
      <w:pPr>
        <w:pStyle w:val="4"/>
      </w:pPr>
      <w:bookmarkStart w:id="20" w:name="_Toc22053"/>
      <w:r>
        <w:t>商店、钱包与订单</w:t>
      </w:r>
      <w:bookmarkEnd w:id="20"/>
    </w:p>
    <w:p w14:paraId="3747B364">
      <w:pPr>
        <w:pStyle w:val="14"/>
        <w:spacing w:after="0"/>
      </w:pPr>
      <w:r>
        <w:rPr>
          <w:rFonts w:ascii="Times New Roman" w:hAnsi="Times New Roman" w:eastAsia="宋体"/>
          <w:sz w:val="21"/>
        </w:rPr>
        <w:t>商店只显示 status=ONLINE 的游戏；搜索、筛选、排序和详情均可直接访问。</w:t>
      </w:r>
    </w:p>
    <w:p w14:paraId="7C4DAC4A">
      <w:pPr>
        <w:pStyle w:val="14"/>
        <w:spacing w:after="0"/>
      </w:pPr>
      <w:r>
        <w:rPr>
          <w:rFonts w:ascii="Times New Roman" w:hAnsi="Times New Roman" w:eastAsia="宋体"/>
          <w:sz w:val="21"/>
        </w:rPr>
        <w:t>玩家充值前必须看到金额确认，不允许零数或负数；成功后余额和充值流水一致增加。</w:t>
      </w:r>
    </w:p>
    <w:p w14:paraId="3874F163">
      <w:pPr>
        <w:pStyle w:val="14"/>
        <w:spacing w:after="0"/>
      </w:pPr>
      <w:r>
        <w:rPr>
          <w:rFonts w:ascii="Times New Roman" w:hAnsi="Times New Roman" w:eastAsia="宋体"/>
          <w:sz w:val="21"/>
        </w:rPr>
        <w:t>DST 购买需要校验价格、玩家余额和是否已拥有；扣款、订单、支付、状态日志和游戏库写入必须原子完成。</w:t>
      </w:r>
    </w:p>
    <w:p w14:paraId="272336D9">
      <w:pPr>
        <w:pStyle w:val="14"/>
        <w:spacing w:after="0"/>
      </w:pPr>
      <w:r>
        <w:rPr>
          <w:rFonts w:ascii="Times New Roman" w:hAnsi="Times New Roman" w:eastAsia="宋体"/>
          <w:sz w:val="21"/>
        </w:rPr>
        <w:t>CS2 为免费入库，仍需建立玩家与游戏的唯一库关系，避免重复领取。</w:t>
      </w:r>
    </w:p>
    <w:p w14:paraId="76C915C7">
      <w:pPr>
        <w:pStyle w:val="14"/>
        <w:spacing w:after="0"/>
      </w:pPr>
      <w:r>
        <w:rPr>
          <w:rFonts w:ascii="Times New Roman" w:hAnsi="Times New Roman" w:eastAsia="宋体"/>
          <w:sz w:val="21"/>
        </w:rPr>
        <w:t>退款只针对当前玩家可退款订单；管理员批准后把游戏库权益置为 REVOKED，并按原支付方式处理退款：STEAM_WALLET 原路回到钱包并写流水，外部演示支付只更新支付/退款事实，不虚增钱包。</w:t>
      </w:r>
    </w:p>
    <w:p w14:paraId="44783C2B">
      <w:pPr>
        <w:pStyle w:val="4"/>
      </w:pPr>
      <w:bookmarkStart w:id="21" w:name="_Toc26615"/>
      <w:r>
        <w:t>库存与社区市场</w:t>
      </w:r>
      <w:bookmarkEnd w:id="21"/>
    </w:p>
    <w:p w14:paraId="325D8878">
      <w:pPr>
        <w:pStyle w:val="14"/>
        <w:spacing w:after="0"/>
      </w:pPr>
      <w:r>
        <w:rPr>
          <w:rFonts w:ascii="Times New Roman" w:hAnsi="Times New Roman" w:eastAsia="宋体"/>
          <w:sz w:val="21"/>
        </w:rPr>
        <w:t>库存物品是实例级资产，每件物品有唯一标识、所有者、状态、来源和模板。</w:t>
      </w:r>
    </w:p>
    <w:p w14:paraId="6F78ADB4">
      <w:pPr>
        <w:pStyle w:val="14"/>
        <w:spacing w:after="0"/>
      </w:pPr>
      <w:r>
        <w:rPr>
          <w:rFonts w:ascii="Times New Roman" w:hAnsi="Times New Roman" w:eastAsia="宋体"/>
          <w:sz w:val="21"/>
        </w:rPr>
        <w:t>掉落前校验玩家拥有对应游戏；退款流程不得与掉落并发造成先退库后产出资产。</w:t>
      </w:r>
    </w:p>
    <w:p w14:paraId="0E61B0BF">
      <w:pPr>
        <w:pStyle w:val="14"/>
        <w:spacing w:after="0"/>
      </w:pPr>
      <w:r>
        <w:rPr>
          <w:rFonts w:ascii="Times New Roman" w:hAnsi="Times New Roman" w:eastAsia="宋体"/>
          <w:sz w:val="21"/>
        </w:rPr>
        <w:t>卖出挂单将物品由 NORMAL 转为 IN_MARKET；撤单或成交后恢复为 NORMAL，并只允许合法状态转换。</w:t>
      </w:r>
    </w:p>
    <w:p w14:paraId="5C51ADB7">
      <w:pPr>
        <w:pStyle w:val="14"/>
        <w:spacing w:after="0"/>
      </w:pPr>
      <w:r>
        <w:rPr>
          <w:rFonts w:ascii="Times New Roman" w:hAnsi="Times New Roman" w:eastAsia="宋体"/>
          <w:sz w:val="21"/>
        </w:rPr>
        <w:t>撮合购买必须锁定目标挂单和买方钱包；一个挂单至多成交一次，余额不足或并发冲突返回确定错误。</w:t>
      </w:r>
    </w:p>
    <w:p w14:paraId="3A643678">
      <w:pPr>
        <w:pStyle w:val="14"/>
        <w:spacing w:after="0"/>
      </w:pPr>
      <w:r>
        <w:rPr>
          <w:rFonts w:ascii="Times New Roman" w:hAnsi="Times New Roman" w:eastAsia="宋体"/>
          <w:sz w:val="21"/>
        </w:rPr>
        <w:t>成交后同时写市场成交、钱包流水、资产转移账本和库存新所有者；任何一步失败均整体回滚。</w:t>
      </w:r>
    </w:p>
    <w:p w14:paraId="2B12C338">
      <w:pPr>
        <w:pStyle w:val="4"/>
      </w:pPr>
      <w:bookmarkStart w:id="22" w:name="_Toc11585"/>
      <w:r>
        <w:t>社区与社交</w:t>
      </w:r>
      <w:bookmarkEnd w:id="22"/>
    </w:p>
    <w:p w14:paraId="636258E2">
      <w:pPr>
        <w:pStyle w:val="14"/>
        <w:spacing w:after="0"/>
      </w:pPr>
      <w:r>
        <w:rPr>
          <w:rFonts w:ascii="Times New Roman" w:hAnsi="Times New Roman" w:eastAsia="宋体"/>
          <w:sz w:val="21"/>
        </w:rPr>
        <w:t>只有拥有对应游戏的玩家可发布评价；评价修改保留版本，投票对每名玩家和评价唯一。</w:t>
      </w:r>
    </w:p>
    <w:p w14:paraId="7E0868DF">
      <w:pPr>
        <w:pStyle w:val="14"/>
        <w:spacing w:after="0"/>
      </w:pPr>
      <w:r>
        <w:rPr>
          <w:rFonts w:ascii="Times New Roman" w:hAnsi="Times New Roman" w:eastAsia="宋体"/>
          <w:sz w:val="21"/>
        </w:rPr>
        <w:t>应用支持发送好友申请和接受待处理申请；只有 ACCEPTED 关系的双方才可读取会话和发送私信。数据库还为后续 DECLINED/BLOCKED 状态保留约束，但当前界面不提供拒绝、屏蔽或删除操作。</w:t>
      </w:r>
    </w:p>
    <w:p w14:paraId="62E598C0">
      <w:pPr>
        <w:pStyle w:val="14"/>
        <w:spacing w:after="0"/>
      </w:pPr>
      <w:r>
        <w:rPr>
          <w:rFonts w:ascii="Times New Roman" w:hAnsi="Times New Roman" w:eastAsia="宋体"/>
          <w:sz w:val="21"/>
        </w:rPr>
        <w:t>私信和站内通知必须持久化到 Oracle；在线用户同时通过 SignalR 获得即时提示。</w:t>
      </w:r>
    </w:p>
    <w:p w14:paraId="29237DC3">
      <w:pPr>
        <w:pStyle w:val="14"/>
        <w:spacing w:after="0"/>
      </w:pPr>
      <w:r>
        <w:rPr>
          <w:rFonts w:ascii="Times New Roman" w:hAnsi="Times New Roman" w:eastAsia="宋体"/>
          <w:sz w:val="21"/>
        </w:rPr>
        <w:t>社区动态、讨论主题与回复、工坊订阅、徽章和报价均需绑定当前玩家，不能相信客户端传入的他人身份。</w:t>
      </w:r>
    </w:p>
    <w:p w14:paraId="128CEC00">
      <w:pPr>
        <w:pStyle w:val="3"/>
      </w:pPr>
      <w:bookmarkStart w:id="23" w:name="_Toc531"/>
      <w:r>
        <w:t>开发商端需求</w:t>
      </w:r>
      <w:bookmarkEnd w:id="23"/>
    </w:p>
    <w:p w14:paraId="693EEAFA">
      <w:pPr>
        <w:pStyle w:val="14"/>
        <w:spacing w:after="0"/>
      </w:pPr>
      <w:r>
        <w:rPr>
          <w:rFonts w:ascii="Times New Roman" w:hAnsi="Times New Roman" w:eastAsia="宋体"/>
          <w:sz w:val="21"/>
        </w:rPr>
        <w:t>开发商登录后进入独立工作区，可创建和编辑归属自己的游戏；新建游戏固定为 OFFLINE。</w:t>
      </w:r>
    </w:p>
    <w:p w14:paraId="75E9855F">
      <w:pPr>
        <w:pStyle w:val="14"/>
        <w:spacing w:after="0"/>
      </w:pPr>
      <w:r>
        <w:rPr>
          <w:rFonts w:ascii="Times New Roman" w:hAnsi="Times New Roman" w:eastAsia="宋体"/>
          <w:sz w:val="21"/>
        </w:rPr>
        <w:t>开发商不得直接改变游戏的 ONLINE/OFFLINE 状态，也不得读取或修改其他开发商的游戏和 CDKey 批次；只有 OFFLINE 游戏允许删除。</w:t>
      </w:r>
    </w:p>
    <w:p w14:paraId="2FA8B438">
      <w:pPr>
        <w:pStyle w:val="14"/>
        <w:spacing w:after="0"/>
      </w:pPr>
      <w:r>
        <w:rPr>
          <w:rFonts w:ascii="Times New Roman" w:hAnsi="Times New Roman" w:eastAsia="宋体"/>
          <w:sz w:val="21"/>
        </w:rPr>
        <w:t>CDKey 批次必须绑定某个自有游戏；每个密钥全局唯一，兑换后不可再次使用并记录兑换玩家与时间。</w:t>
      </w:r>
    </w:p>
    <w:p w14:paraId="5CBBAD77">
      <w:pPr>
        <w:pStyle w:val="14"/>
        <w:spacing w:after="0"/>
      </w:pPr>
      <w:r>
        <w:rPr>
          <w:rFonts w:ascii="Times New Roman" w:hAnsi="Times New Roman" w:eastAsia="宋体"/>
          <w:sz w:val="21"/>
        </w:rPr>
        <w:t>管理员通过独立授权端点把游戏设置为 ONLINE 或 OFFLINE；ONLINE 游戏向公众可见，OFFLINE 游戏仅归属开发商和管理员可见。</w:t>
      </w:r>
    </w:p>
    <w:p w14:paraId="46557D73">
      <w:pPr>
        <w:pStyle w:val="3"/>
      </w:pPr>
      <w:bookmarkStart w:id="24" w:name="_Toc5824"/>
      <w:r>
        <w:t>管理员端需求</w:t>
      </w:r>
      <w:bookmarkEnd w:id="24"/>
    </w:p>
    <w:p w14:paraId="27C29519">
      <w:pPr>
        <w:pStyle w:val="14"/>
        <w:spacing w:after="0"/>
      </w:pPr>
      <w:r>
        <w:rPr>
          <w:rFonts w:ascii="Times New Roman" w:hAnsi="Times New Roman" w:eastAsia="宋体"/>
          <w:sz w:val="21"/>
        </w:rPr>
        <w:t>管理员治理游戏上/下架状态，只能在 ONLINE 与 OFFLINE 之间切换；系统不声称实现游戏审批意见或通过/拒绝工作流。</w:t>
      </w:r>
    </w:p>
    <w:p w14:paraId="52003D23">
      <w:pPr>
        <w:pStyle w:val="14"/>
        <w:spacing w:after="0"/>
      </w:pPr>
      <w:r>
        <w:rPr>
          <w:rFonts w:ascii="Times New Roman" w:hAnsi="Times New Roman" w:eastAsia="宋体"/>
          <w:sz w:val="21"/>
        </w:rPr>
        <w:t>管理员查看退款工单及订单事实，只能按允许状态进行审批，不能修改已完成工单。</w:t>
      </w:r>
    </w:p>
    <w:p w14:paraId="33913EF3">
      <w:pPr>
        <w:pStyle w:val="14"/>
        <w:spacing w:after="0"/>
      </w:pPr>
      <w:r>
        <w:rPr>
          <w:rFonts w:ascii="Times New Roman" w:hAnsi="Times New Roman" w:eastAsia="宋体"/>
          <w:sz w:val="21"/>
        </w:rPr>
        <w:t>管理员维护启动公告，控制标题、摘要、图片、跳转路径、发布时间、状态和展示顺序。</w:t>
      </w:r>
    </w:p>
    <w:p w14:paraId="1ACFDB77">
      <w:pPr>
        <w:pStyle w:val="14"/>
        <w:spacing w:after="0"/>
      </w:pPr>
      <w:r>
        <w:rPr>
          <w:rFonts w:ascii="Times New Roman" w:hAnsi="Times New Roman" w:eastAsia="宋体"/>
          <w:sz w:val="21"/>
        </w:rPr>
        <w:t>演示数据恢复不是 Web 管理端功能；负责人/运维通过 SteamPlatform.DemoData C# 命令行工具执行，并输入 RESET-DEMO-DATA 或 RESTORE-DEMO-DATA 确认串。运行、逐表快照及阶段事件必须写入审计表。</w:t>
      </w:r>
    </w:p>
    <w:p w14:paraId="13B5BBCE">
      <w:pPr>
        <w:pStyle w:val="3"/>
      </w:pPr>
      <w:bookmarkStart w:id="25" w:name="_Toc23484"/>
      <w:r>
        <w:t>核心用例规约</w:t>
      </w:r>
      <w:bookmarkEnd w:id="25"/>
    </w:p>
    <w:p w14:paraId="1813B8D0">
      <w:pPr>
        <w:pStyle w:val="13"/>
        <w:keepNext/>
        <w:ind w:firstLine="0"/>
        <w:jc w:val="center"/>
      </w:pPr>
      <w:bookmarkStart w:id="26" w:name="tbl_6"/>
      <w:r>
        <w:rPr>
          <w:rFonts w:ascii="Times New Roman" w:hAnsi="Times New Roman" w:eastAsia="黑体"/>
          <w:sz w:val="20"/>
        </w:rPr>
        <w:t>表格 2-2  核心用例规约</w:t>
      </w:r>
      <w:bookmarkEnd w:id="26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0ABD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A328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编号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A1F71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用例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171F6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前置条件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F2E4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触发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534C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主成功场景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4FE11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异常/替代场景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7745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后置条件</w:t>
            </w:r>
          </w:p>
        </w:tc>
      </w:tr>
      <w:tr w14:paraId="768D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9CF7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UC-01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4FC2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玩家登录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E3F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账号存在且未被禁用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B1BD4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提交角色、账号、密码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13F55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校验哈希；签发 JWT；返回角色工作区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74BCD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错误密码返回统一失败，不泄露账号状态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C204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获得有效会话</w:t>
            </w:r>
          </w:p>
        </w:tc>
      </w:tr>
      <w:tr w14:paraId="44CF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9B0B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UC-02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C25A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购买 DST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DCAF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玩家登录；DST 为 ONLINE；未拥有；钱包支付时余额充足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DA29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选择支付方式并提交幂等键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BE5F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校验价格与资格；钱包方式锁钱包并扣款；外部方式记录模拟支付；建订单/明细/支付/状态并加入库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C1E2E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余额不足、重复拥有或幂等键参数不一致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03B9B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订单已支付且库权益存在</w:t>
            </w:r>
          </w:p>
        </w:tc>
      </w:tr>
      <w:tr w14:paraId="67A5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316BE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160B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申请并审核退款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B8427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订单归当前玩家且满足退款条件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24F5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玩家申请；管理员审批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DE1F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写工单；审批时锁定关键事实；库权益置 REVOKED；钱包支付则返还钱包并写流水，外部支付则更新支付/退款事实；写审核日志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A17A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重复申请、已处理、无权限或权益状态冲突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5482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退款完成且事实可追溯</w:t>
            </w:r>
          </w:p>
        </w:tc>
      </w:tr>
      <w:tr w14:paraId="522C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E1906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4CF6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 兑换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D5659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玩家登录；密钥存在且未使用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B6736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提交密钥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A674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锁定密钥；校验游戏与状态；加入库；标记已用；写兑换日志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953C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无效、已使用、已拥有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4CF9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获得唯一库权益</w:t>
            </w:r>
          </w:p>
        </w:tc>
      </w:tr>
      <w:tr w14:paraId="0920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ECAE4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4B2D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库存掉落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6BFF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玩家拥有 CS2；掉落规则允许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632B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请求掉落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970F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校验库记录并锁定关键事实；生成物品实例；写资产账本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35488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无游戏权益、并发退款或请求不合法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CCC8F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库存增加一件唯一资产</w:t>
            </w:r>
          </w:p>
        </w:tc>
      </w:tr>
      <w:tr w14:paraId="7214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6B3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UC-06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3D932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市场挂单与购买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4624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卖家拥有可交易物品；买家余额充足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4F3B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卖家挂单，买家选择购买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E215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锁物品/挂单/钱包；成交；扣买家、入卖家；转移所有权；写双账本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1798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自买、余额不足、并发售出或挂单失效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E280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订单成交且资产资金守恒</w:t>
            </w:r>
          </w:p>
        </w:tc>
      </w:tr>
      <w:tr w14:paraId="5E29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1991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UC-07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7B1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好友私信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8A4D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双方为玩家且关系已接受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62AC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发送文本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FA0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验证关系；持久化消息；创建通知；SignalR 推送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06D5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非好友、空内容、越权读取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623F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离线可追溯，在线即时到达</w:t>
            </w:r>
          </w:p>
        </w:tc>
      </w:tr>
      <w:tr w14:paraId="062A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56AD2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UC-08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A84B8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开发商维护与管理员上架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09B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开发商账号和管理员账号可用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865E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开发商创建 OFFLINE 游戏；管理员设置 ONLINE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38D5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验证开发商归属；写入游戏；管理员授权端点更新状态；公开商店按 ONLINE 过滤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3FD8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跨开发商访问或开发商越权改状态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D0A9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游戏公开可见且角色边界有效</w:t>
            </w:r>
          </w:p>
        </w:tc>
      </w:tr>
      <w:tr w14:paraId="5633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3042E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UC-09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F97FF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恢复演示数据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76AB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负责人/运维可登录服务器并持有数据库连接配置</w:t>
            </w: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C76A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运行 C# 工具并输入确认串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75B20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建立快照；在事务中清理与回灌；验证最低基线；逐表和逐阶段审计；必要时按 run-id 恢复快照</w:t>
            </w:r>
          </w:p>
        </w:tc>
        <w:tc>
          <w:tcPr>
            <w:tcW w:w="18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10AE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确认串错误、SQL 不安全或执行失败</w:t>
            </w:r>
          </w:p>
        </w:tc>
        <w:tc>
          <w:tcPr>
            <w:tcW w:w="15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9B7A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可重复获得确定性答辩状态或恢复执行前快照</w:t>
            </w:r>
          </w:p>
        </w:tc>
      </w:tr>
    </w:tbl>
    <w:p w14:paraId="5BA12C89">
      <w:pPr>
        <w:pStyle w:val="40"/>
        <w:spacing w:after="0"/>
      </w:pPr>
    </w:p>
    <w:p w14:paraId="6D3AA91B">
      <w:pPr>
        <w:pStyle w:val="3"/>
      </w:pPr>
      <w:bookmarkStart w:id="27" w:name="_Toc3697"/>
      <w:r>
        <w:t>业务规则</w:t>
      </w:r>
      <w:bookmarkEnd w:id="27"/>
    </w:p>
    <w:p w14:paraId="4F679179">
      <w:pPr>
        <w:pStyle w:val="13"/>
        <w:keepNext/>
        <w:ind w:firstLine="0"/>
        <w:jc w:val="center"/>
      </w:pPr>
      <w:bookmarkStart w:id="28" w:name="tbl_7"/>
      <w:r>
        <w:rPr>
          <w:rFonts w:ascii="Times New Roman" w:hAnsi="Times New Roman" w:eastAsia="黑体"/>
          <w:sz w:val="20"/>
        </w:rPr>
        <w:t>表格 2-3  关键业务规则</w:t>
      </w:r>
      <w:bookmarkEnd w:id="28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2AF6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8F21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编号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7D4E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规则名称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7AAC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规则内容</w:t>
            </w:r>
          </w:p>
        </w:tc>
      </w:tr>
      <w:tr w14:paraId="2DEA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AB01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E9E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身份来源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337DA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主体身份从服务器验证后的 JWT Claims 获取，禁止以客户端传入的 playerId/developerId 作为授权依据。</w:t>
            </w:r>
          </w:p>
        </w:tc>
      </w:tr>
      <w:tr w14:paraId="67ED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7278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4B4D3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钱包真相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EFC8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WALLET_ACCOUNT.available_balance 与 frozen_balance 是余额唯一真相；PLAYER 不保存重复钱包余额。</w:t>
            </w:r>
          </w:p>
        </w:tc>
      </w:tr>
      <w:tr w14:paraId="1A39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9770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BR-03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9CCA8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资金守恒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532D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钱包购买、钱包退款、充值和市场结算必须同时更新余额并写 WALLET_TRANSACTION；外部演示支付只更新支付/退款事实，不伪造钱包变动。</w:t>
            </w:r>
          </w:p>
        </w:tc>
      </w:tr>
      <w:tr w14:paraId="3197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3316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BR-04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C8C96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资产真相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588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INVENTORY_ITEM 表示当前所有权，ITEM_TRANSFER_LEDGER 记录不可变历史；二者在同一事务变更。</w:t>
            </w:r>
          </w:p>
        </w:tc>
      </w:tr>
      <w:tr w14:paraId="3720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2D8E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BR-05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1CE5F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唯一权益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B865A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同一玩家与游戏至多一条 PLAYER_LIBRARY；购买、免费入库和 CDKey 兑换均遵守。</w:t>
            </w:r>
          </w:p>
        </w:tc>
      </w:tr>
      <w:tr w14:paraId="03FC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AB91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BR-06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5DE1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幂等绑定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A7E37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幂等键必须同时绑定调用者和规范化请求内容；键相同而参数不同必须拒绝。</w:t>
            </w:r>
          </w:p>
        </w:tc>
      </w:tr>
      <w:tr w14:paraId="137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39AA3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BR-07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0D29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状态机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B083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订单、退款、市场订单、库存、好友、报价和游戏上/下架只允许定义好的状态转换。</w:t>
            </w:r>
          </w:p>
        </w:tc>
      </w:tr>
      <w:tr w14:paraId="19E00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3503A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BR-08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0FAB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并发成交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3A23C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购买市场挂单时使用 Oracle 行级锁；同一挂单最多一个成功买家。</w:t>
            </w:r>
          </w:p>
        </w:tc>
      </w:tr>
      <w:tr w14:paraId="11531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DF5D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BR-09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10B13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退款隔离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C926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玩家只能看到和申请自己的订单；管理员基于订单事实审批，开发商不可代审。</w:t>
            </w:r>
          </w:p>
        </w:tc>
      </w:tr>
      <w:tr w14:paraId="3EBF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FE6A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BR-10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A7A2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开发商隔离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424F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开发商只能维护 owner_developer_id 等于当前主体的游戏和 CDKey。</w:t>
            </w:r>
          </w:p>
        </w:tc>
      </w:tr>
      <w:tr w14:paraId="3871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5BD7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BR-11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1DFD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评价资格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8F3A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评价与项目成就必须绑定玩家游戏库事实；评价更新生成 REVIEW_VERSION。</w:t>
            </w:r>
          </w:p>
        </w:tc>
      </w:tr>
      <w:tr w14:paraId="46BF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1066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BR-12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3A2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演示恢复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E3F9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恢复脚本只作用于课程演示数据，执行必须审计，且 database/admin 下脚本不自动部署。</w:t>
            </w:r>
          </w:p>
        </w:tc>
      </w:tr>
    </w:tbl>
    <w:p w14:paraId="210BE2EB">
      <w:pPr>
        <w:pStyle w:val="40"/>
        <w:spacing w:after="0"/>
      </w:pPr>
    </w:p>
    <w:p w14:paraId="467115DC">
      <w:pPr>
        <w:pStyle w:val="3"/>
      </w:pPr>
      <w:bookmarkStart w:id="29" w:name="_Toc4428"/>
      <w:r>
        <w:t>数据需求</w:t>
      </w:r>
      <w:bookmarkEnd w:id="29"/>
    </w:p>
    <w:p w14:paraId="3BE5E87C">
      <w:pPr>
        <w:pStyle w:val="13"/>
        <w:keepNext/>
        <w:ind w:firstLine="0"/>
        <w:jc w:val="center"/>
      </w:pPr>
      <w:bookmarkStart w:id="30" w:name="tbl_8"/>
      <w:r>
        <w:rPr>
          <w:rFonts w:ascii="Times New Roman" w:hAnsi="Times New Roman" w:eastAsia="黑体"/>
          <w:sz w:val="20"/>
        </w:rPr>
        <w:t>表格 2-4  数据主题与完整性要求</w:t>
      </w:r>
      <w:bookmarkEnd w:id="30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2C7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75194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数据主题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FDBB6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主要实体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3034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完整性与追溯要求</w:t>
            </w:r>
          </w:p>
        </w:tc>
      </w:tr>
      <w:tr w14:paraId="7ACB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B4BE6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主体与权限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4C01D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玩家、开发商、管理员、钱包、资料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02951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邮箱与主体标识唯一；密码哈希；角色边界；钱包与玩家一一对应</w:t>
            </w:r>
          </w:p>
        </w:tc>
      </w:tr>
      <w:tr w14:paraId="385A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93D59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游戏发行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B4A00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游戏、公告、CDKey 批次与密钥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6DD3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游戏归属开发商；ONLINE/OFFLINE 状态受控；密钥唯一且兑换不可逆</w:t>
            </w:r>
          </w:p>
        </w:tc>
      </w:tr>
      <w:tr w14:paraId="5A0E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42E29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交易权益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C43A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订单、明细、状态日志、支付、退款、库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0438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订单金额守恒；状态日志追加；权益唯一；退款与原订单关联</w:t>
            </w:r>
          </w:p>
        </w:tc>
      </w:tr>
      <w:tr w14:paraId="578A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9BC6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内容互动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E2A6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评价、版本、投票、成就、工坊、社区和讨论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CA95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资格由库验证；版本与互动唯一；删除策略不破坏审计链</w:t>
            </w:r>
          </w:p>
        </w:tc>
      </w:tr>
      <w:tr w14:paraId="2851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DDB5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物品市场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F59D3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模板、库存实例、挂单、成交、资产账本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CC8A6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所有权唯一；挂单状态受控；成交与资金/资产记录原子一致</w:t>
            </w:r>
          </w:p>
        </w:tc>
      </w:tr>
      <w:tr w14:paraId="4DC0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74BA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社交通知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C73F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好友、私信、通知、徽章、交易报价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6CC99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按当前玩家隔离；关系唯一；消息和通知可离线追溯</w:t>
            </w:r>
          </w:p>
        </w:tc>
      </w:tr>
      <w:tr w14:paraId="6A2F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BC84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演示审计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CAD5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恢复运行、逐表结果、事件</w:t>
            </w:r>
          </w:p>
        </w:tc>
        <w:tc>
          <w:tcPr>
            <w:tcW w:w="442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D0BC1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每次恢复有唯一运行记录、阶段结果和失败信息</w:t>
            </w:r>
          </w:p>
        </w:tc>
      </w:tr>
    </w:tbl>
    <w:p w14:paraId="19671008">
      <w:pPr>
        <w:pStyle w:val="40"/>
        <w:spacing w:after="0"/>
      </w:pPr>
    </w:p>
    <w:p w14:paraId="523F3F52">
      <w:pPr>
        <w:pStyle w:val="3"/>
      </w:pPr>
      <w:bookmarkStart w:id="31" w:name="_Toc6139"/>
      <w:r>
        <w:t>非功能需求</w:t>
      </w:r>
      <w:bookmarkEnd w:id="31"/>
    </w:p>
    <w:p w14:paraId="347376F7">
      <w:pPr>
        <w:pStyle w:val="13"/>
        <w:keepNext/>
        <w:ind w:firstLine="0"/>
        <w:jc w:val="center"/>
      </w:pPr>
      <w:bookmarkStart w:id="32" w:name="tbl_9"/>
      <w:r>
        <w:rPr>
          <w:rFonts w:ascii="Times New Roman" w:hAnsi="Times New Roman" w:eastAsia="黑体"/>
          <w:sz w:val="20"/>
        </w:rPr>
        <w:t>表格 2-5  非功能需求及验收标准</w:t>
      </w:r>
      <w:bookmarkEnd w:id="32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85B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AA776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编号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07FCA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质量属性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0A54A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要求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1665FC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验收方式</w:t>
            </w:r>
          </w:p>
        </w:tc>
      </w:tr>
      <w:tr w14:paraId="575D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A8CF3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NFR-01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CD3AE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正确性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AF172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资金、权益和资产交易必须满足事务原子性、唯一性和可审计性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DF9C6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验证脚本 21 项断言全部通过</w:t>
            </w:r>
          </w:p>
        </w:tc>
      </w:tr>
      <w:tr w14:paraId="69B2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8101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8F96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安全性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0D894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HTTPS；JWT 校验签名/签发方/受众/有效期；角色授权；登录限流；密钥不入库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5B20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安全配置测试与人工检查通过</w:t>
            </w:r>
          </w:p>
        </w:tc>
      </w:tr>
      <w:tr w14:paraId="3551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14E8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FB49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可靠性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1851A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异常由统一中间件映射；关键写操作回滚；演示数据可恢复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A005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自动化回归和恢复演练通过</w:t>
            </w:r>
          </w:p>
        </w:tc>
      </w:tr>
      <w:tr w14:paraId="374E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E69CD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NFR-04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2D0BF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性能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BCE2F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常用外键和检索条件建立索引；列表分页；静态资源缓存；避免 N+1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EDD33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普通答辩负载下主要页面可流畅操作</w:t>
            </w:r>
          </w:p>
        </w:tc>
      </w:tr>
      <w:tr w14:paraId="0E29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C9F0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NFR-05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AF312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并发性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D592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市场成交、钱包和资产操作采用行锁与状态条件，冲突返回可理解错误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03A55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并发回归测试保证单挂单单成交</w:t>
            </w:r>
          </w:p>
        </w:tc>
      </w:tr>
      <w:tr w14:paraId="06F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A119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NFR-06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30782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易用性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E9EA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Steam 风格一致导航；加载、空、错误、禁用与确认状态完整；按钮均有有效反馈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017E7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桌面与移动端 E2E 场景通过</w:t>
            </w:r>
          </w:p>
        </w:tc>
      </w:tr>
      <w:tr w14:paraId="00CB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B575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NFR-07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744E4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兼容性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17DC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支持现代 Chromium 浏览器；响应式适配桌面和移动宽度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EED2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云端 Playwright 多视口验证</w:t>
            </w:r>
          </w:p>
        </w:tc>
      </w:tr>
      <w:tr w14:paraId="2BD5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F841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NFR-08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FBC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可维护性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86AA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五层依赖方向、功能分支、PR、UTF-8、统一 DTO 与错误格式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2636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CI 构建和测试，代码目录审查</w:t>
            </w:r>
          </w:p>
        </w:tc>
      </w:tr>
      <w:tr w14:paraId="21FE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F053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NFR-09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0E7C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可部署性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4C0C2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单台云服务器可运行 Nginx、.NET 与 Oracle；内部服务不暴露公网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A81CC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公网 HTTPS、API 与数据库健康检查</w:t>
            </w:r>
          </w:p>
        </w:tc>
      </w:tr>
      <w:tr w14:paraId="70B0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4D5A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NFR-10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2020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可追溯性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71E5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需求编号映射模块、表、接口和测试；文档与实际版本一致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89184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追踪矩阵与答辩证据可查</w:t>
            </w:r>
          </w:p>
        </w:tc>
      </w:tr>
    </w:tbl>
    <w:p w14:paraId="05E095CC">
      <w:pPr>
        <w:pStyle w:val="40"/>
        <w:spacing w:after="0"/>
      </w:pPr>
    </w:p>
    <w:p w14:paraId="26D10B47">
      <w:pPr>
        <w:pStyle w:val="3"/>
      </w:pPr>
      <w:bookmarkStart w:id="33" w:name="_Toc30106"/>
      <w:r>
        <w:t>接口与外部环境需求</w:t>
      </w:r>
      <w:bookmarkEnd w:id="33"/>
    </w:p>
    <w:p w14:paraId="2C832C23">
      <w:pPr>
        <w:pStyle w:val="14"/>
        <w:spacing w:after="0"/>
      </w:pPr>
      <w:r>
        <w:rPr>
          <w:rFonts w:ascii="Times New Roman" w:hAnsi="Times New Roman" w:eastAsia="宋体"/>
          <w:sz w:val="21"/>
        </w:rPr>
        <w:t>浏览器与服务器：HTTPS/JSON REST；SignalR 使用 WebSocket，必要时自动回退兼容传输。</w:t>
      </w:r>
    </w:p>
    <w:p w14:paraId="757CA215">
      <w:pPr>
        <w:pStyle w:val="14"/>
        <w:spacing w:after="0"/>
      </w:pPr>
      <w:r>
        <w:rPr>
          <w:rFonts w:ascii="Times New Roman" w:hAnsi="Times New Roman" w:eastAsia="宋体"/>
          <w:sz w:val="21"/>
        </w:rPr>
        <w:t>Nginx 与应用服务器：反向代理到 127.0.0.1:5253；静态前端由 Nginx 提供。</w:t>
      </w:r>
    </w:p>
    <w:p w14:paraId="42A96D68">
      <w:pPr>
        <w:pStyle w:val="14"/>
        <w:spacing w:after="0"/>
      </w:pPr>
      <w:r>
        <w:rPr>
          <w:rFonts w:ascii="Times New Roman" w:hAnsi="Times New Roman" w:eastAsia="宋体"/>
          <w:sz w:val="21"/>
        </w:rPr>
        <w:t>应用服务器与 Oracle：仅通过 127.0.0.1:1521 访问，不开放公网 1521。</w:t>
      </w:r>
    </w:p>
    <w:p w14:paraId="18B6DE98">
      <w:pPr>
        <w:pStyle w:val="14"/>
        <w:spacing w:after="0"/>
      </w:pPr>
      <w:r>
        <w:rPr>
          <w:rFonts w:ascii="Times New Roman" w:hAnsi="Times New Roman" w:eastAsia="宋体"/>
          <w:sz w:val="21"/>
        </w:rPr>
        <w:t>公开入口：HTTPS 443 为正式入口，HTTP 80 用于跳转；SSH 22 仅管理员运维使用。</w:t>
      </w:r>
    </w:p>
    <w:p w14:paraId="27616A1C">
      <w:pPr>
        <w:pStyle w:val="14"/>
        <w:spacing w:after="0"/>
      </w:pPr>
      <w:r>
        <w:rPr>
          <w:rFonts w:ascii="Times New Roman" w:hAnsi="Times New Roman" w:eastAsia="宋体"/>
          <w:sz w:val="21"/>
        </w:rPr>
        <w:t>健康检查：存活检查不依赖数据库，数据库健康检查明确报告 Oracle 连通状态。</w:t>
      </w:r>
    </w:p>
    <w:p w14:paraId="3D6EB031">
      <w:pPr>
        <w:pStyle w:val="3"/>
      </w:pPr>
      <w:bookmarkStart w:id="34" w:name="_Toc26984"/>
      <w:r>
        <w:t>验收场景</w:t>
      </w:r>
      <w:bookmarkEnd w:id="34"/>
    </w:p>
    <w:p w14:paraId="7BE94202">
      <w:pPr>
        <w:pStyle w:val="13"/>
        <w:keepNext/>
        <w:ind w:firstLine="0"/>
        <w:jc w:val="center"/>
      </w:pPr>
      <w:bookmarkStart w:id="35" w:name="tbl_10"/>
      <w:r>
        <w:rPr>
          <w:rFonts w:ascii="Times New Roman" w:hAnsi="Times New Roman" w:eastAsia="黑体"/>
          <w:sz w:val="20"/>
        </w:rPr>
        <w:t>表格 2-6  系统验收场景</w:t>
      </w:r>
      <w:bookmarkEnd w:id="35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5D32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92DA6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编号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EB24E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场景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0B5C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步骤概要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9C5BD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通过条件</w:t>
            </w:r>
          </w:p>
        </w:tc>
      </w:tr>
      <w:tr w14:paraId="0055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B6A8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AT-01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A05B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账号与权限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7D26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以玩家、开发商、管理员分别登录并尝试访问各工作区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AC3C7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合法页面可用，越权请求为 401/403，不泄露他人数据</w:t>
            </w:r>
          </w:p>
        </w:tc>
      </w:tr>
      <w:tr w14:paraId="080C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609F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AT-02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B583D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DST 购买退款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A497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充值→购买→订单/支付/库→评价/成就→申请退款→管理员批准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FB0E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每步 UI、API 与 Oracle 数据一致，最终余额和权益正确</w:t>
            </w:r>
          </w:p>
        </w:tc>
      </w:tr>
      <w:tr w14:paraId="19BE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0FE16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AT-03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D692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CS2 物品市场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783F4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免费入库→掉落→挂单→另一玩家购买→查看成交和账本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8F40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挂单仅成交一次，资金与资产守恒，双方历史可追溯</w:t>
            </w:r>
          </w:p>
        </w:tc>
      </w:tr>
      <w:tr w14:paraId="196F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D678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AT-04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8AE57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开发商发行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668F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两个开发商分别维护自有游戏与 CDKey，再尝试交叉访问；管理员切换游戏状态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3FE4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各自资源可用，跨开发商访问被拒绝，ONLINE/OFFLINE 与商店可见性一致</w:t>
            </w:r>
          </w:p>
        </w:tc>
      </w:tr>
      <w:tr w14:paraId="69C6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BE4C2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AT-05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FC7C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社区社交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65F3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好友申请→接受→私信→通知→动态/讨论/工坊/投票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869BF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数据刷新后仍存在，在线消息即时提示，未授权读取失败</w:t>
            </w:r>
          </w:p>
        </w:tc>
      </w:tr>
      <w:tr w14:paraId="7FCE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846C2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AT-06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474E0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恢复与回归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2B3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负责人/运维执行 C# 演示恢复工具，然后运行自动化回归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C71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恢复到确定基线，解决方案测试、云端 API/E2E 与数据库断言通过</w:t>
            </w:r>
          </w:p>
        </w:tc>
      </w:tr>
    </w:tbl>
    <w:p w14:paraId="5AFA2952">
      <w:pPr>
        <w:pStyle w:val="40"/>
        <w:spacing w:after="0"/>
      </w:pPr>
    </w:p>
    <w:p w14:paraId="6643759A">
      <w:pPr>
        <w:pStyle w:val="40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验收执行应先恢复演示基线，再按 AT-01 至 AT-06 顺序推进。每个场景同时观察页面反馈、API 返回和 Oracle 事实；涉及余额、权益、物品、退款审核和游戏状态治理的场景必须核对前后状态，不能只以“按钮显示成功”作为通过依据。</w:t>
      </w:r>
    </w:p>
    <w:p w14:paraId="1392861F">
      <w:pPr>
        <w:pStyle w:val="3"/>
      </w:pPr>
      <w:bookmarkStart w:id="36" w:name="_Toc753"/>
      <w:r>
        <w:t>需求追踪矩阵</w:t>
      </w:r>
      <w:bookmarkEnd w:id="36"/>
    </w:p>
    <w:p w14:paraId="68394245">
      <w:pPr>
        <w:pStyle w:val="13"/>
        <w:keepNext/>
        <w:ind w:firstLine="0"/>
        <w:jc w:val="center"/>
      </w:pPr>
      <w:bookmarkStart w:id="37" w:name="tbl_11"/>
      <w:r>
        <w:rPr>
          <w:rFonts w:ascii="Times New Roman" w:hAnsi="Times New Roman" w:eastAsia="黑体"/>
          <w:sz w:val="20"/>
        </w:rPr>
        <w:t>表格 2-7  需求到实现与测试的追踪</w:t>
      </w:r>
      <w:bookmarkEnd w:id="37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5D1D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0CF0B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EB22C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实现模块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6E6C4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主要数据对象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EE7A8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验证证据</w:t>
            </w:r>
          </w:p>
        </w:tc>
      </w:tr>
      <w:tr w14:paraId="4E11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64ED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FR-01~02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817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Auth / Shared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F0E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PLAYER, DEVELOPER, ADMIN_USER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9DF54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AuthEndpointTests、ProtectedEndpointRegressionTests</w:t>
            </w:r>
          </w:p>
        </w:tc>
      </w:tr>
      <w:tr w14:paraId="3134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51BC9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FR-03~07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44DEC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Games / Notices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13B96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GAME, SYS_NOTICE, CDKEY_BATCH, CDKEY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86C71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GameEndpointVisibilityTests、NoticeEndpointTests</w:t>
            </w:r>
          </w:p>
        </w:tc>
      </w:tr>
      <w:tr w14:paraId="0C22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9429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FR-08~13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9A5D9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CoreTransactions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A252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WALLET_ACCOUNT, GAME_ORDER 等 11 表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AD63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CoreTransactionWorkflowRegressionTests、云端 API 场景</w:t>
            </w:r>
          </w:p>
        </w:tc>
      </w:tr>
      <w:tr w14:paraId="75DB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2D038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FR-14~16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528D5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Community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289C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GAME_REVIEW, REVIEW_VERSION, ACHIEVEMENT 等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2754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CommunityEndpointTests、数据库断言</w:t>
            </w:r>
          </w:p>
        </w:tc>
      </w:tr>
      <w:tr w14:paraId="26B6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6BE3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FR-17~22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51963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Inventory / Market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B16D7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ITEM_TEMPLATE, INVENTORY_ITEM, MARKET_ORDER 等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C0A7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InventoryEndpointTests、MarketEndpointTests</w:t>
            </w:r>
          </w:p>
        </w:tc>
      </w:tr>
      <w:tr w14:paraId="0B11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885A3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FR-23~30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27C9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Social / Engagement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97A2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FRIEND_RELATION 至 DISCUSSION_REPLY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8E80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SocialEndpointTests、EngagementServiceTests、E2E</w:t>
            </w:r>
          </w:p>
        </w:tc>
      </w:tr>
      <w:tr w14:paraId="0E2A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C7CC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FR-31~32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39B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Admin / DemoData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0D23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REFUND_* 与 DEMO_RESET_*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CE26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Admin 端 E2E、DemoDataPlanTests、命令行恢复演练</w:t>
            </w:r>
          </w:p>
        </w:tc>
      </w:tr>
      <w:tr w14:paraId="4D2B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4DF8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NFR-01~10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1F46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全局基础设施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440A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约束、索引、账本、健康与部署配置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8ECC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381/381、9/9、28/28、21 项 SQL 断言</w:t>
            </w:r>
          </w:p>
        </w:tc>
      </w:tr>
    </w:tbl>
    <w:p w14:paraId="5E26422A">
      <w:pPr>
        <w:pStyle w:val="40"/>
        <w:spacing w:after="0"/>
      </w:pPr>
    </w:p>
    <w:p w14:paraId="76AD6B61">
      <w:pPr>
        <w:pStyle w:val="40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追踪矩阵由总负责人维护。功能、技术路线、样例游戏、表结构或验收口径发生经批准的变化时，应在同一提交中更新需求文档、设计文档、README、测试和必要的数据库迁移，避免文档与成品出现两个版本。</w:t>
      </w:r>
    </w:p>
    <w:p w14:paraId="5F70B091">
      <w:pPr>
        <w:pStyle w:val="43"/>
      </w:pPr>
      <w:bookmarkStart w:id="38" w:name="appendix_index"/>
      <w:bookmarkStart w:id="39" w:name="_Toc18095"/>
      <w:r>
        <w:t>图表索引</w:t>
      </w:r>
      <w:bookmarkEnd w:id="38"/>
      <w:bookmarkEnd w:id="39"/>
    </w:p>
    <w:p w14:paraId="2AB9C49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1-1  系统上下文与外部参与者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</w:t>
      </w:r>
      <w:r>
        <w:rPr>
          <w:rFonts w:ascii="Times New Roman" w:hAnsi="Times New Roman" w:eastAsia="宋体"/>
          <w:sz w:val="20"/>
        </w:rPr>
        <w:fldChar w:fldCharType="end"/>
      </w:r>
    </w:p>
    <w:p w14:paraId="640B3B4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1-2  需求收敛与数据库能力深化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</w:t>
      </w:r>
      <w:r>
        <w:rPr>
          <w:rFonts w:ascii="Times New Roman" w:hAnsi="Times New Roman" w:eastAsia="宋体"/>
          <w:sz w:val="20"/>
        </w:rPr>
        <w:fldChar w:fldCharType="end"/>
      </w:r>
    </w:p>
    <w:p w14:paraId="7CC80A03"/>
    <w:p w14:paraId="794235F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1-1  系统范围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</w:t>
      </w:r>
      <w:r>
        <w:rPr>
          <w:rFonts w:ascii="Times New Roman" w:hAnsi="Times New Roman" w:eastAsia="宋体"/>
          <w:sz w:val="20"/>
        </w:rPr>
        <w:fldChar w:fldCharType="end"/>
      </w:r>
    </w:p>
    <w:p w14:paraId="388A98B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1-2  用户角色与权限边界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</w:t>
      </w:r>
      <w:r>
        <w:rPr>
          <w:rFonts w:ascii="Times New Roman" w:hAnsi="Times New Roman" w:eastAsia="宋体"/>
          <w:sz w:val="20"/>
        </w:rPr>
        <w:fldChar w:fldCharType="end"/>
      </w:r>
    </w:p>
    <w:p w14:paraId="3EF64C8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1-3  样例游戏职责分配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</w:t>
      </w:r>
      <w:r>
        <w:rPr>
          <w:rFonts w:ascii="Times New Roman" w:hAnsi="Times New Roman" w:eastAsia="宋体"/>
          <w:sz w:val="20"/>
        </w:rPr>
        <w:fldChar w:fldCharType="end"/>
      </w:r>
    </w:p>
    <w:p w14:paraId="459DA83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1-4  最终范围取舍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</w:t>
      </w:r>
      <w:r>
        <w:rPr>
          <w:rFonts w:ascii="Times New Roman" w:hAnsi="Times New Roman" w:eastAsia="宋体"/>
          <w:sz w:val="20"/>
        </w:rPr>
        <w:fldChar w:fldCharType="end"/>
      </w:r>
    </w:p>
    <w:p w14:paraId="39642F1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2-1  功能需求清单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</w:t>
      </w:r>
      <w:r>
        <w:rPr>
          <w:rFonts w:ascii="Times New Roman" w:hAnsi="Times New Roman" w:eastAsia="宋体"/>
          <w:sz w:val="20"/>
        </w:rPr>
        <w:fldChar w:fldCharType="end"/>
      </w:r>
    </w:p>
    <w:p w14:paraId="7C135E7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2-2  核心用例规约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10</w:t>
      </w:r>
      <w:r>
        <w:rPr>
          <w:rFonts w:ascii="Times New Roman" w:hAnsi="Times New Roman" w:eastAsia="宋体"/>
          <w:sz w:val="20"/>
        </w:rPr>
        <w:fldChar w:fldCharType="end"/>
      </w:r>
    </w:p>
    <w:p w14:paraId="422D75E6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2-3  关键业务规则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11</w:t>
      </w:r>
      <w:r>
        <w:rPr>
          <w:rFonts w:ascii="Times New Roman" w:hAnsi="Times New Roman" w:eastAsia="宋体"/>
          <w:sz w:val="20"/>
        </w:rPr>
        <w:fldChar w:fldCharType="end"/>
      </w:r>
    </w:p>
    <w:p w14:paraId="7D0581E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2-4  数据主题与完整性要求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13</w:t>
      </w:r>
      <w:r>
        <w:rPr>
          <w:rFonts w:ascii="Times New Roman" w:hAnsi="Times New Roman" w:eastAsia="宋体"/>
          <w:sz w:val="20"/>
        </w:rPr>
        <w:fldChar w:fldCharType="end"/>
      </w:r>
    </w:p>
    <w:p w14:paraId="676CEAAA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2-5  非功能需求及验收标准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13</w:t>
      </w:r>
      <w:r>
        <w:rPr>
          <w:rFonts w:ascii="Times New Roman" w:hAnsi="Times New Roman" w:eastAsia="宋体"/>
          <w:sz w:val="20"/>
        </w:rPr>
        <w:fldChar w:fldCharType="end"/>
      </w:r>
    </w:p>
    <w:p w14:paraId="3993642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2-6  系统验收场景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15</w:t>
      </w:r>
      <w:r>
        <w:rPr>
          <w:rFonts w:ascii="Times New Roman" w:hAnsi="Times New Roman" w:eastAsia="宋体"/>
          <w:sz w:val="20"/>
        </w:rPr>
        <w:fldChar w:fldCharType="end"/>
      </w:r>
    </w:p>
    <w:p w14:paraId="6849180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2-7  需求到实现与测试的追踪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16</w:t>
      </w:r>
      <w:r>
        <w:rPr>
          <w:rFonts w:ascii="Times New Roman" w:hAnsi="Times New Roman" w:eastAsia="宋体"/>
          <w:sz w:val="20"/>
        </w:rPr>
        <w:fldChar w:fldCharType="end"/>
      </w:r>
    </w:p>
    <w:sectPr>
      <w:footerReference r:id="rId6" w:type="default"/>
      <w:pgSz w:w="11906" w:h="16838"/>
      <w:pgMar w:top="1134" w:right="1134" w:bottom="850" w:left="1417" w:header="850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F983C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  <w:rPr>
        <w:rStyle w:val="36"/>
        <w:rFonts w:hint="eastAsia"/>
      </w:rPr>
    </w:pPr>
    <w:r>
      <w:rPr>
        <w:rFonts w:ascii="Times New Roman" w:hAnsi="Times New Roman" w:eastAsia="宋体"/>
        <w:sz w:val="18"/>
      </w:rPr>
      <w:t>同济大学软件学院</w:t>
    </w:r>
  </w:p>
  <w:p w14:paraId="3A85B095">
    <w:pPr>
      <w:pStyle w:val="24"/>
      <w:pBdr>
        <w:top w:val="single" w:color="auto" w:sz="4" w:space="1"/>
      </w:pBdr>
      <w:spacing w:after="0"/>
      <w:ind w:firstLine="0"/>
      <w:rPr>
        <w:rFonts w:hint="eastAsia"/>
      </w:rPr>
    </w:pPr>
    <w:r>
      <w:rPr>
        <w:rFonts w:ascii="Times New Roman" w:hAnsi="Times New Roman" w:eastAsia="宋体"/>
        <w:sz w:val="18"/>
      </w:rPr>
      <w:t>数据库课程设计项目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E15FE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603AF764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94ED5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0B194B85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32837">
    <w:pPr>
      <w:pStyle w:val="25"/>
      <w:pBdr>
        <w:bottom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Steam-数字游戏平台系统</w:t>
    </w:r>
    <w:r>
      <w:rPr>
        <w:rFonts w:ascii="Times New Roman" w:hAnsi="Times New Roman" w:eastAsia="宋体"/>
        <w:sz w:val="18"/>
      </w:rPr>
      <w:tab/>
    </w:r>
    <w:r>
      <w:rPr>
        <w:rFonts w:ascii="Times New Roman" w:hAnsi="Times New Roman" w:eastAsia="宋体"/>
        <w:sz w:val="18"/>
      </w:rPr>
      <w:t>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016A6DF7"/>
    <w:multiLevelType w:val="multilevel"/>
    <w:tmpl w:val="016A6DF7"/>
    <w:lvl w:ilvl="0" w:tentative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50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A202B8B"/>
    <w:multiLevelType w:val="multilevel"/>
    <w:tmpl w:val="3A202B8B"/>
    <w:lvl w:ilvl="0" w:tentative="0">
      <w:start w:val="1"/>
      <w:numFmt w:val="upperLetter"/>
      <w:pStyle w:val="43"/>
      <w:lvlText w:val="附录%1."/>
      <w:lvlJc w:val="left"/>
      <w:pPr>
        <w:tabs>
          <w:tab w:val="left" w:pos="360"/>
        </w:tabs>
        <w:ind w:left="0" w:firstLine="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45"/>
      <w:lvlText w:val="%1.%2"/>
      <w:lvlJc w:val="left"/>
      <w:pPr>
        <w:tabs>
          <w:tab w:val="left" w:pos="2700"/>
        </w:tabs>
        <w:ind w:left="198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6"/>
      <w:lvlText w:val="%1.%2.%3 "/>
      <w:lvlJc w:val="left"/>
      <w:pPr>
        <w:tabs>
          <w:tab w:val="left" w:pos="567"/>
        </w:tabs>
        <w:ind w:left="1021" w:hanging="1021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44"/>
      <w:lvlText w:val="%1.%2.%3.%4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51"/>
      <w:lvlText w:val="%1.%2.%3.%4.%5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52"/>
      <w:lvlText w:val="%1.%2.%3.%4.%5.%6 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53"/>
      <w:lvlText w:val="%1.%2.%3.%4.%5.%6.%7.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">
    <w:nsid w:val="7E252333"/>
    <w:multiLevelType w:val="multilevel"/>
    <w:tmpl w:val="7E252333"/>
    <w:lvl w:ilvl="0" w:tentative="0">
      <w:start w:val="1"/>
      <w:numFmt w:val="decimal"/>
      <w:pStyle w:val="2"/>
      <w:isLgl/>
      <w:lvlText w:val="%1."/>
      <w:lvlJc w:val="left"/>
      <w:pPr>
        <w:tabs>
          <w:tab w:val="left" w:pos="540"/>
        </w:tabs>
        <w:ind w:left="180" w:hanging="18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"/>
      <w:isLgl/>
      <w:lvlText w:val="%1.%2.%3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5"/>
      <w:lvlText w:val="%1.%2.%3.%4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6"/>
      <w:lvlText w:val="%1.%2.%3.%4.%5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7"/>
      <w:lvlText w:val="%1.%2.%3.%4.%5.%6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5C67"/>
    <w:rsid w:val="00002021"/>
    <w:rsid w:val="00002BA8"/>
    <w:rsid w:val="00013047"/>
    <w:rsid w:val="00016B0A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5CF9"/>
    <w:rsid w:val="00241368"/>
    <w:rsid w:val="00250578"/>
    <w:rsid w:val="002513F1"/>
    <w:rsid w:val="00261166"/>
    <w:rsid w:val="00262820"/>
    <w:rsid w:val="00285288"/>
    <w:rsid w:val="00285622"/>
    <w:rsid w:val="002903AF"/>
    <w:rsid w:val="002B5411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62B9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2721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041C"/>
    <w:rsid w:val="0075185D"/>
    <w:rsid w:val="00764297"/>
    <w:rsid w:val="007827AA"/>
    <w:rsid w:val="00783763"/>
    <w:rsid w:val="007A0374"/>
    <w:rsid w:val="007A2C26"/>
    <w:rsid w:val="007A363C"/>
    <w:rsid w:val="007A4FE8"/>
    <w:rsid w:val="007C4AC9"/>
    <w:rsid w:val="007D6354"/>
    <w:rsid w:val="007F3847"/>
    <w:rsid w:val="007F582D"/>
    <w:rsid w:val="008074C5"/>
    <w:rsid w:val="00807B6A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72D7"/>
    <w:rsid w:val="008E52CE"/>
    <w:rsid w:val="008F1D23"/>
    <w:rsid w:val="008F2EE1"/>
    <w:rsid w:val="008F7002"/>
    <w:rsid w:val="0091609A"/>
    <w:rsid w:val="00917F00"/>
    <w:rsid w:val="00922507"/>
    <w:rsid w:val="00923C2E"/>
    <w:rsid w:val="00930B55"/>
    <w:rsid w:val="00931A17"/>
    <w:rsid w:val="00936D7F"/>
    <w:rsid w:val="00964D41"/>
    <w:rsid w:val="0096763D"/>
    <w:rsid w:val="00972ABD"/>
    <w:rsid w:val="009742E0"/>
    <w:rsid w:val="009757A4"/>
    <w:rsid w:val="00980D35"/>
    <w:rsid w:val="00987B13"/>
    <w:rsid w:val="00990C51"/>
    <w:rsid w:val="009A37D2"/>
    <w:rsid w:val="009D004A"/>
    <w:rsid w:val="009D122B"/>
    <w:rsid w:val="009D2EF0"/>
    <w:rsid w:val="009E4656"/>
    <w:rsid w:val="009F63B8"/>
    <w:rsid w:val="009F7DDD"/>
    <w:rsid w:val="00A15189"/>
    <w:rsid w:val="00A20470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45952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910B9"/>
    <w:rsid w:val="00F96E06"/>
    <w:rsid w:val="00FB531C"/>
    <w:rsid w:val="00FB7C4B"/>
    <w:rsid w:val="00FC5FEC"/>
    <w:rsid w:val="00FF1F6D"/>
    <w:rsid w:val="00FF4FAA"/>
    <w:rsid w:val="15CB215B"/>
    <w:rsid w:val="68B65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iPriority="99" w:semiHidden="0" w:name="List Bullet"/>
    <w:lsdException w:uiPriority="9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64"/>
      <w:outlineLvl w:val="2"/>
    </w:pPr>
    <w:rPr>
      <w:b/>
      <w:bCs/>
      <w:color w:val="00000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34">
    <w:name w:val="Default Paragraph Font"/>
    <w:semiHidden/>
    <w:uiPriority w:val="0"/>
  </w:style>
  <w:style w:type="table" w:default="1" w:styleId="3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/>
      <w:sz w:val="18"/>
      <w:szCs w:val="18"/>
    </w:rPr>
  </w:style>
  <w:style w:type="paragraph" w:styleId="12">
    <w:name w:val="List Number"/>
    <w:unhideWhenUsed/>
    <w:uiPriority w:val="99"/>
    <w:pPr>
      <w:numPr>
        <w:ilvl w:val="0"/>
        <w:numId w:val="2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unhideWhenUsed/>
    <w:uiPriority w:val="99"/>
    <w:pPr>
      <w:numPr>
        <w:ilvl w:val="0"/>
        <w:numId w:val="3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semiHidden/>
    <w:uiPriority w:val="0"/>
  </w:style>
  <w:style w:type="paragraph" w:styleId="17">
    <w:name w:val="Salutation"/>
    <w:basedOn w:val="1"/>
    <w:next w:val="1"/>
    <w:uiPriority w:val="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18">
    <w:name w:val="Body Text Indent"/>
    <w:basedOn w:val="1"/>
    <w:uiPriority w:val="0"/>
    <w:pPr>
      <w:autoSpaceDE/>
      <w:autoSpaceDN/>
      <w:adjustRightInd/>
      <w:spacing w:line="400" w:lineRule="exact"/>
      <w:ind w:firstLine="420" w:firstLineChars="200"/>
      <w:jc w:val="both"/>
    </w:pPr>
    <w:rPr>
      <w:rFonts w:hAnsi="宋体"/>
      <w:kern w:val="2"/>
      <w:sz w:val="21"/>
    </w:rPr>
  </w:style>
  <w:style w:type="paragraph" w:styleId="19">
    <w:name w:val="toc 5"/>
    <w:basedOn w:val="1"/>
    <w:next w:val="1"/>
    <w:semiHidden/>
    <w:uiPriority w:val="0"/>
    <w:pPr>
      <w:ind w:left="960"/>
    </w:pPr>
    <w:rPr>
      <w:rFonts w:ascii="Times New Roman"/>
      <w:sz w:val="18"/>
      <w:szCs w:val="18"/>
    </w:rPr>
  </w:style>
  <w:style w:type="paragraph" w:styleId="20">
    <w:name w:val="toc 3"/>
    <w:basedOn w:val="1"/>
    <w:next w:val="1"/>
    <w:semiHidden/>
    <w:uiPriority w:val="0"/>
    <w:pPr>
      <w:ind w:left="480"/>
    </w:pPr>
    <w:rPr>
      <w:rFonts w:ascii="Times New Roman"/>
      <w:i/>
      <w:iCs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680"/>
    </w:pPr>
    <w:rPr>
      <w:rFonts w:ascii="Times New Roman"/>
      <w:sz w:val="18"/>
      <w:szCs w:val="18"/>
    </w:rPr>
  </w:style>
  <w:style w:type="paragraph" w:styleId="22">
    <w:name w:val="Body Text Indent 2"/>
    <w:basedOn w:val="1"/>
    <w:uiPriority w:val="0"/>
    <w:pPr>
      <w:ind w:firstLine="420"/>
    </w:pPr>
    <w:rPr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uiPriority w:val="39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27">
    <w:name w:val="toc 4"/>
    <w:basedOn w:val="1"/>
    <w:next w:val="1"/>
    <w:semiHidden/>
    <w:uiPriority w:val="0"/>
    <w:pPr>
      <w:ind w:left="720"/>
    </w:pPr>
    <w:rPr>
      <w:rFonts w:ascii="Times New Roman"/>
      <w:sz w:val="18"/>
      <w:szCs w:val="1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/>
      <w:sz w:val="18"/>
      <w:szCs w:val="18"/>
    </w:rPr>
  </w:style>
  <w:style w:type="paragraph" w:styleId="29">
    <w:name w:val="table of figures"/>
    <w:basedOn w:val="1"/>
    <w:next w:val="1"/>
    <w:semiHidden/>
    <w:uiPriority w:val="0"/>
    <w:pPr>
      <w:ind w:left="480" w:hanging="480"/>
    </w:pPr>
    <w:rPr>
      <w:rFonts w:ascii="Times New Roman"/>
      <w:smallCaps/>
      <w:sz w:val="20"/>
      <w:szCs w:val="20"/>
    </w:rPr>
  </w:style>
  <w:style w:type="paragraph" w:styleId="30">
    <w:name w:val="toc 2"/>
    <w:basedOn w:val="1"/>
    <w:next w:val="1"/>
    <w:uiPriority w:val="39"/>
    <w:pPr>
      <w:ind w:left="240"/>
    </w:pPr>
    <w:rPr>
      <w:rFonts w:ascii="Times New Roman"/>
      <w:smallCap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/>
      <w:sz w:val="18"/>
      <w:szCs w:val="18"/>
    </w:rPr>
  </w:style>
  <w:style w:type="paragraph" w:styleId="32">
    <w:name w:val="annotation subject"/>
    <w:basedOn w:val="16"/>
    <w:next w:val="16"/>
    <w:semiHidden/>
    <w:uiPriority w:val="0"/>
    <w:rPr>
      <w:b/>
      <w:bCs/>
    </w:rPr>
  </w:style>
  <w:style w:type="character" w:styleId="35">
    <w:name w:val="Strong"/>
    <w:qFormat/>
    <w:uiPriority w:val="0"/>
    <w:rPr>
      <w:b/>
      <w:bCs/>
    </w:rPr>
  </w:style>
  <w:style w:type="character" w:styleId="36">
    <w:name w:val="page number"/>
    <w:basedOn w:val="34"/>
    <w:uiPriority w:val="0"/>
  </w:style>
  <w:style w:type="character" w:styleId="37">
    <w:name w:val="FollowedHyperlink"/>
    <w:uiPriority w:val="0"/>
    <w:rPr>
      <w:color w:val="800080"/>
      <w:u w:val="single"/>
    </w:rPr>
  </w:style>
  <w:style w:type="character" w:styleId="38">
    <w:name w:val="Hyperlink"/>
    <w:uiPriority w:val="99"/>
    <w:rPr>
      <w:color w:val="3D362B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paragraph" w:customStyle="1" w:styleId="40">
    <w:name w:val="文档正文"/>
    <w:basedOn w:val="1"/>
    <w:uiPriority w:val="0"/>
    <w:pPr>
      <w:spacing w:line="360" w:lineRule="auto"/>
      <w:ind w:firstLine="200" w:firstLineChars="200"/>
      <w:jc w:val="both"/>
    </w:pPr>
    <w:rPr>
      <w:rFonts w:ascii="Times New Roman" w:cs="宋体"/>
      <w:sz w:val="21"/>
      <w:szCs w:val="21"/>
    </w:rPr>
  </w:style>
  <w:style w:type="character" w:customStyle="1" w:styleId="41">
    <w:name w:val="文档正文 Char1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42">
    <w:name w:val="封面标题"/>
    <w:basedOn w:val="1"/>
    <w:next w:val="40"/>
    <w:uiPriority w:val="0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43">
    <w:name w:val="附录"/>
    <w:basedOn w:val="1"/>
    <w:next w:val="1"/>
    <w:uiPriority w:val="0"/>
    <w:pPr>
      <w:keepNext/>
      <w:keepLines/>
      <w:pageBreakBefore/>
      <w:numPr>
        <w:ilvl w:val="0"/>
        <w:numId w:val="4"/>
      </w:numPr>
      <w:spacing w:before="64" w:after="240"/>
      <w:outlineLvl w:val="0"/>
    </w:pPr>
    <w:rPr>
      <w:b/>
      <w:sz w:val="30"/>
    </w:rPr>
  </w:style>
  <w:style w:type="paragraph" w:customStyle="1" w:styleId="44">
    <w:name w:val="附录A.1.1.1"/>
    <w:basedOn w:val="5"/>
    <w:next w:val="40"/>
    <w:uiPriority w:val="0"/>
    <w:pPr>
      <w:numPr>
        <w:ilvl w:val="3"/>
        <w:numId w:val="4"/>
      </w:numPr>
      <w:tabs>
        <w:tab w:val="clear" w:pos="567"/>
      </w:tabs>
    </w:pPr>
  </w:style>
  <w:style w:type="paragraph" w:customStyle="1" w:styleId="45">
    <w:name w:val="附录A.1"/>
    <w:basedOn w:val="3"/>
    <w:next w:val="40"/>
    <w:uiPriority w:val="0"/>
    <w:pPr>
      <w:numPr>
        <w:ilvl w:val="1"/>
        <w:numId w:val="4"/>
      </w:numPr>
      <w:tabs>
        <w:tab w:val="left" w:pos="360"/>
        <w:tab w:val="clear" w:pos="2700"/>
        <w:tab w:val="clear" w:pos="567"/>
      </w:tabs>
      <w:ind w:left="0"/>
    </w:pPr>
  </w:style>
  <w:style w:type="paragraph" w:customStyle="1" w:styleId="46">
    <w:name w:val="附录A.1.1"/>
    <w:basedOn w:val="45"/>
    <w:next w:val="40"/>
    <w:uiPriority w:val="0"/>
    <w:pPr>
      <w:numPr>
        <w:ilvl w:val="2"/>
        <w:numId w:val="4"/>
      </w:numPr>
    </w:pPr>
  </w:style>
  <w:style w:type="paragraph" w:customStyle="1" w:styleId="47">
    <w:name w:val="封面副标题"/>
    <w:basedOn w:val="1"/>
    <w:next w:val="40"/>
    <w:uiPriority w:val="0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48">
    <w:name w:val="封面更小标题"/>
    <w:basedOn w:val="47"/>
    <w:next w:val="40"/>
    <w:uiPriority w:val="0"/>
    <w:rPr>
      <w:sz w:val="30"/>
    </w:rPr>
  </w:style>
  <w:style w:type="character" w:customStyle="1" w:styleId="49">
    <w:name w:val="style11"/>
    <w:uiPriority w:val="0"/>
    <w:rPr>
      <w:rFonts w:hint="eastAsia" w:ascii="新宋体" w:hAnsi="新宋体" w:eastAsia="新宋体"/>
      <w:color w:val="666666"/>
      <w:sz w:val="20"/>
      <w:szCs w:val="20"/>
    </w:rPr>
  </w:style>
  <w:style w:type="paragraph" w:customStyle="1" w:styleId="50">
    <w:name w:val="标5"/>
    <w:basedOn w:val="1"/>
    <w:semiHidden/>
    <w:uiPriority w:val="0"/>
    <w:pPr>
      <w:numPr>
        <w:ilvl w:val="4"/>
        <w:numId w:val="5"/>
      </w:numPr>
    </w:pPr>
    <w:rPr>
      <w:b/>
    </w:rPr>
  </w:style>
  <w:style w:type="paragraph" w:customStyle="1" w:styleId="51">
    <w:name w:val="附录A.1.1.1.1"/>
    <w:basedOn w:val="6"/>
    <w:next w:val="40"/>
    <w:uiPriority w:val="0"/>
    <w:pPr>
      <w:numPr>
        <w:ilvl w:val="4"/>
        <w:numId w:val="4"/>
      </w:numPr>
      <w:tabs>
        <w:tab w:val="clear" w:pos="567"/>
      </w:tabs>
    </w:pPr>
  </w:style>
  <w:style w:type="paragraph" w:customStyle="1" w:styleId="52">
    <w:name w:val="附录A.1.1.1.1.1"/>
    <w:basedOn w:val="7"/>
    <w:next w:val="40"/>
    <w:uiPriority w:val="0"/>
    <w:pPr>
      <w:numPr>
        <w:ilvl w:val="5"/>
        <w:numId w:val="4"/>
      </w:numPr>
      <w:tabs>
        <w:tab w:val="clear" w:pos="567"/>
      </w:tabs>
    </w:pPr>
  </w:style>
  <w:style w:type="paragraph" w:customStyle="1" w:styleId="53">
    <w:name w:val="附录A.1.1.1.1.1.1"/>
    <w:basedOn w:val="8"/>
    <w:next w:val="40"/>
    <w:uiPriority w:val="0"/>
    <w:pPr>
      <w:numPr>
        <w:ilvl w:val="6"/>
        <w:numId w:val="4"/>
      </w:numPr>
      <w:tabs>
        <w:tab w:val="clear" w:pos="567"/>
      </w:tabs>
    </w:pPr>
  </w:style>
  <w:style w:type="character" w:customStyle="1" w:styleId="54">
    <w:name w:val="myp11"/>
    <w:basedOn w:val="34"/>
    <w:uiPriority w:val="0"/>
  </w:style>
  <w:style w:type="character" w:customStyle="1" w:styleId="55">
    <w:name w:val="文档正文 Char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56">
    <w:name w:val="样式 文档正文 + 加粗 首行缩进:  2 字符"/>
    <w:basedOn w:val="40"/>
    <w:uiPriority w:val="0"/>
    <w:pPr>
      <w:outlineLvl w:val="2"/>
    </w:pPr>
    <w:rPr>
      <w:b/>
      <w:bCs/>
      <w:szCs w:val="20"/>
    </w:rPr>
  </w:style>
  <w:style w:type="paragraph" w:customStyle="1" w:styleId="57">
    <w:name w:val="样式 样式 文档正文 + 加粗 首行缩进:  2 字符 + 首行缩进:  2 字符"/>
    <w:basedOn w:val="56"/>
    <w:uiPriority w:val="0"/>
    <w:pPr>
      <w:outlineLvl w:val="3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Company>School of Software Engineering,Tongji University</Company>
  <Pages>19</Pages>
  <Words>200</Words>
  <Characters>1146</Characters>
  <Lines>9</Lines>
  <Paragraphs>2</Paragraphs>
  <TotalTime>0</TotalTime>
  <ScaleCrop>false</ScaleCrop>
  <LinksUpToDate>false</LinksUpToDate>
  <CharactersWithSpaces>1344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2021-07-13T05:04:00Z</dcterms:created>
  <dc:creator>Steam-数字游戏平台课程设计小组</dc:creator>
  <dc:description>依据课程模板、现有源码、Oracle 数据库与云端部署实测编制</dc:description>
  <cp:lastModifiedBy>马祥珲</cp:lastModifiedBy>
  <dcterms:modified xsi:type="dcterms:W3CDTF">2026-09-11T09:36:46Z</dcterms:modified>
  <dc:subject>同济大学软件学院数据库课程设计</dc:subject>
  <dc:title>Steam-数字游戏平台系统需求分析文档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C0CB6A1960E24064B89CD89E9C8D5659_13</vt:lpwstr>
  </property>
</Properties>
</file>