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5" w:beforeLines="100" w:beforeAutospacing="0" w:after="396" w:afterLines="126" w:afterAutospacing="0"/>
        <w:jc w:val="center"/>
        <w:rPr>
          <w:rFonts w:hint="eastAsia" w:ascii="黑体" w:hAnsi="黑体" w:eastAsia="黑体" w:cs="黑体"/>
          <w:i w:val="0"/>
          <w:iCs w:val="0"/>
          <w:caps w:val="0"/>
          <w:spacing w:val="5"/>
          <w:sz w:val="36"/>
          <w:szCs w:val="36"/>
          <w:shd w:val="clear" w:fill="FFFFFF"/>
          <w:lang w:val="en-US" w:eastAsia="zh-CN"/>
        </w:rPr>
      </w:pPr>
      <w:r>
        <w:rPr>
          <w:rFonts w:hint="eastAsia" w:ascii="黑体" w:hAnsi="黑体" w:eastAsia="黑体" w:cs="黑体"/>
          <w:i w:val="0"/>
          <w:iCs w:val="0"/>
          <w:caps w:val="0"/>
          <w:spacing w:val="5"/>
          <w:sz w:val="36"/>
          <w:szCs w:val="36"/>
          <w:shd w:val="clear" w:fill="FFFFFF"/>
          <w:lang w:val="en-US" w:eastAsia="zh-CN"/>
        </w:rPr>
        <w:t>论独立董事民事责任认定——以康美药业证券虚假陈述案为例</w:t>
      </w:r>
    </w:p>
    <w:p>
      <w:pPr>
        <w:spacing w:beforeAutospacing="0" w:afterAutospacing="0"/>
        <w:jc w:val="center"/>
        <w:outlineLvl w:val="0"/>
        <w:rPr>
          <w:rFonts w:hint="eastAsia" w:ascii="黑体" w:hAnsi="黑体" w:eastAsia="黑体" w:cs="黑体"/>
          <w:b/>
          <w:bCs/>
          <w:i w:val="0"/>
          <w:iCs w:val="0"/>
          <w:caps w:val="0"/>
          <w:spacing w:val="5"/>
          <w:sz w:val="32"/>
          <w:szCs w:val="32"/>
          <w:shd w:val="clear" w:fill="FFFFFF"/>
          <w:lang w:val="en-US" w:eastAsia="zh-CN"/>
        </w:rPr>
      </w:pPr>
      <w:bookmarkStart w:id="0" w:name="_Toc13004"/>
      <w:r>
        <w:rPr>
          <w:rFonts w:hint="eastAsia" w:ascii="黑体" w:hAnsi="黑体" w:eastAsia="黑体" w:cs="黑体"/>
          <w:b/>
          <w:bCs/>
          <w:i w:val="0"/>
          <w:iCs w:val="0"/>
          <w:caps w:val="0"/>
          <w:spacing w:val="5"/>
          <w:sz w:val="32"/>
          <w:szCs w:val="32"/>
          <w:shd w:val="clear" w:fill="FFFFFF"/>
          <w:lang w:val="en-US" w:eastAsia="zh-CN"/>
        </w:rPr>
        <w:t>摘要</w:t>
      </w:r>
      <w:bookmarkEnd w:id="0"/>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60" w:lineRule="auto"/>
        <w:ind w:firstLine="420" w:firstLineChars="0"/>
        <w:jc w:val="both"/>
        <w:textAlignment w:val="auto"/>
        <w:rPr>
          <w:rFonts w:hint="eastAsia" w:ascii="宋体" w:hAnsi="宋体" w:eastAsia="宋体" w:cs="宋体"/>
          <w:i w:val="0"/>
          <w:iCs w:val="0"/>
          <w:caps w:val="0"/>
          <w:color w:val="333333"/>
          <w:spacing w:val="0"/>
          <w:sz w:val="28"/>
          <w:szCs w:val="28"/>
          <w:shd w:val="clear" w:fill="FFFFFF"/>
          <w:lang w:eastAsia="zh-CN"/>
        </w:rPr>
      </w:pPr>
      <w:r>
        <w:rPr>
          <w:rFonts w:hint="eastAsia" w:ascii="宋体" w:hAnsi="宋体" w:eastAsia="宋体" w:cs="宋体"/>
          <w:i w:val="0"/>
          <w:iCs w:val="0"/>
          <w:caps w:val="0"/>
          <w:color w:val="333333"/>
          <w:spacing w:val="0"/>
          <w:sz w:val="28"/>
          <w:szCs w:val="28"/>
          <w:shd w:val="clear" w:fill="FFFFFF"/>
        </w:rPr>
        <w:t>证券虚假陈述中独立董事的民事责任,是指其任职所在的上市公司存在虚假陈述行为时,独立董事所应承担的民事法律后果,属于侵权民事责任</w:t>
      </w:r>
      <w:r>
        <w:rPr>
          <w:rFonts w:hint="eastAsia" w:ascii="宋体" w:hAnsi="宋体" w:eastAsia="宋体" w:cs="宋体"/>
          <w:i w:val="0"/>
          <w:iCs w:val="0"/>
          <w:caps w:val="0"/>
          <w:color w:val="333333"/>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lang w:val="en-US" w:eastAsia="zh-CN"/>
        </w:rPr>
        <w:t>作为我国从西方资本市场借鉴的重要制度，</w:t>
      </w:r>
      <w:r>
        <w:rPr>
          <w:rFonts w:hint="eastAsia" w:ascii="宋体" w:hAnsi="宋体" w:eastAsia="宋体" w:cs="宋体"/>
          <w:i w:val="0"/>
          <w:iCs w:val="0"/>
          <w:caps w:val="0"/>
          <w:color w:val="333333"/>
          <w:spacing w:val="0"/>
          <w:sz w:val="28"/>
          <w:szCs w:val="28"/>
          <w:shd w:val="clear" w:fill="FFFFFF"/>
        </w:rPr>
        <w:t>该制度有利于上市公司规范治理结构,维护中小投资者的合法利益。</w:t>
      </w:r>
      <w:r>
        <w:rPr>
          <w:rFonts w:hint="eastAsia" w:ascii="宋体" w:hAnsi="宋体" w:eastAsia="宋体" w:cs="宋体"/>
          <w:i w:val="0"/>
          <w:iCs w:val="0"/>
          <w:caps w:val="0"/>
          <w:color w:val="333333"/>
          <w:spacing w:val="0"/>
          <w:sz w:val="28"/>
          <w:szCs w:val="28"/>
          <w:shd w:val="clear" w:fill="FFFFFF"/>
          <w:lang w:val="en-US" w:eastAsia="zh-CN"/>
        </w:rPr>
        <w:t>以康美药业案为例，在一审判决中，5名曾任或在职的独立董事被判决需要承担连带责任，合计赔偿金额最高约3.69亿元。此“天价”罚单，引发了资本市场对于独立董事制度，特别是独立董事勤勉义务以及虚假陈述侵权责任的广泛讨论和再度思考。</w:t>
      </w:r>
      <w:r>
        <w:rPr>
          <w:rFonts w:hint="eastAsia" w:ascii="宋体" w:hAnsi="宋体" w:eastAsia="宋体" w:cs="宋体"/>
          <w:i w:val="0"/>
          <w:iCs w:val="0"/>
          <w:caps w:val="0"/>
          <w:color w:val="333333"/>
          <w:spacing w:val="0"/>
          <w:sz w:val="28"/>
          <w:szCs w:val="28"/>
          <w:shd w:val="clear" w:fill="FFFFFF"/>
        </w:rPr>
        <w:t>新出台的《上市公司独立董事规则》</w:t>
      </w:r>
      <w:r>
        <w:rPr>
          <w:rFonts w:hint="eastAsia" w:ascii="宋体" w:hAnsi="宋体" w:eastAsia="宋体" w:cs="宋体"/>
          <w:i w:val="0"/>
          <w:iCs w:val="0"/>
          <w:caps w:val="0"/>
          <w:color w:val="333333"/>
          <w:spacing w:val="0"/>
          <w:sz w:val="28"/>
          <w:szCs w:val="28"/>
          <w:shd w:val="clear" w:fill="FFFFFF"/>
          <w:lang w:val="en-US" w:eastAsia="zh-CN"/>
        </w:rPr>
        <w:t>和</w:t>
      </w:r>
      <w:r>
        <w:rPr>
          <w:rFonts w:hint="eastAsia" w:ascii="宋体" w:hAnsi="宋体" w:eastAsia="宋体" w:cs="宋体"/>
          <w:i w:val="0"/>
          <w:iCs w:val="0"/>
          <w:caps w:val="0"/>
          <w:color w:val="333333"/>
          <w:spacing w:val="0"/>
          <w:sz w:val="28"/>
          <w:szCs w:val="28"/>
          <w:shd w:val="clear" w:fill="FFFFFF"/>
        </w:rPr>
        <w:t>《最高人民法院关于审理证券市场虚假陈述侵权民事赔偿案件的若干规定》虽然为前述问题的解决提供了指引，但仍存在诸如责任性质、形式、过错认定等基础理论问题有待厘清。在虚假陈述案件中，独立董事所负民事责任的性质应当为侵权责任，所负民事责任应当为连带责任</w:t>
      </w:r>
      <w:r>
        <w:rPr>
          <w:rFonts w:hint="eastAsia" w:ascii="宋体" w:hAnsi="宋体" w:eastAsia="宋体" w:cs="宋体"/>
          <w:i w:val="0"/>
          <w:iCs w:val="0"/>
          <w:caps w:val="0"/>
          <w:color w:val="333333"/>
          <w:spacing w:val="0"/>
          <w:sz w:val="28"/>
          <w:szCs w:val="28"/>
          <w:shd w:val="clear" w:fill="FFFFFF"/>
          <w:lang w:eastAsia="zh-CN"/>
        </w:rPr>
        <w:t>。</w:t>
      </w: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60" w:lineRule="auto"/>
        <w:ind w:firstLine="420" w:firstLineChars="0"/>
        <w:jc w:val="both"/>
        <w:textAlignment w:val="auto"/>
        <w:rPr>
          <w:rFonts w:hint="eastAsia" w:ascii="宋体" w:hAnsi="宋体" w:eastAsia="宋体" w:cs="宋体"/>
          <w:i w:val="0"/>
          <w:iCs w:val="0"/>
          <w:caps w:val="0"/>
          <w:color w:val="333333"/>
          <w:spacing w:val="0"/>
          <w:sz w:val="28"/>
          <w:szCs w:val="28"/>
          <w:shd w:val="clear" w:fill="FFFFFF"/>
          <w:lang w:eastAsia="zh-CN"/>
        </w:rPr>
      </w:pPr>
    </w:p>
    <w:p>
      <w:pPr>
        <w:spacing w:before="159" w:beforeLines="50" w:beforeAutospacing="0" w:after="159" w:afterLines="50" w:afterAutospacing="0"/>
        <w:jc w:val="both"/>
        <w:rPr>
          <w:rFonts w:hint="default" w:ascii="宋体" w:hAnsi="宋体" w:eastAsia="宋体" w:cs="宋体"/>
          <w:i w:val="0"/>
          <w:iCs w:val="0"/>
          <w:caps w:val="0"/>
          <w:color w:val="333333"/>
          <w:spacing w:val="0"/>
          <w:sz w:val="20"/>
          <w:szCs w:val="20"/>
          <w:shd w:val="clear" w:fill="FFFFFF"/>
          <w:lang w:val="en-US" w:eastAsia="zh-CN"/>
        </w:rPr>
      </w:pPr>
      <w:r>
        <w:rPr>
          <w:rFonts w:hint="eastAsia" w:ascii="黑体" w:hAnsi="黑体" w:eastAsia="黑体" w:cs="黑体"/>
          <w:b/>
          <w:bCs/>
          <w:i w:val="0"/>
          <w:iCs w:val="0"/>
          <w:caps w:val="0"/>
          <w:color w:val="333333"/>
          <w:spacing w:val="0"/>
          <w:sz w:val="28"/>
          <w:szCs w:val="28"/>
          <w:shd w:val="clear" w:fill="FFFFFF"/>
          <w:lang w:val="en-US" w:eastAsia="zh-CN"/>
        </w:rPr>
        <w:t>【关键词】</w:t>
      </w:r>
      <w:r>
        <w:rPr>
          <w:rFonts w:hint="default" w:ascii="宋体" w:hAnsi="宋体" w:eastAsia="宋体" w:cs="宋体"/>
          <w:i w:val="0"/>
          <w:iCs w:val="0"/>
          <w:caps w:val="0"/>
          <w:color w:val="333333"/>
          <w:spacing w:val="0"/>
          <w:sz w:val="28"/>
          <w:szCs w:val="28"/>
          <w:shd w:val="clear" w:fill="FFFFFF"/>
          <w:lang w:val="en-US" w:eastAsia="zh-CN"/>
        </w:rPr>
        <w:t>独立董事</w:t>
      </w:r>
      <w:r>
        <w:rPr>
          <w:rFonts w:hint="eastAsia" w:ascii="宋体" w:hAnsi="宋体" w:eastAsia="宋体" w:cs="宋体"/>
          <w:i w:val="0"/>
          <w:iCs w:val="0"/>
          <w:caps w:val="0"/>
          <w:color w:val="333333"/>
          <w:spacing w:val="0"/>
          <w:sz w:val="28"/>
          <w:szCs w:val="28"/>
          <w:shd w:val="clear" w:fill="FFFFFF"/>
          <w:lang w:val="en-US" w:eastAsia="zh-CN"/>
        </w:rPr>
        <w:t>，证券</w:t>
      </w:r>
      <w:r>
        <w:rPr>
          <w:rFonts w:hint="default" w:ascii="宋体" w:hAnsi="宋体" w:eastAsia="宋体" w:cs="宋体"/>
          <w:i w:val="0"/>
          <w:iCs w:val="0"/>
          <w:caps w:val="0"/>
          <w:color w:val="333333"/>
          <w:spacing w:val="0"/>
          <w:sz w:val="28"/>
          <w:szCs w:val="28"/>
          <w:shd w:val="clear" w:fill="FFFFFF"/>
          <w:lang w:val="en-US" w:eastAsia="zh-CN"/>
        </w:rPr>
        <w:t>虚假陈述</w:t>
      </w:r>
      <w:r>
        <w:rPr>
          <w:rFonts w:hint="eastAsia" w:ascii="宋体" w:hAnsi="宋体" w:eastAsia="宋体" w:cs="宋体"/>
          <w:i w:val="0"/>
          <w:iCs w:val="0"/>
          <w:caps w:val="0"/>
          <w:color w:val="333333"/>
          <w:spacing w:val="0"/>
          <w:sz w:val="28"/>
          <w:szCs w:val="28"/>
          <w:shd w:val="clear" w:fill="FFFFFF"/>
          <w:lang w:val="en-US" w:eastAsia="zh-CN"/>
        </w:rPr>
        <w:t>，</w:t>
      </w:r>
      <w:r>
        <w:rPr>
          <w:rFonts w:hint="default" w:ascii="宋体" w:hAnsi="宋体" w:eastAsia="宋体" w:cs="宋体"/>
          <w:i w:val="0"/>
          <w:iCs w:val="0"/>
          <w:caps w:val="0"/>
          <w:color w:val="333333"/>
          <w:spacing w:val="0"/>
          <w:sz w:val="28"/>
          <w:szCs w:val="28"/>
          <w:shd w:val="clear" w:fill="FFFFFF"/>
          <w:lang w:val="en-US" w:eastAsia="zh-CN"/>
        </w:rPr>
        <w:t xml:space="preserve">赔偿责任 </w:t>
      </w:r>
    </w:p>
    <w:p>
      <w:pPr>
        <w:spacing w:before="159" w:beforeLines="50" w:beforeAutospacing="0" w:after="159" w:afterLines="50" w:afterAutospacing="0"/>
        <w:jc w:val="both"/>
        <w:rPr>
          <w:rFonts w:hint="default" w:ascii="宋体" w:hAnsi="宋体" w:eastAsia="宋体" w:cs="宋体"/>
          <w:i w:val="0"/>
          <w:iCs w:val="0"/>
          <w:caps w:val="0"/>
          <w:color w:val="333333"/>
          <w:spacing w:val="0"/>
          <w:sz w:val="14"/>
          <w:szCs w:val="14"/>
          <w:shd w:val="clear" w:fill="FFFFFF"/>
          <w:lang w:val="en-US" w:eastAsia="zh-CN"/>
        </w:rPr>
      </w:pPr>
    </w:p>
    <w:p/>
    <w:p/>
    <w:p/>
    <w:p>
      <w:pPr>
        <w:sectPr>
          <w:pgSz w:w="11906" w:h="16838"/>
          <w:pgMar w:top="1440" w:right="850" w:bottom="1440" w:left="850" w:header="851" w:footer="992" w:gutter="0"/>
          <w:paperSrc/>
          <w:cols w:space="0" w:num="1"/>
          <w:rtlGutter w:val="0"/>
          <w:docGrid w:type="lines" w:linePitch="312" w:charSpace="0"/>
        </w:sectPr>
      </w:pPr>
    </w:p>
    <w:p>
      <w:pPr>
        <w:keepNext w:val="0"/>
        <w:keepLines w:val="0"/>
        <w:pageBreakBefore w:val="0"/>
        <w:widowControl/>
        <w:numPr>
          <w:numId w:val="0"/>
        </w:numPr>
        <w:suppressLineNumbers w:val="0"/>
        <w:kinsoku/>
        <w:wordWrap/>
        <w:overflowPunct/>
        <w:topLinePunct w:val="0"/>
        <w:autoSpaceDE/>
        <w:autoSpaceDN/>
        <w:bidi w:val="0"/>
        <w:adjustRightInd/>
        <w:snapToGrid/>
        <w:spacing w:before="79" w:beforeLines="25" w:beforeAutospacing="0" w:after="159" w:afterLines="50" w:afterAutospacing="0"/>
        <w:jc w:val="center"/>
        <w:textAlignment w:val="auto"/>
        <w:rPr>
          <w:rStyle w:val="9"/>
          <w:rFonts w:hint="eastAsia" w:ascii="黑体" w:hAnsi="黑体" w:eastAsia="黑体" w:cs="黑体"/>
          <w:i w:val="0"/>
          <w:iCs w:val="0"/>
          <w:caps w:val="0"/>
          <w:color w:val="222222"/>
          <w:spacing w:val="0"/>
          <w:sz w:val="32"/>
          <w:szCs w:val="32"/>
          <w:shd w:val="clear" w:fill="FFFFFF"/>
        </w:rPr>
      </w:pPr>
      <w:r>
        <w:rPr>
          <w:rStyle w:val="9"/>
          <w:rFonts w:hint="eastAsia" w:ascii="黑体" w:hAnsi="黑体" w:eastAsia="黑体" w:cs="黑体"/>
          <w:i w:val="0"/>
          <w:iCs w:val="0"/>
          <w:caps w:val="0"/>
          <w:color w:val="222222"/>
          <w:spacing w:val="0"/>
          <w:sz w:val="32"/>
          <w:szCs w:val="32"/>
          <w:shd w:val="clear" w:fill="FFFFFF"/>
          <w:lang w:val="en-US" w:eastAsia="zh-CN"/>
        </w:rPr>
        <w:t>一、前言</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Theme="minorEastAsia" w:hAnsiTheme="minorEastAsia" w:eastAsiaTheme="minorEastAsia" w:cstheme="minorEastAsia"/>
          <w:i w:val="0"/>
          <w:iCs w:val="0"/>
          <w:caps w:val="0"/>
          <w:color w:val="000000"/>
          <w:spacing w:val="14"/>
          <w:sz w:val="24"/>
          <w:szCs w:val="24"/>
          <w:shd w:val="clear" w:fill="FFFFFF"/>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Theme="minorEastAsia" w:hAnsiTheme="minorEastAsia" w:eastAsiaTheme="minorEastAsia" w:cstheme="minorEastAsia"/>
          <w:i w:val="0"/>
          <w:iCs w:val="0"/>
          <w:caps w:val="0"/>
          <w:color w:val="000000"/>
          <w:spacing w:val="14"/>
          <w:sz w:val="24"/>
          <w:szCs w:val="24"/>
          <w:shd w:val="clear" w:fill="FFFFFF"/>
        </w:rPr>
        <w:t>2021年11月12日，广州市中级人民法院依法对康美药业股份有限公司（以下简称“康美药业”）证券虚假陈述责任纠纷案做出一审判决，关于独立董事的责任，法院以未勤勉尽责为由，判决独立董事江某、李某、张某在一审判决第一项确定的康美药业债务（即2,458,928,544元）的10%范围内承担连带清偿责任；独立董事郭某、张某在一审判决第一项确定的康美药业债务的5%范围内承担连带清偿责任。巨额赔偿与其从公司领取的薪酬形成巨大反差，这也是引发热议的重要原因之一。本案作为“证券纠纷特别代表人第一案”在审理流程、起诉规模、赔偿规模、责任分配等方面都创下了多个“第一”和先例，对此类案件的审理起到了极强的示范效应。其中，对于上市公司独立董事如何对证券虚假陈述行为承担赔偿责任是判决结果的一大亮点。</w:t>
      </w:r>
    </w:p>
    <w:p>
      <w:pPr>
        <w:keepNext w:val="0"/>
        <w:keepLines w:val="0"/>
        <w:widowControl/>
        <w:suppressLineNumbers w:val="0"/>
        <w:spacing w:beforeAutospacing="0" w:afterAutospacing="0"/>
        <w:jc w:val="left"/>
        <w:rPr>
          <w:rFonts w:hint="eastAsia" w:asciiTheme="minorEastAsia" w:hAnsiTheme="minorEastAsia" w:eastAsiaTheme="minorEastAsia" w:cstheme="minorEastAsia"/>
          <w:i w:val="0"/>
          <w:iCs w:val="0"/>
          <w:caps w:val="0"/>
          <w:color w:val="000000"/>
          <w:spacing w:val="14"/>
          <w:sz w:val="24"/>
          <w:szCs w:val="24"/>
          <w:shd w:val="clear" w:fill="FFFFFF"/>
        </w:rPr>
      </w:pPr>
    </w:p>
    <w:p>
      <w:pPr>
        <w:keepNext w:val="0"/>
        <w:keepLines w:val="0"/>
        <w:widowControl/>
        <w:numPr>
          <w:ilvl w:val="0"/>
          <w:numId w:val="1"/>
        </w:numPr>
        <w:suppressLineNumbers w:val="0"/>
        <w:spacing w:before="159" w:beforeLines="50" w:beforeAutospacing="0" w:after="159" w:afterLines="50" w:afterAutospacing="0"/>
        <w:jc w:val="center"/>
        <w:rPr>
          <w:rStyle w:val="9"/>
          <w:rFonts w:hint="eastAsia" w:ascii="黑体" w:hAnsi="黑体" w:eastAsia="黑体" w:cs="黑体"/>
          <w:i w:val="0"/>
          <w:iCs w:val="0"/>
          <w:caps w:val="0"/>
          <w:color w:val="222222"/>
          <w:spacing w:val="0"/>
          <w:sz w:val="32"/>
          <w:szCs w:val="32"/>
          <w:shd w:val="clear" w:fill="FFFFFF"/>
        </w:rPr>
      </w:pPr>
      <w:r>
        <w:rPr>
          <w:rStyle w:val="9"/>
          <w:rFonts w:hint="eastAsia" w:ascii="黑体" w:hAnsi="黑体" w:eastAsia="黑体" w:cs="黑体"/>
          <w:i w:val="0"/>
          <w:iCs w:val="0"/>
          <w:caps w:val="0"/>
          <w:color w:val="222222"/>
          <w:spacing w:val="0"/>
          <w:sz w:val="32"/>
          <w:szCs w:val="32"/>
          <w:shd w:val="clear" w:fill="FFFFFF"/>
        </w:rPr>
        <w:t>独立董事在虚假陈述案件中的责任</w:t>
      </w:r>
      <w:r>
        <w:rPr>
          <w:rStyle w:val="9"/>
          <w:rFonts w:hint="eastAsia" w:ascii="黑体" w:hAnsi="黑体" w:eastAsia="黑体" w:cs="黑体"/>
          <w:i w:val="0"/>
          <w:iCs w:val="0"/>
          <w:caps w:val="0"/>
          <w:color w:val="222222"/>
          <w:spacing w:val="0"/>
          <w:sz w:val="32"/>
          <w:szCs w:val="32"/>
          <w:shd w:val="clear" w:fill="FFFFFF"/>
          <w:lang w:val="en-US" w:eastAsia="zh-CN"/>
        </w:rPr>
        <w:t>性质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59" w:afterLines="50" w:afterAutospacing="0"/>
        <w:jc w:val="both"/>
        <w:textAlignment w:val="auto"/>
        <w:rPr>
          <w:rStyle w:val="9"/>
          <w:rFonts w:ascii="Arial" w:hAnsi="Arial" w:eastAsia="宋体" w:cs="Arial"/>
          <w:b/>
          <w:bCs/>
          <w:i w:val="0"/>
          <w:iCs w:val="0"/>
          <w:caps w:val="0"/>
          <w:color w:val="222222"/>
          <w:spacing w:val="0"/>
          <w:sz w:val="28"/>
          <w:szCs w:val="28"/>
          <w:shd w:val="clear" w:fill="FFFFFF"/>
        </w:rPr>
      </w:pPr>
      <w:r>
        <w:rPr>
          <w:rFonts w:ascii="宋体" w:hAnsi="宋体" w:eastAsia="宋体" w:cs="宋体"/>
          <w:b/>
          <w:bCs/>
          <w:sz w:val="28"/>
          <w:szCs w:val="28"/>
        </w:rPr>
        <w:t>2.1 独立董事在证券虚假陈述中承担侵权责任</w:t>
      </w:r>
    </w:p>
    <w:p>
      <w:pPr>
        <w:keepNext w:val="0"/>
        <w:keepLines w:val="0"/>
        <w:widowControl/>
        <w:numPr>
          <w:ilvl w:val="0"/>
          <w:numId w:val="0"/>
        </w:numPr>
        <w:suppressLineNumbers w:val="0"/>
        <w:spacing w:beforeAutospacing="0"/>
        <w:ind w:firstLine="420" w:firstLineChars="0"/>
        <w:jc w:val="left"/>
        <w:rPr>
          <w:rFonts w:ascii="宋体" w:hAnsi="宋体" w:eastAsia="宋体" w:cs="宋体"/>
          <w:sz w:val="24"/>
          <w:szCs w:val="24"/>
        </w:rPr>
      </w:pPr>
      <w:r>
        <w:rPr>
          <w:rFonts w:ascii="宋体" w:hAnsi="宋体" w:eastAsia="宋体" w:cs="宋体"/>
          <w:sz w:val="24"/>
          <w:szCs w:val="24"/>
        </w:rPr>
        <w:t>2002 年最高人民法院首次公布了《关于审理证券市场因虚假陈述引发的民事 赔偿案件的若干规定》，我国对证券虚假陈述责任的性质并没有明确的规定，但 以侵权责任的构成要件来作为规范安排的结构框架，从实质上确定证券虚假陈述的责任性质为侵权责任</w:t>
      </w:r>
    </w:p>
    <w:p>
      <w:pPr>
        <w:keepNext w:val="0"/>
        <w:keepLines w:val="0"/>
        <w:widowControl/>
        <w:numPr>
          <w:ilvl w:val="0"/>
          <w:numId w:val="0"/>
        </w:numPr>
        <w:suppressLineNumbers w:val="0"/>
        <w:jc w:val="left"/>
        <w:rPr>
          <w:rFonts w:ascii="宋体" w:hAnsi="宋体" w:eastAsia="宋体" w:cs="宋体"/>
          <w:sz w:val="24"/>
          <w:szCs w:val="24"/>
        </w:rPr>
      </w:pPr>
    </w:p>
    <w:p>
      <w:pPr>
        <w:keepNext w:val="0"/>
        <w:keepLines w:val="0"/>
        <w:widowControl/>
        <w:numPr>
          <w:ilvl w:val="0"/>
          <w:numId w:val="0"/>
        </w:numPr>
        <w:suppressLineNumbers w:val="0"/>
        <w:spacing w:after="159" w:afterLines="50" w:afterAutospacing="0"/>
        <w:jc w:val="left"/>
        <w:rPr>
          <w:rFonts w:hint="eastAsia" w:ascii="宋体" w:hAnsi="宋体" w:eastAsia="宋体" w:cs="宋体"/>
          <w:b/>
          <w:bCs/>
          <w:sz w:val="28"/>
          <w:szCs w:val="28"/>
        </w:rPr>
      </w:pPr>
      <w:r>
        <w:rPr>
          <w:rFonts w:hint="eastAsia" w:ascii="宋体" w:hAnsi="宋体" w:eastAsia="宋体" w:cs="宋体"/>
          <w:b/>
          <w:bCs/>
          <w:sz w:val="28"/>
          <w:szCs w:val="28"/>
        </w:rPr>
        <w:t>2.2 证券虚假陈述中独立董事承担连带责任</w:t>
      </w:r>
    </w:p>
    <w:p>
      <w:pPr>
        <w:keepNext w:val="0"/>
        <w:keepLines w:val="0"/>
        <w:widowControl/>
        <w:numPr>
          <w:ilvl w:val="0"/>
          <w:numId w:val="0"/>
        </w:numPr>
        <w:suppressLineNumbers w:val="0"/>
        <w:spacing w:beforeAutospacing="0"/>
        <w:ind w:firstLine="420" w:firstLineChars="0"/>
        <w:jc w:val="left"/>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sz w:val="24"/>
          <w:szCs w:val="24"/>
        </w:rPr>
        <w:t>在虚假陈述中，独立董事的民事责任是和公司承担连带赔偿责任。</w:t>
      </w:r>
      <w:r>
        <w:rPr>
          <w:rFonts w:hint="eastAsia" w:ascii="宋体" w:hAnsi="宋体" w:eastAsia="宋体" w:cs="宋体"/>
          <w:i w:val="0"/>
          <w:iCs w:val="0"/>
          <w:caps w:val="0"/>
          <w:color w:val="121212"/>
          <w:spacing w:val="0"/>
          <w:sz w:val="24"/>
          <w:szCs w:val="24"/>
          <w:shd w:val="clear" w:fill="FFFFFF"/>
        </w:rPr>
        <w:t>根据《证券法》第85条，董事包括独立董事存在过错时，应当与公司承担连带赔偿责任。</w:t>
      </w:r>
      <w:r>
        <w:rPr>
          <w:rFonts w:hint="eastAsia" w:ascii="宋体" w:hAnsi="宋体" w:eastAsia="宋体" w:cs="宋体"/>
          <w:i w:val="0"/>
          <w:iCs w:val="0"/>
          <w:caps w:val="0"/>
          <w:color w:val="121212"/>
          <w:spacing w:val="0"/>
          <w:sz w:val="24"/>
          <w:szCs w:val="24"/>
          <w:shd w:val="clear" w:fill="FFFFFF"/>
          <w:lang w:val="en-US" w:eastAsia="zh-CN"/>
        </w:rPr>
        <w:t>根据</w:t>
      </w:r>
      <w:r>
        <w:rPr>
          <w:rFonts w:hint="eastAsia" w:ascii="宋体" w:hAnsi="宋体" w:eastAsia="宋体" w:cs="宋体"/>
          <w:i w:val="0"/>
          <w:iCs w:val="0"/>
          <w:caps w:val="0"/>
          <w:color w:val="121212"/>
          <w:spacing w:val="0"/>
          <w:sz w:val="24"/>
          <w:szCs w:val="24"/>
          <w:shd w:val="clear" w:fill="FFFFFF"/>
        </w:rPr>
        <w:t>最高院《关于审理证券市场因虚假陈述引发的民事赔偿案件的若干规定》</w:t>
      </w: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rPr>
        <w:t>发起人、发行人或者上市公司对其虚假陈述给投资人造成的损失承担民事赔偿责任。发行人、上市公司负有责任的董事、监事和经理等高级管理人员对前款的损失承担连带赔偿责任。但有证据证明无过错的，应予免责。”由于在证券虚假陈述纠纷中，并不区分一般董事和独立董事，所以相关法律法规规定的承担赔偿责任的人员包括独立董事。</w:t>
      </w:r>
    </w:p>
    <w:p>
      <w:pPr>
        <w:keepNext w:val="0"/>
        <w:keepLines w:val="0"/>
        <w:widowControl/>
        <w:numPr>
          <w:ilvl w:val="0"/>
          <w:numId w:val="0"/>
        </w:numPr>
        <w:suppressLineNumbers w:val="0"/>
        <w:ind w:firstLine="420" w:firstLineChars="0"/>
        <w:jc w:val="left"/>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从康美药业案以及类似案例的判决结果来看，法院认定独立董事承担连带赔偿责任的案例体现出以下特点：</w:t>
      </w:r>
    </w:p>
    <w:p>
      <w:pPr>
        <w:keepNext w:val="0"/>
        <w:keepLines w:val="0"/>
        <w:widowControl/>
        <w:numPr>
          <w:ilvl w:val="0"/>
          <w:numId w:val="2"/>
        </w:numPr>
        <w:suppressLineNumbers w:val="0"/>
        <w:ind w:firstLine="420" w:firstLineChars="0"/>
        <w:jc w:val="both"/>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rPr>
        <w:t>对独立董事仅以“已尽到勤勉尽责的义务”“对虚假陈述不知情且未参与”“不知情且未获利”等为由进行抗辩不予认可。法院一般判决独立董事按照过错程度承担补充赔偿责任或连带赔偿责任，责任比例一般在损失的5%-10%，此种判决主要考虑到独立董事负有勤勉尽责的义务，但不执行具体事务，不参与公司日常经营管理，相较于非独立董事，责任较小。</w:t>
      </w:r>
      <w:r>
        <w:rPr>
          <w:rFonts w:hint="eastAsia" w:ascii="宋体" w:hAnsi="宋体" w:eastAsia="宋体" w:cs="宋体"/>
          <w:i w:val="0"/>
          <w:iCs w:val="0"/>
          <w:caps w:val="0"/>
          <w:color w:val="121212"/>
          <w:spacing w:val="0"/>
          <w:sz w:val="24"/>
          <w:szCs w:val="24"/>
          <w:shd w:val="clear" w:fill="FFFFFF"/>
          <w:lang w:val="en-US" w:eastAsia="zh-CN"/>
        </w:rPr>
        <w:t>如康美案中，法院认为涉案五名独立董事皆为兼职，不参与公司日常经营，过失相对较小，酌情判令其在投资者损失5%或10%的范围内承担连带赔偿责任。</w:t>
      </w:r>
    </w:p>
    <w:p>
      <w:pPr>
        <w:keepNext w:val="0"/>
        <w:keepLines w:val="0"/>
        <w:widowControl/>
        <w:numPr>
          <w:ilvl w:val="0"/>
          <w:numId w:val="2"/>
        </w:numPr>
        <w:suppressLineNumbers w:val="0"/>
        <w:ind w:firstLine="420" w:firstLineChars="0"/>
        <w:jc w:val="both"/>
        <w:rPr>
          <w:rFonts w:ascii="宋体" w:hAnsi="宋体" w:eastAsia="宋体" w:cs="宋体"/>
          <w:sz w:val="24"/>
          <w:szCs w:val="24"/>
        </w:rPr>
      </w:pPr>
      <w:r>
        <w:rPr>
          <w:rFonts w:hint="eastAsia" w:ascii="宋体" w:hAnsi="宋体" w:eastAsia="宋体" w:cs="宋体"/>
          <w:i w:val="0"/>
          <w:iCs w:val="0"/>
          <w:caps w:val="0"/>
          <w:color w:val="121212"/>
          <w:spacing w:val="0"/>
          <w:sz w:val="24"/>
          <w:szCs w:val="24"/>
          <w:shd w:val="clear" w:fill="FFFFFF"/>
        </w:rPr>
        <w:t>若案件存在较为特殊的情况，且独立董事可以提供证据证明自己详细的履职过程和尽到勤勉义务的，判决其不承担责任。特殊情况包括披露的信息并非独立董事任职公司的内部信息，</w:t>
      </w:r>
      <w:r>
        <w:rPr>
          <w:rFonts w:hint="eastAsia" w:ascii="宋体" w:hAnsi="宋体" w:eastAsia="宋体" w:cs="宋体"/>
          <w:i w:val="0"/>
          <w:iCs w:val="0"/>
          <w:caps w:val="0"/>
          <w:color w:val="121212"/>
          <w:spacing w:val="0"/>
          <w:sz w:val="24"/>
          <w:szCs w:val="24"/>
          <w:shd w:val="clear" w:fill="FFFFFF"/>
          <w:lang w:val="en-US" w:eastAsia="zh-CN"/>
        </w:rPr>
        <w:t>例如</w:t>
      </w:r>
      <w:r>
        <w:rPr>
          <w:rFonts w:hint="eastAsia" w:ascii="宋体" w:hAnsi="宋体" w:eastAsia="宋体" w:cs="宋体"/>
          <w:i w:val="0"/>
          <w:iCs w:val="0"/>
          <w:caps w:val="0"/>
          <w:color w:val="121212"/>
          <w:spacing w:val="0"/>
          <w:sz w:val="24"/>
          <w:szCs w:val="24"/>
          <w:shd w:val="clear" w:fill="FFFFFF"/>
        </w:rPr>
        <w:t>博腾制药（300363）行政处罚案中</w:t>
      </w: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lang w:val="en-US" w:eastAsia="zh-CN"/>
        </w:rPr>
        <w:t>独立董事郭永清在审议博腾股份2018年第三季度报告时要求注意合规经营，同时在知悉公司存在资金占用情况后积极采取补救措施，履行了独立董事职责，故对其申辩意见予以采纳，对其免予行政处罚。广州市中级人民法院在审理康美药业虚假陈述民事</w:t>
      </w:r>
      <w:r>
        <w:rPr>
          <w:rFonts w:hint="eastAsia" w:asciiTheme="minorEastAsia" w:hAnsiTheme="minorEastAsia" w:cstheme="minorEastAsia"/>
          <w:i w:val="0"/>
          <w:iCs w:val="0"/>
          <w:caps w:val="0"/>
          <w:color w:val="121212"/>
          <w:spacing w:val="0"/>
          <w:sz w:val="24"/>
          <w:szCs w:val="24"/>
          <w:shd w:val="clear" w:fill="FFFFFF"/>
          <w:lang w:val="en-US" w:eastAsia="zh-CN"/>
        </w:rPr>
        <w:t>赔偿责任一案中确立了独立董事对上市公司虚假陈述导致的民事赔偿责任中承担有限连带赔偿责任的归责原则。</w:t>
      </w:r>
    </w:p>
    <w:p>
      <w:pPr>
        <w:keepNext w:val="0"/>
        <w:keepLines w:val="0"/>
        <w:widowControl/>
        <w:numPr>
          <w:ilvl w:val="0"/>
          <w:numId w:val="2"/>
        </w:numPr>
        <w:suppressLineNumbers w:val="0"/>
        <w:ind w:firstLine="420" w:firstLineChars="0"/>
        <w:jc w:val="both"/>
        <w:rPr>
          <w:rFonts w:hint="eastAsia" w:ascii="宋体" w:hAnsi="宋体" w:eastAsia="宋体" w:cs="宋体"/>
          <w:sz w:val="24"/>
          <w:szCs w:val="24"/>
        </w:rPr>
      </w:pPr>
      <w:r>
        <w:rPr>
          <w:rFonts w:hint="eastAsia" w:ascii="宋体" w:hAnsi="宋体" w:eastAsia="宋体" w:cs="宋体"/>
          <w:i w:val="0"/>
          <w:iCs w:val="0"/>
          <w:caps w:val="0"/>
          <w:color w:val="121212"/>
          <w:spacing w:val="0"/>
          <w:sz w:val="24"/>
          <w:szCs w:val="24"/>
          <w:shd w:val="clear" w:fill="FFFFFF"/>
          <w:lang w:val="en-US" w:eastAsia="zh-CN"/>
        </w:rPr>
        <w:t>独立董事勤勉尽责义务的认定。</w:t>
      </w:r>
      <w:r>
        <w:rPr>
          <w:rFonts w:hint="eastAsia" w:ascii="宋体" w:hAnsi="宋体" w:eastAsia="宋体" w:cs="宋体"/>
          <w:sz w:val="24"/>
          <w:szCs w:val="24"/>
        </w:rPr>
        <w:t>当独立董事因未能充分证明已勤勉尽责时，法院极少判定独立董事就证券虚假陈述造成的全部损失承担连带赔偿责任。在多数情况下，法院都会判决独立董事仅就部分损失承担责任，也就是在全部损失的范围内进行一个比例的限定。审视现有案例发现，独立董事承担民事责任的比例范围大多为 5%、10%。但法院是基于何种考量，选择适用 5%、 10%的比例，值得探寻。因为鉴于证券市场的特殊性，1%的比例悬殊都可能使得赔偿金额具有巨大差异。</w:t>
      </w:r>
    </w:p>
    <w:p>
      <w:pPr>
        <w:keepNext w:val="0"/>
        <w:keepLines w:val="0"/>
        <w:widowControl/>
        <w:numPr>
          <w:ilvl w:val="0"/>
          <w:numId w:val="0"/>
        </w:numPr>
        <w:suppressLineNumbers w:val="0"/>
        <w:ind w:firstLine="420" w:firstLineChars="0"/>
        <w:jc w:val="both"/>
        <w:rPr>
          <w:rFonts w:hint="eastAsia" w:ascii="宋体" w:hAnsi="宋体" w:eastAsia="宋体" w:cs="宋体"/>
          <w:sz w:val="24"/>
          <w:szCs w:val="24"/>
        </w:rPr>
      </w:pPr>
      <w:r>
        <w:rPr>
          <w:rFonts w:hint="eastAsia" w:ascii="宋体" w:hAnsi="宋体" w:eastAsia="宋体" w:cs="宋体"/>
          <w:sz w:val="24"/>
          <w:szCs w:val="24"/>
        </w:rPr>
        <w:t>在康美药业案中， 三位独立董事被判在 10%的范围内承担连带责任，金额为 2.46 亿元，另两位独立董事被判在 5%的 范围内承担连带赔偿责任，金额为 1.23 亿元。但根据 2021 年中国上市公司治理评价 结果发现，上市公司独立董事的平均薪酬仅为 8.56 万元。“天价”处罚与薪酬相比形成巨大反差，一时激起千层浪。不少人</w:t>
      </w:r>
      <w:r>
        <w:rPr>
          <w:rFonts w:hint="eastAsia" w:ascii="宋体" w:hAnsi="宋体" w:eastAsia="宋体" w:cs="宋体"/>
          <w:sz w:val="24"/>
          <w:szCs w:val="24"/>
          <w:lang w:val="en-US" w:eastAsia="zh-CN"/>
        </w:rPr>
        <w:t>认为有失</w:t>
      </w:r>
      <w:r>
        <w:rPr>
          <w:rFonts w:hint="eastAsia" w:ascii="宋体" w:hAnsi="宋体" w:eastAsia="宋体" w:cs="宋体"/>
          <w:sz w:val="24"/>
          <w:szCs w:val="24"/>
        </w:rPr>
        <w:t>公平。但因康美药业案乃我国证券集团诉讼的第一案，涉及投资者众多，赔偿金额基数大，故而即使适用与之前相同的比例进行裁决，也让独立董事难以承受。事实上，若结合康美 药业案的案件事实进行考量，相较于实际控制人等，独立董事的赔偿金额已是显得颇为“温和”。 由此可以看出，“责任与过错相</w:t>
      </w:r>
      <w:r>
        <w:rPr>
          <w:rFonts w:hint="eastAsia" w:ascii="宋体" w:hAnsi="宋体" w:eastAsia="宋体" w:cs="宋体"/>
          <w:sz w:val="24"/>
          <w:szCs w:val="24"/>
          <w:lang w:val="en-US" w:eastAsia="zh-CN"/>
        </w:rPr>
        <w:t>匹配</w:t>
      </w:r>
      <w:r>
        <w:rPr>
          <w:rFonts w:hint="eastAsia" w:ascii="宋体" w:hAnsi="宋体" w:eastAsia="宋体" w:cs="宋体"/>
          <w:sz w:val="24"/>
          <w:szCs w:val="24"/>
        </w:rPr>
        <w:t>”的原则性规定已不足以充分保障独立董事“过责相当”。同样地，在法律规定、司法政策未明确提出独立董事的赔偿范围的裁量应考虑独立董事的专业职责范围，法院亦几乎未将独立董事的专业职责范围作为赔偿范围的考量因素。</w:t>
      </w:r>
    </w:p>
    <w:p>
      <w:pPr>
        <w:keepNext w:val="0"/>
        <w:keepLines w:val="0"/>
        <w:widowControl/>
        <w:numPr>
          <w:ilvl w:val="0"/>
          <w:numId w:val="0"/>
        </w:numPr>
        <w:suppressLineNumbers w:val="0"/>
        <w:spacing w:afterAutospacing="0"/>
        <w:jc w:val="left"/>
        <w:rPr>
          <w:rFonts w:ascii="宋体" w:hAnsi="宋体" w:eastAsia="宋体" w:cs="宋体"/>
          <w:sz w:val="24"/>
          <w:szCs w:val="24"/>
        </w:rPr>
      </w:pPr>
    </w:p>
    <w:p>
      <w:pPr>
        <w:keepNext w:val="0"/>
        <w:keepLines w:val="0"/>
        <w:widowControl/>
        <w:numPr>
          <w:ilvl w:val="0"/>
          <w:numId w:val="1"/>
        </w:numPr>
        <w:suppressLineNumbers w:val="0"/>
        <w:spacing w:before="159" w:beforeLines="50" w:beforeAutospacing="0" w:after="159" w:afterLines="50" w:afterAutospacing="0"/>
        <w:ind w:left="0" w:leftChars="0" w:firstLine="0" w:firstLineChars="0"/>
        <w:jc w:val="center"/>
        <w:rPr>
          <w:rFonts w:hint="eastAsia" w:ascii="黑体" w:hAnsi="黑体" w:eastAsia="黑体" w:cs="黑体"/>
          <w:b/>
          <w:bCs/>
          <w:sz w:val="32"/>
          <w:szCs w:val="32"/>
        </w:rPr>
      </w:pPr>
      <w:r>
        <w:rPr>
          <w:rFonts w:hint="eastAsia" w:ascii="黑体" w:hAnsi="黑体" w:eastAsia="黑体" w:cs="黑体"/>
          <w:b/>
          <w:bCs/>
          <w:sz w:val="32"/>
          <w:szCs w:val="32"/>
        </w:rPr>
        <w:t>合理化证券虚假陈述中独立董事民事责任承担</w:t>
      </w:r>
    </w:p>
    <w:p>
      <w:pPr>
        <w:keepNext w:val="0"/>
        <w:keepLines w:val="0"/>
        <w:widowControl/>
        <w:numPr>
          <w:ilvl w:val="0"/>
          <w:numId w:val="0"/>
        </w:numPr>
        <w:suppressLineNumbers w:val="0"/>
        <w:spacing w:beforeAutospacing="0" w:afterAutospacing="0"/>
        <w:ind w:firstLine="420" w:firstLineChars="0"/>
        <w:jc w:val="left"/>
        <w:rPr>
          <w:rFonts w:ascii="宋体" w:hAnsi="宋体" w:eastAsia="宋体" w:cs="宋体"/>
          <w:sz w:val="24"/>
          <w:szCs w:val="24"/>
        </w:rPr>
      </w:pPr>
      <w:r>
        <w:rPr>
          <w:rFonts w:ascii="宋体" w:hAnsi="宋体" w:eastAsia="宋体" w:cs="宋体"/>
          <w:sz w:val="24"/>
          <w:szCs w:val="24"/>
        </w:rPr>
        <w:t>鉴于当前虚假陈述中独立董事民事责任的立法上存在一定的不足，导致司法 实践中独立董事的责任认定相应地也容易出现问题，对此主要从完善立法的角度，对独立董事民事责任制度提出一些建议。</w:t>
      </w:r>
    </w:p>
    <w:p>
      <w:pPr>
        <w:keepNext w:val="0"/>
        <w:keepLines w:val="0"/>
        <w:widowControl/>
        <w:numPr>
          <w:ilvl w:val="0"/>
          <w:numId w:val="0"/>
        </w:numPr>
        <w:suppressLineNumbers w:val="0"/>
        <w:spacing w:before="159" w:beforeLines="50" w:beforeAutospacing="0" w:after="159" w:afterLines="50" w:afterAutospacing="0"/>
        <w:jc w:val="left"/>
        <w:rPr>
          <w:rFonts w:ascii="宋体" w:hAnsi="宋体" w:eastAsia="宋体" w:cs="宋体"/>
          <w:b/>
          <w:bCs/>
          <w:sz w:val="28"/>
          <w:szCs w:val="28"/>
        </w:rPr>
      </w:pPr>
      <w:r>
        <w:rPr>
          <w:rFonts w:hint="eastAsia" w:ascii="宋体" w:hAnsi="宋体" w:eastAsia="宋体" w:cs="宋体"/>
          <w:b/>
          <w:bCs/>
          <w:sz w:val="28"/>
          <w:szCs w:val="28"/>
          <w:lang w:val="en-US" w:eastAsia="zh-CN"/>
        </w:rPr>
        <w:t xml:space="preserve">3.1 </w:t>
      </w:r>
      <w:r>
        <w:rPr>
          <w:rFonts w:ascii="宋体" w:hAnsi="宋体" w:eastAsia="宋体" w:cs="宋体"/>
          <w:b/>
          <w:bCs/>
          <w:sz w:val="28"/>
          <w:szCs w:val="28"/>
        </w:rPr>
        <w:t>合理区分独立董事与内部董事的民事责任</w:t>
      </w:r>
    </w:p>
    <w:p>
      <w:pPr>
        <w:keepNext w:val="0"/>
        <w:keepLines w:val="0"/>
        <w:widowControl/>
        <w:numPr>
          <w:ilvl w:val="0"/>
          <w:numId w:val="0"/>
        </w:numPr>
        <w:suppressLineNumbers w:val="0"/>
        <w:spacing w:beforeAutospacing="0"/>
        <w:ind w:firstLine="420" w:firstLineChars="0"/>
        <w:jc w:val="left"/>
        <w:rPr>
          <w:rFonts w:ascii="宋体" w:hAnsi="宋体" w:eastAsia="宋体" w:cs="宋体"/>
          <w:sz w:val="24"/>
          <w:szCs w:val="24"/>
        </w:rPr>
      </w:pPr>
      <w:r>
        <w:rPr>
          <w:rFonts w:ascii="宋体" w:hAnsi="宋体" w:eastAsia="宋体" w:cs="宋体"/>
          <w:sz w:val="24"/>
          <w:szCs w:val="24"/>
        </w:rPr>
        <w:t>目前法律法规中关于虚假陈述中独立董事的民事责任的相关规定的基本只有《证券法》和《虚假陈述赔偿规定》，而这些法律法规当中也并未特别规定独立董事的民事责任，在“负有责任的董事”之间没有作出区分，这就使得独立董事需要承担的民事责任成为了一种无限连带责任。</w:t>
      </w:r>
      <w:r>
        <w:rPr>
          <w:rFonts w:hint="eastAsia" w:ascii="宋体" w:hAnsi="宋体" w:eastAsia="宋体" w:cs="宋体"/>
          <w:sz w:val="24"/>
          <w:szCs w:val="24"/>
          <w:lang w:val="en-US" w:eastAsia="zh-CN"/>
        </w:rPr>
        <w:t>因此我认为独立董事</w:t>
      </w:r>
      <w:r>
        <w:rPr>
          <w:rFonts w:ascii="宋体" w:hAnsi="宋体" w:eastAsia="宋体" w:cs="宋体"/>
          <w:sz w:val="24"/>
          <w:szCs w:val="24"/>
        </w:rPr>
        <w:t>承担民事责任的范围与内部董事承担民事责任范围应当是交叉但不完全重合的关系，承担与义务匹配的责任，更有利于独立董事制度发挥相应的作用。</w:t>
      </w:r>
    </w:p>
    <w:p>
      <w:pPr>
        <w:keepNext w:val="0"/>
        <w:keepLines w:val="0"/>
        <w:widowControl/>
        <w:numPr>
          <w:ilvl w:val="0"/>
          <w:numId w:val="0"/>
        </w:numPr>
        <w:suppressLineNumbers w:val="0"/>
        <w:ind w:firstLine="420" w:firstLineChars="0"/>
        <w:jc w:val="left"/>
        <w:rPr>
          <w:rFonts w:ascii="宋体" w:hAnsi="宋体" w:eastAsia="宋体" w:cs="宋体"/>
          <w:sz w:val="24"/>
          <w:szCs w:val="24"/>
        </w:rPr>
      </w:pPr>
      <w:r>
        <w:rPr>
          <w:rFonts w:ascii="宋体" w:hAnsi="宋体" w:eastAsia="宋体" w:cs="宋体"/>
          <w:sz w:val="24"/>
          <w:szCs w:val="24"/>
        </w:rPr>
        <w:t>司法实践中，康美药业案，对独立董事 与兼职独立董事，追究了不同程度的连带赔偿责任。基于此，为合理区分独立董事与内部董事的民事责任，根据法律地位、履职范围、专业水平，薪资状况，对董事会成员进行分级分类，从而设置相应的责任比例，是更为符合我国国情的独立董事责任制度的完善途径。</w:t>
      </w:r>
    </w:p>
    <w:p>
      <w:pPr>
        <w:keepNext w:val="0"/>
        <w:keepLines w:val="0"/>
        <w:widowControl/>
        <w:numPr>
          <w:ilvl w:val="0"/>
          <w:numId w:val="0"/>
        </w:numPr>
        <w:suppressLineNumbers w:val="0"/>
        <w:spacing w:afterAutospacing="0"/>
        <w:ind w:firstLine="420" w:firstLineChars="0"/>
        <w:jc w:val="left"/>
        <w:rPr>
          <w:rFonts w:ascii="宋体" w:hAnsi="宋体" w:eastAsia="宋体" w:cs="宋体"/>
          <w:sz w:val="24"/>
          <w:szCs w:val="24"/>
        </w:rPr>
      </w:pPr>
    </w:p>
    <w:p>
      <w:pPr>
        <w:keepNext w:val="0"/>
        <w:keepLines w:val="0"/>
        <w:widowControl/>
        <w:numPr>
          <w:ilvl w:val="0"/>
          <w:numId w:val="0"/>
        </w:numPr>
        <w:suppressLineNumbers w:val="0"/>
        <w:spacing w:before="159" w:beforeLines="50" w:beforeAutospacing="0" w:after="159" w:afterLines="50" w:afterAutospacing="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3.2 </w:t>
      </w:r>
      <w:r>
        <w:rPr>
          <w:rFonts w:ascii="宋体" w:hAnsi="宋体" w:eastAsia="宋体" w:cs="宋体"/>
          <w:b/>
          <w:bCs/>
          <w:sz w:val="28"/>
          <w:szCs w:val="28"/>
        </w:rPr>
        <w:t>完善独立董事的勤勉尽责义务</w:t>
      </w:r>
      <w:r>
        <w:rPr>
          <w:rFonts w:hint="eastAsia" w:ascii="宋体" w:hAnsi="宋体" w:eastAsia="宋体" w:cs="宋体"/>
          <w:b/>
          <w:bCs/>
          <w:sz w:val="28"/>
          <w:szCs w:val="28"/>
          <w:lang w:val="en-US" w:eastAsia="zh-CN"/>
        </w:rPr>
        <w:t>和</w:t>
      </w:r>
      <w:r>
        <w:rPr>
          <w:rFonts w:ascii="宋体" w:hAnsi="宋体" w:eastAsia="宋体" w:cs="宋体"/>
          <w:b/>
          <w:bCs/>
          <w:sz w:val="28"/>
          <w:szCs w:val="28"/>
        </w:rPr>
        <w:t>过错认定标准</w:t>
      </w:r>
    </w:p>
    <w:p>
      <w:pPr>
        <w:keepNext w:val="0"/>
        <w:keepLines w:val="0"/>
        <w:widowControl/>
        <w:numPr>
          <w:ilvl w:val="0"/>
          <w:numId w:val="0"/>
        </w:numPr>
        <w:suppressLineNumbers w:val="0"/>
        <w:ind w:firstLine="420" w:firstLineChars="0"/>
        <w:jc w:val="left"/>
        <w:rPr>
          <w:rFonts w:hint="eastAsia" w:ascii="宋体" w:hAnsi="宋体" w:eastAsia="宋体" w:cs="宋体"/>
          <w:sz w:val="24"/>
          <w:szCs w:val="24"/>
        </w:rPr>
      </w:pPr>
      <w:r>
        <w:rPr>
          <w:rFonts w:hint="eastAsia" w:ascii="宋体" w:hAnsi="宋体" w:eastAsia="宋体" w:cs="宋体"/>
          <w:i w:val="0"/>
          <w:iCs w:val="0"/>
          <w:caps w:val="0"/>
          <w:color w:val="121212"/>
          <w:spacing w:val="0"/>
          <w:sz w:val="24"/>
          <w:szCs w:val="24"/>
          <w:shd w:val="clear" w:fill="FFFFFF"/>
        </w:rPr>
        <w:t>从我国法律规定来看，勤勉义务在我国《公司法》并没有明确的阐述和界定</w:t>
      </w:r>
      <w:r>
        <w:rPr>
          <w:rFonts w:hint="eastAsia" w:ascii="宋体" w:hAnsi="宋体" w:eastAsia="宋体" w:cs="宋体"/>
          <w:i w:val="0"/>
          <w:iCs w:val="0"/>
          <w:caps w:val="0"/>
          <w:color w:val="121212"/>
          <w:spacing w:val="0"/>
          <w:sz w:val="24"/>
          <w:szCs w:val="24"/>
          <w:shd w:val="clear" w:fill="FFFFFF"/>
          <w:lang w:eastAsia="zh-CN"/>
        </w:rPr>
        <w:t>，从</w:t>
      </w:r>
      <w:r>
        <w:rPr>
          <w:rFonts w:hint="eastAsia" w:ascii="宋体" w:hAnsi="宋体" w:eastAsia="宋体" w:cs="宋体"/>
          <w:i w:val="0"/>
          <w:iCs w:val="0"/>
          <w:caps w:val="0"/>
          <w:color w:val="121212"/>
          <w:spacing w:val="0"/>
          <w:sz w:val="24"/>
          <w:szCs w:val="24"/>
          <w:shd w:val="clear" w:fill="FFFFFF"/>
          <w:lang w:val="en-US" w:eastAsia="zh-CN"/>
        </w:rPr>
        <w:t>司法</w:t>
      </w:r>
      <w:r>
        <w:rPr>
          <w:rFonts w:hint="eastAsia" w:ascii="宋体" w:hAnsi="宋体" w:eastAsia="宋体" w:cs="宋体"/>
          <w:i w:val="0"/>
          <w:iCs w:val="0"/>
          <w:caps w:val="0"/>
          <w:color w:val="121212"/>
          <w:spacing w:val="0"/>
          <w:sz w:val="24"/>
          <w:szCs w:val="24"/>
          <w:shd w:val="clear" w:fill="FFFFFF"/>
          <w:lang w:eastAsia="zh-CN"/>
        </w:rPr>
        <w:t>实践来看，法院也更越来越强调勤勉尽责义务属于过程性和积极性的义务。</w:t>
      </w:r>
      <w:r>
        <w:rPr>
          <w:rFonts w:hint="eastAsia" w:ascii="宋体" w:hAnsi="宋体" w:eastAsia="宋体" w:cs="宋体"/>
          <w:sz w:val="24"/>
          <w:szCs w:val="24"/>
        </w:rPr>
        <w:t>考虑到法律法规具有普遍性与滞后性，无法根据个案的具体状况设置相应的判断标准，提出以下建议：</w:t>
      </w:r>
    </w:p>
    <w:p>
      <w:pPr>
        <w:keepNext w:val="0"/>
        <w:keepLines w:val="0"/>
        <w:widowControl/>
        <w:numPr>
          <w:ilvl w:val="0"/>
          <w:numId w:val="0"/>
        </w:numPr>
        <w:suppressLineNumbers w:val="0"/>
        <w:ind w:firstLine="420" w:firstLineChars="0"/>
        <w:jc w:val="left"/>
        <w:rPr>
          <w:rFonts w:hint="eastAsia" w:ascii="宋体" w:hAnsi="宋体" w:eastAsia="宋体" w:cs="宋体"/>
          <w:sz w:val="24"/>
          <w:szCs w:val="24"/>
          <w:lang w:eastAsia="zh-CN"/>
        </w:rPr>
      </w:pPr>
      <w:r>
        <w:rPr>
          <w:rFonts w:ascii="宋体" w:hAnsi="宋体" w:eastAsia="宋体" w:cs="宋体"/>
          <w:sz w:val="24"/>
          <w:szCs w:val="24"/>
        </w:rPr>
        <w:t>首先，明确独立董事的勤勉义务</w:t>
      </w:r>
      <w:r>
        <w:rPr>
          <w:rFonts w:hint="eastAsia" w:ascii="宋体" w:hAnsi="宋体" w:eastAsia="宋体" w:cs="宋体"/>
          <w:sz w:val="24"/>
          <w:szCs w:val="24"/>
          <w:lang w:val="en-US" w:eastAsia="zh-CN"/>
        </w:rPr>
        <w:t>的认定标准。明确董事勤勉义务的内容，尤其是上市公司独立董事应承担的勤勉义务范围，</w:t>
      </w:r>
      <w:r>
        <w:rPr>
          <w:rFonts w:hint="eastAsia" w:ascii="宋体" w:hAnsi="宋体" w:eastAsia="宋体" w:cs="宋体"/>
          <w:sz w:val="24"/>
          <w:szCs w:val="24"/>
        </w:rPr>
        <w:t>应从职责范围、履职方式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履职标准</w:t>
      </w:r>
      <w:r>
        <w:rPr>
          <w:rFonts w:hint="eastAsia" w:ascii="宋体" w:hAnsi="宋体" w:eastAsia="宋体" w:cs="宋体"/>
          <w:sz w:val="24"/>
          <w:szCs w:val="24"/>
        </w:rPr>
        <w:t>等方面对独立董事勤勉尽责的标准进行细化</w:t>
      </w:r>
      <w:r>
        <w:rPr>
          <w:rFonts w:hint="eastAsia" w:ascii="宋体" w:hAnsi="宋体" w:eastAsia="宋体" w:cs="宋体"/>
          <w:sz w:val="24"/>
          <w:szCs w:val="24"/>
          <w:lang w:eastAsia="zh-CN"/>
        </w:rPr>
        <w:t>。</w:t>
      </w:r>
      <w:r>
        <w:rPr>
          <w:rFonts w:ascii="宋体" w:hAnsi="宋体" w:eastAsia="宋体" w:cs="宋体"/>
          <w:sz w:val="24"/>
          <w:szCs w:val="24"/>
        </w:rPr>
        <w:t>对于独立董事勤勉尽责的审查要在审慎、全面调查的基础上，充分考虑其在日常履职过程中是否尽到勤勉责任</w:t>
      </w:r>
      <w:r>
        <w:rPr>
          <w:rFonts w:hint="eastAsia" w:ascii="宋体" w:hAnsi="宋体" w:eastAsia="宋体" w:cs="宋体"/>
          <w:sz w:val="24"/>
          <w:szCs w:val="24"/>
          <w:lang w:eastAsia="zh-CN"/>
        </w:rPr>
        <w:t>，以使独董制度趋于完善。</w:t>
      </w:r>
    </w:p>
    <w:p>
      <w:pPr>
        <w:keepNext w:val="0"/>
        <w:keepLines w:val="0"/>
        <w:widowControl/>
        <w:numPr>
          <w:ilvl w:val="0"/>
          <w:numId w:val="0"/>
        </w:numPr>
        <w:suppressLineNumbers w:val="0"/>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其次</w:t>
      </w:r>
      <w:r>
        <w:rPr>
          <w:rFonts w:ascii="宋体" w:hAnsi="宋体" w:eastAsia="宋体" w:cs="宋体"/>
          <w:sz w:val="24"/>
          <w:szCs w:val="24"/>
        </w:rPr>
        <w:t>，明确独立董事的</w:t>
      </w:r>
      <w:r>
        <w:rPr>
          <w:rFonts w:hint="eastAsia" w:ascii="宋体" w:hAnsi="宋体" w:eastAsia="宋体" w:cs="宋体"/>
          <w:sz w:val="24"/>
          <w:szCs w:val="24"/>
          <w:lang w:val="en-US" w:eastAsia="zh-CN"/>
        </w:rPr>
        <w:t>过错的认定标准。</w:t>
      </w:r>
      <w:r>
        <w:rPr>
          <w:rFonts w:ascii="宋体" w:hAnsi="宋体" w:eastAsia="宋体" w:cs="宋体"/>
          <w:sz w:val="24"/>
          <w:szCs w:val="24"/>
        </w:rPr>
        <w:t>证券虚假陈述中独立董事的归责原则为过错推定原则，独立董事承担证明其已经尽到相应的举证责任，应完善独立董事的过错认定标准，正确衡量独立董事的民事责任。</w:t>
      </w:r>
      <w:r>
        <w:rPr>
          <w:rFonts w:hint="eastAsia" w:ascii="宋体" w:hAnsi="宋体" w:eastAsia="宋体" w:cs="宋体"/>
          <w:sz w:val="24"/>
          <w:szCs w:val="24"/>
        </w:rPr>
        <w:t>从注意义务和忠实义务两方面对独立董事民事责任的认定标准进行完善</w:t>
      </w:r>
      <w:r>
        <w:rPr>
          <w:rFonts w:hint="eastAsia" w:ascii="宋体" w:hAnsi="宋体" w:eastAsia="宋体" w:cs="宋体"/>
          <w:sz w:val="24"/>
          <w:szCs w:val="24"/>
          <w:lang w:eastAsia="zh-CN"/>
        </w:rPr>
        <w:t>。</w:t>
      </w:r>
      <w:r>
        <w:rPr>
          <w:rFonts w:ascii="宋体" w:hAnsi="宋体" w:eastAsia="宋体" w:cs="宋体"/>
          <w:sz w:val="24"/>
          <w:szCs w:val="24"/>
        </w:rPr>
        <w:t>责任认定标准方式上，应当合理考虑独立董事的角色地位和 过错程度，分级设置相应标准，结合独立董事履职专业领域、津贴金额、勤勉程 度等多方面因素进行过错的判定，进一步区分一般信息披露虚假陈述和涉及专业 造假信息披露虚假陈述中的民事责任。</w:t>
      </w:r>
    </w:p>
    <w:p>
      <w:pPr>
        <w:keepNext w:val="0"/>
        <w:keepLines w:val="0"/>
        <w:widowControl/>
        <w:numPr>
          <w:ilvl w:val="0"/>
          <w:numId w:val="0"/>
        </w:numPr>
        <w:suppressLineNumbers w:val="0"/>
        <w:ind w:firstLine="420" w:firstLineChars="0"/>
        <w:jc w:val="left"/>
        <w:rPr>
          <w:rFonts w:hint="eastAsia" w:ascii="宋体" w:hAnsi="宋体" w:eastAsia="宋体" w:cs="宋体"/>
          <w:sz w:val="24"/>
          <w:szCs w:val="24"/>
          <w:lang w:val="en-US" w:eastAsia="zh-CN"/>
        </w:rPr>
      </w:pPr>
    </w:p>
    <w:p>
      <w:pPr>
        <w:spacing w:before="159" w:beforeLines="50" w:beforeAutospacing="0" w:after="159" w:afterLines="50" w:afterAutospacing="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结语</w:t>
      </w:r>
    </w:p>
    <w:p>
      <w:pPr>
        <w:spacing w:beforeAutospacing="0"/>
        <w:ind w:firstLine="420" w:firstLineChars="0"/>
        <w:rPr>
          <w:rFonts w:ascii="宋体" w:hAnsi="宋体" w:eastAsia="宋体" w:cs="宋体"/>
          <w:sz w:val="24"/>
          <w:szCs w:val="24"/>
        </w:rPr>
      </w:pPr>
      <w:r>
        <w:rPr>
          <w:rFonts w:hint="eastAsia" w:ascii="宋体" w:hAnsi="宋体" w:eastAsia="宋体" w:cs="宋体"/>
          <w:sz w:val="24"/>
          <w:szCs w:val="24"/>
          <w:lang w:val="en-US" w:eastAsia="zh-CN"/>
        </w:rPr>
        <w:t>总的来说</w:t>
      </w:r>
      <w:r>
        <w:rPr>
          <w:rFonts w:ascii="宋体" w:hAnsi="宋体" w:eastAsia="宋体" w:cs="宋体"/>
          <w:sz w:val="24"/>
          <w:szCs w:val="24"/>
        </w:rPr>
        <w:t>，康美药业证券虚假陈述一审判决在保护中小投资者利益方面的示范效应令人振奋，但同时也不应忽视判决中所揭示的独董责任问题。我国独立董事民事责任承担制度不够完善，董事之间无差别承担责任的问题仍然存在，民事责任确实过重的情况下，应当完善独立董事的减责和免责制度，通过明确独立董事的义务职责范围，改变独立董事的责任困境。证券虚假陈述案件中责任的认定，应当兼顾投资者合法权益的保护并公平地认定独立董事责任的承担，使责任与过错相适应，不仅有利于虚假陈述中的独立董事责任认定，更是有利于压实独立董事责任，发挥独立董事制度作用，促进证券市场健康、稳定发展。</w:t>
      </w:r>
    </w:p>
    <w:p>
      <w:pPr>
        <w:rPr>
          <w:rFonts w:ascii="宋体" w:hAnsi="宋体" w:eastAsia="宋体" w:cs="宋体"/>
          <w:sz w:val="24"/>
          <w:szCs w:val="24"/>
        </w:rPr>
      </w:pPr>
    </w:p>
    <w:p>
      <w:pPr>
        <w:spacing w:afterAutospacing="0"/>
        <w:rPr>
          <w:rFonts w:ascii="宋体" w:hAnsi="宋体" w:eastAsia="宋体" w:cs="宋体"/>
          <w:sz w:val="24"/>
          <w:szCs w:val="24"/>
        </w:rPr>
      </w:pPr>
    </w:p>
    <w:p>
      <w:pPr>
        <w:spacing w:before="159" w:beforeLines="50" w:beforeAutospacing="0" w:after="159" w:afterLines="50" w:afterAutospacing="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spacing w:beforeAutospacing="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"https://search.cnki.com.cn/Search/Result?author=%E5%A4%8F%E9%92%B0%E6%B4%8B" \t "https://www.cnki.com.cn/Article/_blank"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夏钰洋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"https://search.cnki.com.cn/Search/Result?author=%E5%91%A8%E5%8D%9A%E6%96%87" \t "https://www.cnki.com.cn/Article/_blank"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周博文</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.论独立董事民事责任认定——以康美药业证券虚假陈述案为例.大庆师范学院学报，2023年05期</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"https://search.cnki.com.cn/Search/Result?author=%E5%86%89%E5%A5%95%E6%99%A8" \t "https://cdmd.cnki.com.cn/Article/_blank"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冉奕晨</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.证券虚假陈述中独立董事的民事责任.延安大学，2023年</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"https://search.cnki.com.cn/Search/Result?author=%E5%86%AF%E7%8E%89%E9%9F%B3" \t "https://www.cnki.com.cn/Article/_blank"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冯玉音</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"https://search.cnki.com.cn/Search/Result?author=%E5%94%90%E4%BD%B3%E9%82%91" \t "https://www.cnki.com.cn/Article/_blank"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唐佳邑</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.独立董事证券虚假陈述责任研究.山东警察学院学报，2022年01期 </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"https://search.cnki.com.cn/Search/Result?author=%E5%88%98%E7%85%9C%E4%BC%AF" \t "https://cdmd.cnki.com.cn/Article/_blank"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刘煜伯</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.证券虚假陈述中独立董事民事责任研究.吉林大学，2022年</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[5]石传省、马冠群.法务参考：独立董事在证券虚假陈述责任纠纷中的责任承担.中视联播</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[6]徐凌婕.协力研究｜证券虚假陈述中的独立董事责任认定.</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"javascript:void(0);"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协力法讯</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，2022年6月</w:t>
      </w:r>
    </w:p>
    <w:p>
      <w:pPr>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[7]周晶敏、柯凯.以“康美药业案”为视角 审视独立董事的民事责任.国枫律师事务所公众号，2021年12月07</w:t>
      </w:r>
      <w:bookmarkStart w:id="2" w:name="_GoBack"/>
      <w:bookmarkEnd w:id="2"/>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bookmarkStart w:id="1" w:name="_Toc12551"/>
    </w:p>
    <w:p>
      <w:pPr>
        <w:rPr>
          <w:rFonts w:hint="eastAsia" w:ascii="宋体" w:hAnsi="宋体" w:eastAsia="宋体" w:cs="宋体"/>
          <w:sz w:val="24"/>
          <w:szCs w:val="24"/>
          <w:lang w:val="en-US" w:eastAsia="zh-CN"/>
        </w:rPr>
      </w:pPr>
    </w:p>
    <w:sdt>
      <w:sdtPr>
        <w:rPr>
          <w:rFonts w:ascii="宋体" w:hAnsi="宋体" w:eastAsia="宋体" w:cstheme="minorBidi"/>
          <w:kern w:val="2"/>
          <w:sz w:val="21"/>
          <w:szCs w:val="24"/>
          <w:lang w:val="en-US" w:eastAsia="zh-CN" w:bidi="ar-SA"/>
        </w:rPr>
        <w:id w:val="147478669"/>
        <w15:color w:val="DBDBDB"/>
        <w:docPartObj>
          <w:docPartGallery w:val="Table of Contents"/>
          <w:docPartUnique/>
        </w:docPartObj>
      </w:sdtPr>
      <w:sdtEndPr>
        <w:rPr>
          <w:rFonts w:hint="default" w:asciiTheme="majorEastAsia" w:hAnsiTheme="majorEastAsia" w:eastAsiaTheme="majorEastAsia" w:cstheme="majorEastAsia"/>
          <w:b/>
          <w:bCs/>
          <w:kern w:val="2"/>
          <w:sz w:val="21"/>
          <w:szCs w:val="40"/>
          <w:lang w:val="en-US" w:eastAsia="zh-CN" w:bidi="ar-SA"/>
        </w:rPr>
      </w:sdtEndPr>
      <w:sdtContent>
        <w:p>
          <w:pPr>
            <w:spacing w:before="0" w:beforeLines="0" w:after="0" w:afterLines="0" w:line="240" w:lineRule="auto"/>
            <w:ind w:left="0" w:leftChars="0" w:right="0" w:rightChars="0" w:firstLine="0" w:firstLineChars="0"/>
            <w:jc w:val="center"/>
            <w:outlineLvl w:val="0"/>
            <w:rPr>
              <w:rFonts w:hint="default" w:asciiTheme="majorEastAsia" w:hAnsiTheme="majorEastAsia" w:eastAsiaTheme="majorEastAsia" w:cstheme="majorEastAsia"/>
              <w:bCs/>
              <w:kern w:val="2"/>
              <w:szCs w:val="40"/>
              <w:lang w:val="en-US" w:eastAsia="zh-CN" w:bidi="ar-SA"/>
            </w:rPr>
          </w:pPr>
          <w:bookmarkEnd w:id="1"/>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Cs/>
              <w:kern w:val="2"/>
              <w:szCs w:val="40"/>
              <w:lang w:val="en-US" w:eastAsia="zh-CN" w:bidi="ar-SA"/>
            </w:rPr>
          </w:pPr>
        </w:p>
        <w:p>
          <w:pPr>
            <w:spacing w:before="159" w:beforeLines="50" w:beforeAutospacing="0" w:after="159" w:afterLines="50" w:afterAutospacing="0"/>
            <w:jc w:val="center"/>
            <w:outlineLvl w:val="9"/>
            <w:rPr>
              <w:rFonts w:hint="default" w:asciiTheme="majorEastAsia" w:hAnsiTheme="majorEastAsia" w:eastAsiaTheme="majorEastAsia" w:cstheme="majorEastAsia"/>
              <w:b/>
              <w:bCs/>
              <w:kern w:val="2"/>
              <w:sz w:val="21"/>
              <w:szCs w:val="40"/>
              <w:lang w:val="en-US" w:eastAsia="zh-CN" w:bidi="ar-SA"/>
            </w:rPr>
          </w:pPr>
        </w:p>
      </w:sdtContent>
    </w:sdt>
    <w:sectPr>
      <w:pgSz w:w="11906" w:h="16838"/>
      <w:pgMar w:top="1440" w:right="850" w:bottom="1440" w:left="85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EA127C"/>
    <w:multiLevelType w:val="singleLevel"/>
    <w:tmpl w:val="B0EA127C"/>
    <w:lvl w:ilvl="0" w:tentative="0">
      <w:start w:val="2"/>
      <w:numFmt w:val="chineseCounting"/>
      <w:suff w:val="space"/>
      <w:lvlText w:val="%1、"/>
      <w:lvlJc w:val="left"/>
      <w:rPr>
        <w:rFonts w:hint="eastAsia"/>
      </w:rPr>
    </w:lvl>
  </w:abstractNum>
  <w:abstractNum w:abstractNumId="1">
    <w:nsid w:val="7EAE7BB2"/>
    <w:multiLevelType w:val="singleLevel"/>
    <w:tmpl w:val="7EAE7BB2"/>
    <w:lvl w:ilvl="0" w:tentative="0">
      <w:start w:val="1"/>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5ZTQyYzY5MzczYjRhZjlkZjAwOGZhNjQ2ODk3MDEifQ=="/>
  </w:docVars>
  <w:rsids>
    <w:rsidRoot w:val="4E7F6F26"/>
    <w:rsid w:val="3EE71A9B"/>
    <w:rsid w:val="4E7F6F26"/>
    <w:rsid w:val="5D386947"/>
    <w:rsid w:val="7B6D7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2023-11-23T00:06:00Z</dcterms:created>
  <dc:creator>凉薄暮人心</dc:creator>
  <cp:lastModifiedBy>凉薄暮人心</cp:lastModifiedBy>
  <dcterms:modified xsi:type="dcterms:W3CDTF">2023-11-29T17:06:03Z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B71B54362BB04B5697F1C3C34BE2550B_11</vt:lpwstr>
  </property>
</Properties>
</file>