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default" w:ascii="Times New Roman" w:hAnsi="Times New Roman" w:cs="Times New Roman"/>
          <w:lang w:val="en-US" w:eastAsia="zh-CN"/>
        </w:rPr>
        <w:t>ITH Score</w:t>
      </w:r>
      <w:r>
        <w:rPr>
          <w:rFonts w:hint="eastAsia"/>
          <w:lang w:val="en-US" w:eastAsia="zh-CN"/>
        </w:rPr>
        <w:t>结果说明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肿瘤异质性</w:t>
      </w:r>
      <w:r>
        <w:rPr>
          <w:rFonts w:hint="default" w:ascii="Times New Roman" w:hAnsi="Times New Roman" w:eastAsia="宋体" w:cs="Times New Roman"/>
          <w:sz w:val="24"/>
          <w:szCs w:val="24"/>
        </w:rPr>
        <w:t>（tumor heterogeneity）</w:t>
      </w:r>
      <w:r>
        <w:rPr>
          <w:rFonts w:ascii="宋体" w:hAnsi="宋体" w:eastAsia="宋体" w:cs="宋体"/>
          <w:sz w:val="24"/>
          <w:szCs w:val="24"/>
        </w:rPr>
        <w:t>是指肿瘤细胞在基因、表型、代谢特性和行为等方面存在的多样性。这种多样性可以影响肿瘤的生长、发展和对治疗的反应。它是肿瘤复杂性的重要特征之一。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本软件引入ITH Score的概念去量化每个细胞的肿瘤异质性。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原理介绍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单细胞测序的细胞数据具有多维性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通过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PCA（Principal Component Analysis）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的方法能够将多维的数据转换为低维表示，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PCA</w:t>
      </w:r>
      <w:r>
        <w:rPr>
          <w:rFonts w:ascii="宋体" w:hAnsi="宋体" w:eastAsia="宋体" w:cs="宋体"/>
          <w:sz w:val="24"/>
          <w:szCs w:val="24"/>
        </w:rPr>
        <w:t>的基本原理是通过线性变换将原始数据投影到一个新的坐标系中，使得投影后的数据方差最大化。这些新的坐标轴被称为主成分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而异质性较强的细胞在主成分上距离其他细胞较远，因此本软件通过计算每个细胞距离其他细胞的平均欧几里得距离（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Euclidean distance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量化该细胞的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ITH Score。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结果介绍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Featureplot结果展示：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1010920</wp:posOffset>
            </wp:positionH>
            <wp:positionV relativeFrom="paragraph">
              <wp:posOffset>38735</wp:posOffset>
            </wp:positionV>
            <wp:extent cx="2809875" cy="2809875"/>
            <wp:effectExtent l="0" t="0" r="9525" b="9525"/>
            <wp:wrapTopAndBottom/>
            <wp:docPr id="5" name="图片 5" descr="ITHscore_feature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THscore_featurepl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该图为ITH Score在降维聚类图上的展示，lable展示的是细胞类型，可以直观的看到在上皮细胞中存在着较大的肿瘤异质性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613410</wp:posOffset>
            </wp:positionH>
            <wp:positionV relativeFrom="paragraph">
              <wp:posOffset>226695</wp:posOffset>
            </wp:positionV>
            <wp:extent cx="3558540" cy="3558540"/>
            <wp:effectExtent l="0" t="0" r="3810" b="3810"/>
            <wp:wrapTopAndBottom/>
            <wp:docPr id="6" name="图片 6" descr="C:/Users/hongjie.dong/Desktop/new_report/ITHscore_featureplot_labelby_sample.pngITHscore_featureplot_labelby_s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/Users/hongjie.dong/Desktop/new_report/ITHscore_featureplot_labelby_sample.pngITHscore_featureplot_labelby_sample"/>
                    <pic:cNvPicPr>
                      <a:picLocks noChangeAspect="1"/>
                    </pic:cNvPicPr>
                  </pic:nvPicPr>
                  <pic:blipFill>
                    <a:blip r:embed="rId5"/>
                    <a:srcRect t="9" b="9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该图同上，只是lable的展示方式改成样本。Lable的展示方式不固定，可以指定某个细胞数据的特征进行展示。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箱线图结果展示：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814070</wp:posOffset>
            </wp:positionH>
            <wp:positionV relativeFrom="paragraph">
              <wp:posOffset>53975</wp:posOffset>
            </wp:positionV>
            <wp:extent cx="3445510" cy="3655695"/>
            <wp:effectExtent l="0" t="0" r="2540" b="1905"/>
            <wp:wrapTopAndBottom/>
            <wp:docPr id="1" name="图片 1" descr="ITHscore_groupbys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THscore_groupbysamp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该图为ITH Score基于sample展示的箱线图结果， 其中sample16的异质性明显强于其他的样本。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420370</wp:posOffset>
            </wp:positionH>
            <wp:positionV relativeFrom="paragraph">
              <wp:posOffset>19685</wp:posOffset>
            </wp:positionV>
            <wp:extent cx="4436110" cy="3489325"/>
            <wp:effectExtent l="0" t="0" r="2540" b="15875"/>
            <wp:wrapTopAndBottom/>
            <wp:docPr id="3" name="图片 3" descr="ITHscore_groupby_celltype_spiltby_s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THscore_groupby_celltype_spiltby_samp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61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该图为ITH Score基因样本分细胞类型的展示结果。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1055370</wp:posOffset>
            </wp:positionH>
            <wp:positionV relativeFrom="paragraph">
              <wp:posOffset>20320</wp:posOffset>
            </wp:positionV>
            <wp:extent cx="2992755" cy="3741420"/>
            <wp:effectExtent l="0" t="0" r="17145" b="11430"/>
            <wp:wrapTopAndBottom/>
            <wp:docPr id="2" name="图片 2" descr="ITHscore_groupby_sample_spiltby_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THscore_groupby_sample_spiltby_grou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该图为基于sample的分组展示，可以比较两组样本之间的肿瘤异质性差异。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其中分组展示的类型如sample，group，celltype都可以指定。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2"/>
          <w:szCs w:val="22"/>
          <w:lang w:val="en-US" w:eastAsia="zh-CN"/>
        </w:rPr>
        <w:t>参考文献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2"/>
          <w:szCs w:val="22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b w:val="0"/>
          <w:bCs w:val="0"/>
          <w:sz w:val="22"/>
          <w:szCs w:val="22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sz w:val="22"/>
          <w:szCs w:val="22"/>
          <w:lang w:val="en-US" w:eastAsia="zh-CN"/>
        </w:rPr>
        <w:t>Stewart, C.A., Gay, C.M., Xi, Y. et al. Single-cell analyses reveal increased intratumoral heterogeneity after the onset of therapy resistance in small-cell lung cancer. Nat Cancer 1, 423–436 (202</w:t>
      </w:r>
      <w:bookmarkStart w:id="0" w:name="_GoBack"/>
      <w:bookmarkEnd w:id="0"/>
      <w:r>
        <w:rPr>
          <w:rFonts w:hint="default" w:ascii="Times New Roman" w:hAnsi="Times New Roman" w:eastAsia="宋体" w:cs="Times New Roman"/>
          <w:b w:val="0"/>
          <w:bCs w:val="0"/>
          <w:sz w:val="22"/>
          <w:szCs w:val="22"/>
          <w:lang w:val="en-US" w:eastAsia="zh-CN"/>
        </w:rPr>
        <w:t>0). https://doi.org/10.1038/s43018-019-0020-z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A72CD5"/>
    <w:multiLevelType w:val="singleLevel"/>
    <w:tmpl w:val="3CA72C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BhMTVlYTAxOWVjZGM5ZjlmOWU1Mzc3NTUyMmNjY2YifQ=="/>
  </w:docVars>
  <w:rsids>
    <w:rsidRoot w:val="0B2E32E7"/>
    <w:rsid w:val="0B2E32E7"/>
    <w:rsid w:val="0C93502E"/>
    <w:rsid w:val="4F8601BB"/>
    <w:rsid w:val="7C62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500</Words>
  <Characters>649</Characters>
  <Lines>0</Lines>
  <Paragraphs>0</Paragraphs>
  <TotalTime>122</TotalTime>
  <ScaleCrop>false</ScaleCrop>
  <LinksUpToDate>false</LinksUpToDate>
  <CharactersWithSpaces>674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2024-05-29T06:48:00Z</dcterms:created>
  <dc:creator>董宏杰</dc:creator>
  <cp:lastModifiedBy>董宏杰</cp:lastModifiedBy>
  <dcterms:modified xsi:type="dcterms:W3CDTF">2024-05-29T09:31:00Z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4EDA2E78C6CB42F0B82E3A27A35EF48F_11</vt:lpwstr>
  </property>
</Properties>
</file>