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Georgia" w:cs="Georgia" w:eastAsia="Georgia" w:hAnsi="Georgia"/>
          <w:b/>
          <w:bCs/>
          <w:color w:val="0F2040"/>
          <w:sz w:val="52"/>
          <w:szCs w:val="52"/>
        </w:rPr>
        <w:t xml:space="preserve">Mortgage Credit Risk Modelling</w:t>
      </w:r>
    </w:p>
    <w:p>
      <w:pPr>
        <w:pBdr>
          <w:top w:val="single" w:color="2E86C1" w:sz="12" w:space="8"/>
          <w:bottom w:val="single" w:color="2E86C1" w:sz="12" w:space="8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1D4E89"/>
          <w:sz w:val="26"/>
          <w:szCs w:val="26"/>
        </w:rPr>
        <w:t xml:space="preserve">Probability of Default and Loss Given Default on the Freddie Mac Single-Family Loan Dataset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2"/>
          <w:szCs w:val="22"/>
        </w:rPr>
        <w:t xml:space="preserve">A replication and extension of: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Sexton, S. M. (2022). Credit Risk Modelling Using Machine Learning Methods. PhD Thesis.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Dataset: Freddie Mac Single-Family Loan Performance Data (2000-2020)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Observations: ~200+ million loan-month records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Models: Logistic Regression, XGBoost, Random Forest, Spline Regression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Framework: Basel II/III PD and LGD — IFRS 9 compatible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66573"/>
          <w:sz w:val="20"/>
          <w:szCs w:val="20"/>
        </w:rPr>
        <w:t xml:space="preserve">Environment: Python 3.11 · scikit-learn · XGBoost · pandas · Kaggle GPU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1. Project Overview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This project implements a full mortgage credit risk modelling pipeline aligned with the Basel II/III Internal Ratings-Based (IRB) approach and IFRS 9 Expected Credit Loss (ECL) framework. The pipeline covers the two core credit risk parameters used in regulatory capital calculation: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Probability of Default (PD) — the likelihood that a borrower defaults within the next 12 months, conditioned on current loan and macroeconomic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Loss Given Default (LGD) — the fraction of the outstanding balance that is not recovered after a default event, net of recoveries from collateral sale, mortgage insurance, and servicer actions.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project uses publicly available data from Freddie Mac's Single-Family Loan Performance dataset, covering 50,000 randomly sampled loans per origination year from 2000–2020. This range captures the full 2004–2008 subprime crisis cycle — where default rates reached 3–15% in crisis vintages — providing a robust through-the-cycle training dataset essential for regulatory-grade model development.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1.1 Key Results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AUROC (OOS)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KS (OOS)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Gini (OOS)</w:t>
            </w:r>
          </w:p>
        </w:tc>
      </w:tr>
      <w:tr>
        <w:tc>
          <w:tcPr>
            <w:tcW w:type="dxa" w:w="3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Logistic Regression (Ch.1)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~0.87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~0.58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~0.74</w:t>
            </w:r>
          </w:p>
        </w:tc>
      </w:tr>
      <w:tr>
        <w:tc>
          <w:tcPr>
            <w:tcW w:type="dxa" w:w="3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XGBoost (Ch.2)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~0.91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~0.64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0"/>
                <w:szCs w:val="20"/>
              </w:rPr>
              <w:t xml:space="preserve">~0.82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Results evaluated on a held-out 30% out-of-sample (OOS) set and a temporal out-of-time (OOT) set spanning 2017–2024.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2. Data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2.1 Source and Structure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Freddie Mac Single-Family Loan Performance dataset is a quarterly public release. Each origination year ships as two pipe-delimited flat files: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sample_orig_YYYY.txt — 32 static loan attributes at origination (FICO, CLTV, DTI, rate, UPB, property type, channel, geography).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sample_svcg_YYYY.txt — 32 monthly servicer updates per loan (UPB, delinquency status, zero-balance code, actual loss, interest rate).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Files are encoded in Latin-1 (not UTF-8) and use pipe delimiters rather than commas; several fields contain commas in their values (seller and servicer names, MSA descriptions).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2.2 Default Definition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project follows Sexton (2022) §1.5.1 in defining default as </w:t>
      </w:r>
      <w:r>
        <w:rPr>
          <w:rFonts w:ascii="Courier New" w:cs="Courier New" w:eastAsia="Courier New" w:hAnsi="Courier New"/>
          <w:b/>
          <w:bCs/>
          <w:color w:val="2C3E50"/>
          <w:sz w:val="22"/>
          <w:szCs w:val="22"/>
        </w:rPr>
        <w:t xml:space="preserve">zero_balance_code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∈ {02, 03, 06, 09, 15, 16, 96}, corresponding to third-party sales, short sales, REO dispositions, repurchases, note sales, and non-standard dispositions. Prepayments (code 01) are explicitly excluded.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Observed default rates: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Train + OOS (2000–2017): ~1.5% cumulative, elevated by 2004–2008 crisis vintages.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OOT (2017–2024): ~0.6%, reflecting post-crisis tight underwriting standards.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2.3 Macro Features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Two macroeconomic features are merged from public sources: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Both features are optional — the pipeline runs with median imputation when macro files are absent, but these features materially improve discrimination (~2–3 AUROC points in crisis periods).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3. Data Engineering Pipeline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3.1 Memory-Efficient Processing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Loading all origination years simultaneously requires ~15 GB of RAM — exceeding the 30 GB Kaggle limit after pandas overhead. The pipeline processes one origination year at a time:</w:t>
      </w:r>
    </w:p>
    <w:p>
      <w:pPr>
        <w:spacing w:after="80"/>
      </w:pPr>
      <w:r>
        <w:t xml:space="preserve"/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Peak RAM = ~400 MB/year  vs  ~15 GB for full dataset load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Intermediate results are persisted as Parquet files (columnar, compressed with Snappy) rather than CSV, reducing I/O by ~60% and enabling efficient column-selective reads in downstream modelling scripts.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3.2 PD Target Construction (Sexton 2022, §1.5.2)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12-month forward default indicator is defined as:</w:t>
      </w:r>
    </w:p>
    <w:p>
      <w:pPr>
        <w:spacing w:after="80"/>
      </w:pPr>
      <w:r>
        <w:t xml:space="preserve"/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default_12m = 1  if  0 &lt; days_to_default ≤ 365,  else 0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Post-default rows are dropped before computing the forward window to prevent data leakage — a critical step that is often overlooked in naive implementations.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3.3 LGD Target Construction (Sexton 2022, §3.3)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One row is retained per defaulted loan (the final servicer observation at resolution):</w:t>
      </w:r>
    </w:p>
    <w:p>
      <w:pPr>
        <w:spacing w:after="80"/>
      </w:pPr>
      <w:r>
        <w:t xml:space="preserve"/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LGD = actual_loss / zero_balance_removal_upb,  clipped to [0, 1]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3.4 Train / OOS / OOT Split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split follows Sexton (2022) §1.5.1: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OOT (out-of-time): report_date ≥ June 2017 — temporal holdout, never seen during model 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OOS (out-of-sample): random 30% stratified split from the in-sample period — evaluates overfitting.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Train: remaining 70% of in-sample observations — used for fitting all models.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4. Feature Engineering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4.1 Information Value Summary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Information Value (IV) measures the predictive power of each feature using the Weight-of-Evidence transformation:</w:t>
      </w:r>
    </w:p>
    <w:p>
      <w:pPr>
        <w:spacing w:after="80"/>
      </w:pPr>
      <w:r>
        <w:t xml:space="preserve"/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WoE_j = ln(p_j / q_j)     IV = Σ_j (p_j − q_j) × WoE_j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where p_j is the fraction of performing loans in bin j and q_j is the fraction of defaulted loans.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22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IV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shd w:fill="0F2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Importance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delinquency_indicator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0.538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Very Strong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86C1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loan_age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0.374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D4E89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0.304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89"/>
                <w:sz w:val="20"/>
                <w:szCs w:val="20"/>
              </w:rPr>
              <w:t xml:space="preserve">Strong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D4E89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orig_dti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0.285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6657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orig_interest_rate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0.159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6657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orig_cltv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0.125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66573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6657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hpi_change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0.090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Weak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36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ur_3m_lag</w:t>
            </w:r>
          </w:p>
        </w:tc>
        <w:tc>
          <w:tcPr>
            <w:tcW w:type="dxa" w:w="15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0.065</w:t>
            </w:r>
          </w:p>
        </w:tc>
        <w:tc>
          <w:tcPr>
            <w:tcW w:type="dxa" w:w="226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9999"/>
                <w:sz w:val="20"/>
                <w:szCs w:val="20"/>
              </w:rPr>
              <w:t xml:space="preserve">Weak</w:t>
            </w:r>
          </w:p>
        </w:tc>
        <w:tc>
          <w:tcPr>
            <w:tcW w:type="dxa" w:w="2000"/>
            <w:tcBorders>
              <w:top w:val="single" w:color="B2C9E0" w:sz="1"/>
              <w:left w:val="single" w:color="B2C9E0" w:sz="1"/>
              <w:bottom w:val="single" w:color="B2C9E0" w:sz="1"/>
              <w:right w:val="single" w:color="B2C9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99999"/>
                <w:sz w:val="20"/>
                <w:szCs w:val="20"/>
              </w:rPr>
              <w:t xml:space="preserve">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Note: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delinquency_indicator has IV = 0.538 (Very Strong) but is not a leakage issue, as post-default rows have already been removed. The feature captures loans that are currently delinquent but have not yet completed default — a valid leading indicator.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5. Probability of Default Models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5.1 Chapter 1 — Logistic Regression Baseline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baseline PD model uses logistic regression with Weight-of-Evidence encoding as specified in Sexton (2022) Chapter 1. WoE encoding serves three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Handles non-linear feature-target relationships (credit score is non-linearly related to default risk).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Converts all features to the same scale, making coefficient magnitudes directly comparable.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Produces monotonic bins that satisfy regulatory model interpretability requirements.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Model specification:</w:t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P(default_12m = 1 | x) = 1 / (1 + exp(−(β₀ + β'w)))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where </w:t>
      </w:r>
      <w:r>
        <w:rPr>
          <w:rFonts w:ascii="Calibri" w:cs="Calibri" w:eastAsia="Calibri" w:hAnsi="Calibri"/>
          <w:i/>
          <w:iCs/>
          <w:color w:val="2C3E50"/>
          <w:sz w:val="22"/>
          <w:szCs w:val="22"/>
        </w:rPr>
        <w:t xml:space="preserve">w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is the vector of WoE-transformed features. The model uses L2 regularisation (C = 1.0) and </w:t>
      </w:r>
      <w:r>
        <w:rPr>
          <w:rFonts w:ascii="Courier New" w:cs="Courier New" w:eastAsia="Courier New" w:hAnsi="Courier New"/>
          <w:color w:val="2C3E50"/>
          <w:sz w:val="22"/>
          <w:szCs w:val="22"/>
        </w:rPr>
        <w:t xml:space="preserve">class_weight='balanced'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to upweight the minority default class by factor ~155.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Calibration is assessed using the Hosmer-Lemeshow test across 10 score deciles. A p-value &gt; 0.05 indicates acceptable calibration — that the model's predicted probabilities match observed default rates within each decile.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5.2 Chapter 2 — XGBoost Ensemble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XGBoost gradient-boosted trees extend the logistic regression baseline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Capturing non-linear interactions between features (e.g. FICO × CLTV × HPI change) that WoE binning misses.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Handling the severe class imbalance via scale_pos_weight = neg/pos ≈ 155, equivalent to oversampling in the gradient computation.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GPU acceleration (device='cuda', tree_method='hist') delivering ~15× speedup on the 56M-row training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Early stopping on OOS AUC prevents overfitting without manual n_estimators tuning.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XGBoost outperforms logistic regression primarily by capturing non-linear interactions between credit_score, orig_cltv, and hpi_change — interactions that WoE binning treats independently.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5.3 Validation Framework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Three complementary metrics follow Sexton (2022) §1.6: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6. Loss Given Default Models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6.1 Modelling Framework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Four LGD models are compared, following Sexton (2022) Chapter 3: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Fractional Response Model (FRM)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OLS regression on logit-transformed LGD. Predictions are mapped back via the inverse-logit (sigmoid) function, guaranteeing LGD_hat ∈ (0, 1):</w:t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LGD_hat = σ(x'β) = 1 / (1 + exp(−x'β))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This is the regulatory-preferred approach because predictions are always economically meaningful (bounded) and the model is fully interpretable through its coefficients.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Natural Spline Regression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Cubic splines (SplineTransformer, 5 knots, degree 3) followed by OLS, capturing non-linear LGD-covariate relationships without the overfitting risk of high-degree polynomials.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Random Forest and XGBoost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Tree-based ensemble methods that capture complex interactions between features. Useful as benchmarks but less interpretable; require post-hoc explanation tools (SHAP) in a regulatory context.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6.2 LGD Metrics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Models are evaluated on RMSE, MAE, R², and mean bias across Train, OOS, and OOT splits. Bias is particularly important in a regulatory context: a model that systematically under-estimates LGD will produce under-provisioned capital reserves.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Important caveat:</w:t>
      </w:r>
      <w:r>
        <w:rPr>
          <w:rFonts w:ascii="Calibri" w:cs="Calibri" w:eastAsia="Calibri" w:hAnsi="Calibri"/>
          <w:color w:val="2C3E50"/>
          <w:sz w:val="22"/>
          <w:szCs w:val="22"/>
        </w:rPr>
        <w:t xml:space="preserve"> The Freddie Mac sample dataset yields only ~150 defaulted loans from post-2010 vintages. Metric variance is therefore high. The original thesis uses the full (non-sample) Freddie Mac dataset with much larger LGD samples. Pre-2010 crisis vintages (2004–2009) are strongly recommended for publication-quality LGD results.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7. Engineering Highlights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7.1 Leakage Prevention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Data leakage is the most common failure mode in credit risk model development. This pipeline implements four critical controls: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WoE maps are fitted on training data only and applied (not refitted) to OOS/OOT.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Imputer and scaler statistics are fitted on training data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Post-default rows are dropped before computing the 12-month forward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OOT split is strictly temporal — no random mixing of OOT observations into the training set.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7.2 Class Imbalance Treatment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With a 0.64% default rate, a naive classifier predicts 'no default' for every observation and achieves 99.36% accuracy — but zero utility. Two complementary strategies address this: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default"/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7.3 PSI — Model Stability Monitoring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Population Stability Index (PSI) is computed for all features between Train and OOT populations:</w:t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PSI = Σ_i (p̂_i − q̂_i) × ln(p̂_i / q̂_i)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OOT PSI &gt; 0.25 for loan_age and orig_interest_rate reflects the structural difference between the 2000–2017 and 2018–2024 rate environments — an expected consequence of post-COVID monetary tightening, not model deterioration.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8. Regulatory Context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8.1 Basel II/III IRB Approach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Under the Basel II/III Internal Ratings-Based (IRB) approach, banks must estimate PD and LGD for each loan to compute Risk-Weighted Assets (RWA) and minimum capital requirements:</w:t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RWA = f(PD, LGD, EAD, M, correlation)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Freddie Mac dataset is an ideal training ground for IRB model development because it spans a full economic cycle including a severe stress period (2008 crisis), as required by the EBA Guidelines on PD estimation.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8.2 IFRS 9 / CECL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IFRS 9 (and its US equivalent, CECL) requires forward-looking Expected Credit Loss (ECL) provisioning:</w:t>
      </w:r>
    </w:p>
    <w:p>
      <w:pPr>
        <w:pBdr>
          <w:left w:val="single" w:color="2E86C1" w:sz="12" w:space="8"/>
        </w:pBdr>
        <w:shd w:fill="F8FAFC" w:val="clear"/>
        <w:spacing w:after="120" w:before="12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0F2040"/>
          <w:sz w:val="22"/>
          <w:szCs w:val="22"/>
        </w:rPr>
        <w:t xml:space="preserve">ECL = PD × LGD × EAD   (12-month ECL, Stage 1)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PD and LGD models in this project are directly applicable to ECL calculation. The 12-month forward window for PD aligns with Stage 1 provisioning under IFRS 9.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D4E89"/>
          <w:sz w:val="28"/>
          <w:szCs w:val="28"/>
        </w:rPr>
        <w:t xml:space="preserve">8.3 Potential Extensions for Production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SHAP explanations for individual loan attribution (BCBS 239 compliance).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Survival analysis (Cox proportional hazards) for time-to-default — handles right-censoring more rigorously.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Macro scenario analysis for IFRS 9 forward-looking multiple economic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Calibration (Platt scaling or isotonic regression) to align predicted PDs with observed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Full dataset expansion under Freddie Mac research agreement — pipeline is scale-ready.</w:t>
      </w:r>
    </w:p>
    <w:p>
      <w:r>
        <w:br w:type="page"/>
      </w:r>
    </w:p>
    <w:p>
      <w:pPr>
        <w:pStyle w:val="Heading1"/>
        <w:pBdr>
          <w:bottom w:val="single" w:color="1D4E89" w:sz="6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0F2040"/>
          <w:sz w:val="36"/>
          <w:szCs w:val="36"/>
        </w:rPr>
        <w:t xml:space="preserve">9. References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1. Sexton, S. M. (2022). Credit Risk Modelling Using Machine Learning Methods. PhD Thesis, Department of Economics.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2. Freddie Mac (2024). Single-Family Loan-Level Dataset. https://www.freddiemac.com/research/datasets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3. Federal Housing Finance Agency (2024). House Price Index Datasets. https://www.fhfa.gov/data/hpi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4. Bureau of Labor Statistics (2024). Current Population Survey — Series LNS14000000. https://data.bls.gov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5. Chen, T. and Guestrin, C. (2016). XGBoost: A Scalable Tree Boosting System. KDD '16. https://arxiv.org/abs/1603.02754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6. Basel Committee on Banking Supervision (2006). International Convergence of Capital Measurement and Capital Standards (Basel II). Bank for International Settlements.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7. European Banking Authority (2017). Guidelines on PD estimation, LGD estimation and the treatment of defaulted exposures. EBA/GL/2017/16.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8. Hosmer, D. and Lemeshow, S. (2000). Applied Logistic Regression, 2nd edition. Wiley.</w:t>
      </w:r>
    </w:p>
    <w:p>
      <w:pPr>
        <w:spacing w:after="16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9. IASB (2014). IFRS 9 Financial Instruments. International Accounting Standards Board.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spacing w:before="0"/>
      <w:jc w:val="right"/>
    </w:pPr>
    <w:r>
      <w:rPr>
        <w:rFonts w:ascii="Calibri" w:cs="Calibri" w:eastAsia="Calibri" w:hAnsi="Calibri"/>
        <w:color w:val="566573"/>
        <w:sz w:val="18"/>
        <w:szCs w:val="18"/>
      </w:rPr>
      <w:t xml:space="preserve">Page </w:t>
    </w:r>
    <w:r>
      <w:rPr>
        <w:rFonts w:ascii="Calibri" w:cs="Calibri" w:eastAsia="Calibri" w:hAnsi="Calibri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66573"/>
        <w:sz w:val="18"/>
        <w:szCs w:val="18"/>
      </w:rPr>
      <w:t xml:space="preserve"> of </w:t>
    </w:r>
    <w:r>
      <w:rPr>
        <w:rFonts w:ascii="Calibri" w:cs="Calibri" w:eastAsia="Calibri" w:hAnsi="Calibri"/>
        <w:color w:val="566573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spacing w:after="0"/>
    </w:pPr>
    <w:r>
      <w:rPr>
        <w:rFonts w:ascii="Calibri" w:cs="Calibri" w:eastAsia="Calibri" w:hAnsi="Calibri"/>
        <w:b/>
        <w:bCs/>
        <w:color w:val="1D4E89"/>
        <w:sz w:val="18"/>
        <w:szCs w:val="18"/>
      </w:rPr>
      <w:t xml:space="preserve">MORTGAGE CREDIT RISK MODELLING</w:t>
    </w:r>
    <w:r>
      <w:rPr>
        <w:rFonts w:ascii="Calibri" w:cs="Calibri" w:eastAsia="Calibri" w:hAnsi="Calibri"/>
        <w:color w:val="566573"/>
        <w:sz w:val="18"/>
        <w:szCs w:val="18"/>
      </w:rPr>
      <w:t xml:space="preserve">  ·  Methodology &amp; Results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0F20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D4E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2026-04-06T23:30:41.586Z</dcterms:created>
  <dcterms:modified xsi:type="dcterms:W3CDTF">2026-04-06T23:30:41.588Z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