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A30C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一、实验目的</w:t>
      </w:r>
    </w:p>
    <w:p w14:paraId="4125ED15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、理解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色彩空间及其原理</w:t>
      </w:r>
    </w:p>
    <w:p w14:paraId="670523C8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、利用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数据，初步构建反映玉米籽粒颜色表型的指数</w:t>
      </w:r>
    </w:p>
    <w:p w14:paraId="4B3A91BD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二、实验材料</w:t>
      </w:r>
    </w:p>
    <w:p w14:paraId="20F5D096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数据来源：提取采集的籽粒颜色数据</w:t>
      </w:r>
      <w:r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/>
          <w:sz w:val="24"/>
        </w:rPr>
        <w:t>高氮组</w:t>
      </w:r>
      <w:r>
        <w:rPr>
          <w:rFonts w:ascii="Times New Roman" w:eastAsia="宋体" w:hAnsi="Times New Roman" w:cs="Times New Roman"/>
          <w:sz w:val="24"/>
        </w:rPr>
        <w:t>)</w:t>
      </w:r>
    </w:p>
    <w:p w14:paraId="114FC491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软件：</w:t>
      </w:r>
      <w:r>
        <w:rPr>
          <w:rFonts w:ascii="Times New Roman" w:eastAsia="宋体" w:hAnsi="Times New Roman" w:cs="Times New Roman"/>
          <w:sz w:val="24"/>
        </w:rPr>
        <w:t>Excel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Python</w:t>
      </w:r>
    </w:p>
    <w:p w14:paraId="3C349963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三、实验步骤</w:t>
      </w:r>
    </w:p>
    <w:p w14:paraId="48ED32F9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、理解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色彩空间</w:t>
      </w:r>
    </w:p>
    <w:p w14:paraId="4EC94349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本实验所使用的籽粒颜色数据来源于前期图像采集工作。通过相机对玉米籽粒进行标准化拍摄，并利用图像处理方法提取每个样本的颜色信息，最终将颜色数据统一表示为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Hue, Saturation, Value</w:t>
      </w:r>
      <w:r>
        <w:rPr>
          <w:rFonts w:ascii="Times New Roman" w:eastAsia="宋体" w:hAnsi="Times New Roman" w:cs="Times New Roman"/>
          <w:sz w:val="24"/>
        </w:rPr>
        <w:t>）色彩空间参数。</w:t>
      </w:r>
    </w:p>
    <w:p w14:paraId="1A2736A4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色彩空间相比传统</w:t>
      </w:r>
      <w:r>
        <w:rPr>
          <w:rFonts w:ascii="Times New Roman" w:eastAsia="宋体" w:hAnsi="Times New Roman" w:cs="Times New Roman"/>
          <w:sz w:val="24"/>
        </w:rPr>
        <w:t>RGB</w:t>
      </w:r>
      <w:r>
        <w:rPr>
          <w:rFonts w:ascii="Times New Roman" w:eastAsia="宋体" w:hAnsi="Times New Roman" w:cs="Times New Roman"/>
          <w:sz w:val="24"/>
        </w:rPr>
        <w:t>空间具有更强的直观性，其中：</w:t>
      </w:r>
    </w:p>
    <w:p w14:paraId="6D67F35D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H</w:t>
      </w:r>
      <w:r>
        <w:rPr>
          <w:rFonts w:ascii="Times New Roman" w:eastAsia="宋体" w:hAnsi="Times New Roman" w:cs="Times New Roman"/>
          <w:sz w:val="24"/>
        </w:rPr>
        <w:t>（色调）反映颜色类型（如红、黄、橙等）</w:t>
      </w:r>
    </w:p>
    <w:p w14:paraId="47F0230E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S</w:t>
      </w:r>
      <w:r>
        <w:rPr>
          <w:rFonts w:ascii="Times New Roman" w:eastAsia="宋体" w:hAnsi="Times New Roman" w:cs="Times New Roman"/>
          <w:sz w:val="24"/>
        </w:rPr>
        <w:t>（饱和度）反映颜色的纯度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627DBC0E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V</w:t>
      </w:r>
      <w:r>
        <w:rPr>
          <w:rFonts w:ascii="Times New Roman" w:eastAsia="宋体" w:hAnsi="Times New Roman" w:cs="Times New Roman"/>
          <w:sz w:val="24"/>
        </w:rPr>
        <w:t>（明度）反映颜色的亮暗程度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0CA45B7A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在数据处理前，对原始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数据进行完整性检查，包括缺失值处理、异常值剔除，并保证所有变量均处于标准范围（</w:t>
      </w:r>
      <w:r>
        <w:rPr>
          <w:rFonts w:ascii="Times New Roman" w:eastAsia="宋体" w:hAnsi="Times New Roman" w:cs="Times New Roman"/>
          <w:sz w:val="24"/>
        </w:rPr>
        <w:t>H∈[0,360]</w:t>
      </w:r>
      <w:r>
        <w:rPr>
          <w:rFonts w:ascii="Times New Roman" w:eastAsia="宋体" w:hAnsi="Times New Roman" w:cs="Times New Roman"/>
          <w:sz w:val="24"/>
        </w:rPr>
        <w:t>，</w:t>
      </w:r>
      <w:r>
        <w:rPr>
          <w:rFonts w:ascii="Times New Roman" w:eastAsia="宋体" w:hAnsi="Times New Roman" w:cs="Times New Roman"/>
          <w:sz w:val="24"/>
        </w:rPr>
        <w:t>S∈[0,1]</w:t>
      </w:r>
      <w:r>
        <w:rPr>
          <w:rFonts w:ascii="Times New Roman" w:eastAsia="宋体" w:hAnsi="Times New Roman" w:cs="Times New Roman"/>
          <w:sz w:val="24"/>
        </w:rPr>
        <w:t>，</w:t>
      </w:r>
      <w:r>
        <w:rPr>
          <w:rFonts w:ascii="Times New Roman" w:eastAsia="宋体" w:hAnsi="Times New Roman" w:cs="Times New Roman"/>
          <w:sz w:val="24"/>
        </w:rPr>
        <w:t>V∈[0,1]</w:t>
      </w:r>
      <w:r>
        <w:rPr>
          <w:rFonts w:ascii="Times New Roman" w:eastAsia="宋体" w:hAnsi="Times New Roman" w:cs="Times New Roman"/>
          <w:sz w:val="24"/>
        </w:rPr>
        <w:t>）。</w:t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2501F8E4" wp14:editId="57B603A4">
            <wp:extent cx="3035935" cy="2280285"/>
            <wp:effectExtent l="0" t="0" r="0" b="5715"/>
            <wp:docPr id="1342442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2557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228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560A80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图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色彩空间</w:t>
      </w:r>
    </w:p>
    <w:p w14:paraId="37DD864D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、颜色随氮浓度变化的视觉验证</w:t>
      </w:r>
    </w:p>
    <w:p w14:paraId="4875FB7C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>为验证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氮浓度越高，籽粒颜色越深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的经验规律，首先将</w:t>
      </w:r>
      <w:r>
        <w:rPr>
          <w:rFonts w:ascii="Times New Roman" w:eastAsia="宋体" w:hAnsi="Times New Roman" w:cs="Times New Roman"/>
          <w:sz w:val="24"/>
        </w:rPr>
        <w:t>Excel</w:t>
      </w:r>
      <w:r>
        <w:rPr>
          <w:rFonts w:ascii="Times New Roman" w:eastAsia="宋体" w:hAnsi="Times New Roman" w:cs="Times New Roman"/>
          <w:sz w:val="24"/>
        </w:rPr>
        <w:t>中的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数据导入</w:t>
      </w:r>
      <w:r>
        <w:rPr>
          <w:rFonts w:ascii="Times New Roman" w:eastAsia="宋体" w:hAnsi="Times New Roman" w:cs="Times New Roman"/>
          <w:sz w:val="24"/>
        </w:rPr>
        <w:t>Python</w:t>
      </w:r>
      <w:r>
        <w:rPr>
          <w:rFonts w:ascii="Times New Roman" w:eastAsia="宋体" w:hAnsi="Times New Roman" w:cs="Times New Roman"/>
          <w:sz w:val="24"/>
        </w:rPr>
        <w:t>环境。利用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到</w:t>
      </w:r>
      <w:r>
        <w:rPr>
          <w:rFonts w:ascii="Times New Roman" w:eastAsia="宋体" w:hAnsi="Times New Roman" w:cs="Times New Roman"/>
          <w:sz w:val="24"/>
        </w:rPr>
        <w:t>RGB</w:t>
      </w:r>
      <w:r>
        <w:rPr>
          <w:rFonts w:ascii="Times New Roman" w:eastAsia="宋体" w:hAnsi="Times New Roman" w:cs="Times New Roman"/>
          <w:sz w:val="24"/>
        </w:rPr>
        <w:t>的转换公式，将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数据逐一转换为</w:t>
      </w:r>
      <w:r>
        <w:rPr>
          <w:rFonts w:ascii="Times New Roman" w:eastAsia="宋体" w:hAnsi="Times New Roman" w:cs="Times New Roman"/>
          <w:sz w:val="24"/>
        </w:rPr>
        <w:t>RGB</w:t>
      </w:r>
      <w:r>
        <w:rPr>
          <w:rFonts w:ascii="Times New Roman" w:eastAsia="宋体" w:hAnsi="Times New Roman" w:cs="Times New Roman"/>
          <w:sz w:val="24"/>
        </w:rPr>
        <w:t>三通道数值，并进一步映射为可视化颜色块。</w:t>
      </w:r>
    </w:p>
    <w:p w14:paraId="713D90C5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具体步骤包括：</w:t>
      </w:r>
    </w:p>
    <w:p w14:paraId="61E7D5C4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按籽粒氮浓度由低到高对样本排序</w:t>
      </w:r>
    </w:p>
    <w:p w14:paraId="1600B851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使用</w:t>
      </w:r>
      <w:r>
        <w:rPr>
          <w:rFonts w:ascii="Times New Roman" w:eastAsia="宋体" w:hAnsi="Times New Roman" w:cs="Times New Roman"/>
          <w:sz w:val="24"/>
        </w:rPr>
        <w:t>Python</w:t>
      </w:r>
      <w:r>
        <w:rPr>
          <w:rFonts w:ascii="Times New Roman" w:eastAsia="宋体" w:hAnsi="Times New Roman" w:cs="Times New Roman"/>
          <w:sz w:val="24"/>
        </w:rPr>
        <w:t>将</w:t>
      </w:r>
      <w:r>
        <w:rPr>
          <w:rFonts w:ascii="Times New Roman" w:eastAsia="宋体" w:hAnsi="Times New Roman" w:cs="Times New Roman"/>
          <w:sz w:val="24"/>
        </w:rPr>
        <w:t>RGB</w:t>
      </w:r>
      <w:r>
        <w:rPr>
          <w:rFonts w:ascii="Times New Roman" w:eastAsia="宋体" w:hAnsi="Times New Roman" w:cs="Times New Roman"/>
          <w:sz w:val="24"/>
        </w:rPr>
        <w:t>值渲染为颜色条</w:t>
      </w:r>
    </w:p>
    <w:p w14:paraId="34ABB56C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生成连续颜色变化图像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3A5BBA57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通过该方法，将抽象数值转化为直观视觉结果，为后续分析提供感性依据。</w:t>
      </w:r>
    </w:p>
    <w:p w14:paraId="6C0867BB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单因子与氮浓度相关性分析</w:t>
      </w:r>
    </w:p>
    <w:p w14:paraId="19805FC1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为定量评估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各分量对氮浓度的表征能力，分别进行如下分析：</w:t>
      </w:r>
    </w:p>
    <w:p w14:paraId="6CE63B76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以</w:t>
      </w:r>
      <w:r>
        <w:rPr>
          <w:rFonts w:ascii="Times New Roman" w:eastAsia="宋体" w:hAnsi="Times New Roman" w:cs="Times New Roman"/>
          <w:sz w:val="24"/>
        </w:rPr>
        <w:t>H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S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V</w:t>
      </w:r>
      <w:r>
        <w:rPr>
          <w:rFonts w:ascii="Times New Roman" w:eastAsia="宋体" w:hAnsi="Times New Roman" w:cs="Times New Roman"/>
          <w:sz w:val="24"/>
        </w:rPr>
        <w:t>为自变量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57842197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以籽粒氮浓度为因变量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03098449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具体操作：</w:t>
      </w:r>
    </w:p>
    <w:p w14:paraId="1F24A39D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绘制散点图（</w:t>
      </w:r>
      <w:r>
        <w:rPr>
          <w:rFonts w:ascii="Times New Roman" w:eastAsia="宋体" w:hAnsi="Times New Roman" w:cs="Times New Roman"/>
          <w:sz w:val="24"/>
        </w:rPr>
        <w:t>Scatter Plot</w:t>
      </w:r>
      <w:r>
        <w:rPr>
          <w:rFonts w:ascii="Times New Roman" w:eastAsia="宋体" w:hAnsi="Times New Roman" w:cs="Times New Roman"/>
          <w:sz w:val="24"/>
        </w:rPr>
        <w:t>）观察分布趋势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5BA56F44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进行线性回归拟合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74AA5B24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计算</w:t>
      </w:r>
      <w:r>
        <w:rPr>
          <w:rFonts w:ascii="Times New Roman" w:eastAsia="宋体" w:hAnsi="Times New Roman" w:cs="Times New Roman"/>
          <w:sz w:val="24"/>
        </w:rPr>
        <w:t>Pearson</w:t>
      </w:r>
      <w:r>
        <w:rPr>
          <w:rFonts w:ascii="Times New Roman" w:eastAsia="宋体" w:hAnsi="Times New Roman" w:cs="Times New Roman"/>
          <w:sz w:val="24"/>
        </w:rPr>
        <w:t>相关系数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4677734E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同时对拟合结果进行显著性初步判断，以评估单一变量的解释能力。</w:t>
      </w:r>
    </w:p>
    <w:p w14:paraId="6F8F61A8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、深橙色指数指数构建</w:t>
      </w:r>
    </w:p>
    <w:p w14:paraId="6AA26091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基于上述分析结果，考虑到单一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变量相关性较弱，决定构建综合色彩指标。构建逻辑如下：</w:t>
      </w:r>
    </w:p>
    <w:p w14:paraId="725F824D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色调偏移刻画：以黄色中心（约</w:t>
      </w:r>
      <w:r>
        <w:rPr>
          <w:rFonts w:ascii="Times New Roman" w:eastAsia="宋体" w:hAnsi="Times New Roman" w:cs="Times New Roman"/>
          <w:sz w:val="24"/>
        </w:rPr>
        <w:t>45°</w:t>
      </w:r>
      <w:r>
        <w:rPr>
          <w:rFonts w:ascii="Times New Roman" w:eastAsia="宋体" w:hAnsi="Times New Roman" w:cs="Times New Roman"/>
          <w:sz w:val="24"/>
        </w:rPr>
        <w:t>）为参考，计算色调偏移程度，用于反映颜色向橙色方向变化趋势。</w:t>
      </w:r>
    </w:p>
    <w:p w14:paraId="5516A5D4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标准化处理：为消除量纲影响，将色调偏移进行归一化，使其取值范围统一。</w:t>
      </w:r>
    </w:p>
    <w:p w14:paraId="60E4988B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纯度偏离刻画：饱和度偏离：描述颜色向灰度偏移；明度偏离：描述颜色向暗色偏移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3CBD073B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综合色彩指数构建：将上述三个无量纲指标取算术平均，得到最终的深橙色指数（</w:t>
      </w:r>
      <w:r>
        <w:rPr>
          <w:rFonts w:ascii="Times New Roman" w:eastAsia="宋体" w:hAnsi="Times New Roman" w:cs="Times New Roman"/>
          <w:sz w:val="24"/>
        </w:rPr>
        <w:t>DOCI</w:t>
      </w:r>
      <w:r>
        <w:rPr>
          <w:rFonts w:ascii="Times New Roman" w:eastAsia="宋体" w:hAnsi="Times New Roman" w:cs="Times New Roman"/>
          <w:sz w:val="24"/>
        </w:rPr>
        <w:t>），用于综合反映颜色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深橙程度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。</w:t>
      </w:r>
    </w:p>
    <w:p w14:paraId="3ACB2A24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>5</w:t>
      </w:r>
      <w:r>
        <w:rPr>
          <w:rFonts w:ascii="Times New Roman" w:eastAsia="宋体" w:hAnsi="Times New Roman" w:cs="Times New Roman"/>
          <w:sz w:val="24"/>
        </w:rPr>
        <w:t>、深橙色指数指数验证</w:t>
      </w:r>
    </w:p>
    <w:p w14:paraId="1F1C7A67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为验证</w:t>
      </w:r>
      <w:r>
        <w:rPr>
          <w:rFonts w:ascii="Times New Roman" w:eastAsia="宋体" w:hAnsi="Times New Roman" w:cs="Times New Roman"/>
          <w:sz w:val="24"/>
        </w:rPr>
        <w:t>DOCI</w:t>
      </w:r>
      <w:r>
        <w:rPr>
          <w:rFonts w:ascii="Times New Roman" w:eastAsia="宋体" w:hAnsi="Times New Roman" w:cs="Times New Roman"/>
          <w:sz w:val="24"/>
        </w:rPr>
        <w:t>的有效性，进行如下分析：</w:t>
      </w:r>
    </w:p>
    <w:p w14:paraId="2290744C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绘制</w:t>
      </w:r>
      <w:r>
        <w:rPr>
          <w:rFonts w:ascii="Times New Roman" w:eastAsia="宋体" w:hAnsi="Times New Roman" w:cs="Times New Roman"/>
          <w:sz w:val="24"/>
        </w:rPr>
        <w:t>DOCI</w:t>
      </w:r>
      <w:r>
        <w:rPr>
          <w:rFonts w:ascii="Times New Roman" w:eastAsia="宋体" w:hAnsi="Times New Roman" w:cs="Times New Roman"/>
          <w:sz w:val="24"/>
        </w:rPr>
        <w:t>与氮浓度散点图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1ACA47E7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进行线性回归分析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5D35168C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计算</w:t>
      </w:r>
      <w:r>
        <w:rPr>
          <w:rFonts w:ascii="Times New Roman" w:eastAsia="宋体" w:hAnsi="Times New Roman" w:cs="Times New Roman"/>
          <w:sz w:val="24"/>
        </w:rPr>
        <w:t>Pearson</w:t>
      </w:r>
      <w:r>
        <w:rPr>
          <w:rFonts w:ascii="Times New Roman" w:eastAsia="宋体" w:hAnsi="Times New Roman" w:cs="Times New Roman"/>
          <w:sz w:val="24"/>
        </w:rPr>
        <w:t>相关系数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58AEEA73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对比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单因子结果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496525B4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此外，通过颜色重建方法，将</w:t>
      </w:r>
      <w:r>
        <w:rPr>
          <w:rFonts w:ascii="Times New Roman" w:eastAsia="宋体" w:hAnsi="Times New Roman" w:cs="Times New Roman"/>
          <w:sz w:val="24"/>
        </w:rPr>
        <w:t>DOCI</w:t>
      </w:r>
      <w:r>
        <w:rPr>
          <w:rFonts w:ascii="Times New Roman" w:eastAsia="宋体" w:hAnsi="Times New Roman" w:cs="Times New Roman"/>
          <w:sz w:val="24"/>
        </w:rPr>
        <w:t>排序后的样本重新可视化，以验证其是否符合实际颜色变化趋势。</w:t>
      </w:r>
    </w:p>
    <w:p w14:paraId="486441C2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四、实验结果</w:t>
      </w:r>
    </w:p>
    <w:p w14:paraId="493B815F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、颜色变化规律验证</w:t>
      </w:r>
    </w:p>
    <w:p w14:paraId="0ADF07CF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表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：玉米籽粒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采集数据（节选）</w:t>
      </w:r>
    </w:p>
    <w:p w14:paraId="293B5210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7CB688FC" wp14:editId="01B226A8">
            <wp:extent cx="5270500" cy="2922905"/>
            <wp:effectExtent l="0" t="0" r="6350" b="0"/>
            <wp:docPr id="18903993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99339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659" cy="294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7FCB0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2A81BF4B" wp14:editId="4E9465EE">
            <wp:extent cx="4767580" cy="1962150"/>
            <wp:effectExtent l="0" t="0" r="0" b="0"/>
            <wp:docPr id="1503327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27810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91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36" cy="19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D3B7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图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：氮浓度由低至高颜色变化图</w:t>
      </w:r>
    </w:p>
    <w:p w14:paraId="4E07DCE9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>通过</w:t>
      </w:r>
      <w:r>
        <w:rPr>
          <w:rFonts w:ascii="Times New Roman" w:eastAsia="宋体" w:hAnsi="Times New Roman" w:cs="Times New Roman"/>
          <w:sz w:val="24"/>
        </w:rPr>
        <w:t>HSV→RGB</w:t>
      </w:r>
      <w:r>
        <w:rPr>
          <w:rFonts w:ascii="Times New Roman" w:eastAsia="宋体" w:hAnsi="Times New Roman" w:cs="Times New Roman"/>
          <w:sz w:val="24"/>
        </w:rPr>
        <w:t>转换生成的颜色序列显示，随着氮浓度逐渐增加，籽粒颜色由浅黄色逐步过渡至深橙色甚至偏暗色调。这一变化趋势在视觉上具有良好一致性，验证了氮浓度与颜色深浅之间的正相关关系。</w:t>
      </w:r>
    </w:p>
    <w:p w14:paraId="1EB2B0C9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单因子与氮浓度相关性分析</w:t>
      </w: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2E174975" wp14:editId="4E69D9DB">
            <wp:extent cx="5274310" cy="1734820"/>
            <wp:effectExtent l="0" t="0" r="2540" b="0"/>
            <wp:docPr id="1331511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1149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D634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图</w:t>
      </w:r>
      <w:r>
        <w:rPr>
          <w:rFonts w:ascii="Times New Roman" w:eastAsia="宋体" w:hAnsi="Times New Roman" w:cs="Times New Roman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与氮含量分布散点图</w:t>
      </w:r>
    </w:p>
    <w:p w14:paraId="2E0A51CC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相关分析结果表明：</w:t>
      </w:r>
      <w:r>
        <w:rPr>
          <w:rFonts w:ascii="Times New Roman" w:eastAsia="宋体" w:hAnsi="Times New Roman" w:cs="Times New Roman"/>
          <w:sz w:val="24"/>
        </w:rPr>
        <w:t>H</w:t>
      </w:r>
      <w:r>
        <w:rPr>
          <w:rFonts w:ascii="Times New Roman" w:eastAsia="宋体" w:hAnsi="Times New Roman" w:cs="Times New Roman"/>
          <w:sz w:val="24"/>
        </w:rPr>
        <w:t>与氮浓度相关系数约为（</w:t>
      </w:r>
      <w:r>
        <w:rPr>
          <w:rFonts w:ascii="Times New Roman" w:eastAsia="宋体" w:hAnsi="Times New Roman" w:cs="Times New Roman"/>
          <w:sz w:val="24"/>
        </w:rPr>
        <w:t xml:space="preserve">-0.262 </w:t>
      </w:r>
      <w:r>
        <w:rPr>
          <w:rFonts w:ascii="Times New Roman" w:eastAsia="宋体" w:hAnsi="Times New Roman" w:cs="Times New Roman"/>
          <w:sz w:val="24"/>
        </w:rPr>
        <w:t>）；</w:t>
      </w:r>
      <w:r>
        <w:rPr>
          <w:rFonts w:ascii="Times New Roman" w:eastAsia="宋体" w:hAnsi="Times New Roman" w:cs="Times New Roman"/>
          <w:sz w:val="24"/>
        </w:rPr>
        <w:t>S</w:t>
      </w:r>
      <w:r>
        <w:rPr>
          <w:rFonts w:ascii="Times New Roman" w:eastAsia="宋体" w:hAnsi="Times New Roman" w:cs="Times New Roman"/>
          <w:sz w:val="24"/>
        </w:rPr>
        <w:t>与氮浓度相关系数约为（</w:t>
      </w:r>
      <w:r>
        <w:rPr>
          <w:rFonts w:ascii="Times New Roman" w:eastAsia="宋体" w:hAnsi="Times New Roman" w:cs="Times New Roman"/>
          <w:sz w:val="24"/>
        </w:rPr>
        <w:t xml:space="preserve">-0.194 </w:t>
      </w:r>
      <w:r>
        <w:rPr>
          <w:rFonts w:ascii="Times New Roman" w:eastAsia="宋体" w:hAnsi="Times New Roman" w:cs="Times New Roman"/>
          <w:sz w:val="24"/>
        </w:rPr>
        <w:t>）；</w:t>
      </w:r>
      <w:r>
        <w:rPr>
          <w:rFonts w:ascii="Times New Roman" w:eastAsia="宋体" w:hAnsi="Times New Roman" w:cs="Times New Roman"/>
          <w:sz w:val="24"/>
        </w:rPr>
        <w:t>V</w:t>
      </w:r>
      <w:r>
        <w:rPr>
          <w:rFonts w:ascii="Times New Roman" w:eastAsia="宋体" w:hAnsi="Times New Roman" w:cs="Times New Roman"/>
          <w:sz w:val="24"/>
        </w:rPr>
        <w:t>与氮浓度相关系数约为（</w:t>
      </w:r>
      <w:r>
        <w:rPr>
          <w:rFonts w:ascii="Times New Roman" w:eastAsia="宋体" w:hAnsi="Times New Roman" w:cs="Times New Roman"/>
          <w:sz w:val="24"/>
        </w:rPr>
        <w:t xml:space="preserve">-0.395 </w:t>
      </w:r>
      <w:r>
        <w:rPr>
          <w:rFonts w:ascii="Times New Roman" w:eastAsia="宋体" w:hAnsi="Times New Roman" w:cs="Times New Roman"/>
          <w:sz w:val="24"/>
        </w:rPr>
        <w:t>）</w:t>
      </w:r>
    </w:p>
    <w:p w14:paraId="5CF0CED5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整体来看，三者均呈负相关趋势，但相关程度较低，说明单一颜色维度无法稳定表征氮浓度变化。其中</w:t>
      </w:r>
      <w:r>
        <w:rPr>
          <w:rFonts w:ascii="Times New Roman" w:eastAsia="宋体" w:hAnsi="Times New Roman" w:cs="Times New Roman"/>
          <w:sz w:val="24"/>
        </w:rPr>
        <w:t>V</w:t>
      </w:r>
      <w:r>
        <w:rPr>
          <w:rFonts w:ascii="Times New Roman" w:eastAsia="宋体" w:hAnsi="Times New Roman" w:cs="Times New Roman"/>
          <w:sz w:val="24"/>
        </w:rPr>
        <w:t>的相关性略高，说明亮度变化在一定程度上反映了颜色加深过程。</w:t>
      </w:r>
    </w:p>
    <w:p w14:paraId="1D3BA569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>、深橙色指数</w:t>
      </w:r>
      <w:r>
        <w:rPr>
          <w:rFonts w:ascii="Times New Roman" w:eastAsia="宋体" w:hAnsi="Times New Roman" w:cs="Times New Roman"/>
          <w:sz w:val="24"/>
        </w:rPr>
        <w:t>(Deep Orange Color Index,DOCI)</w:t>
      </w:r>
      <w:r>
        <w:rPr>
          <w:rFonts w:ascii="Times New Roman" w:eastAsia="宋体" w:hAnsi="Times New Roman" w:cs="Times New Roman"/>
          <w:sz w:val="24"/>
        </w:rPr>
        <w:t>的构建</w:t>
      </w:r>
    </w:p>
    <w:p w14:paraId="1445736E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ab/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4DD783EB" wp14:editId="5FECB4A6">
            <wp:extent cx="2459990" cy="2463800"/>
            <wp:effectExtent l="0" t="0" r="0" b="0"/>
            <wp:docPr id="410040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4097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6365" cy="246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16DB1BD3" wp14:editId="6EC7271F">
            <wp:extent cx="2345690" cy="2408555"/>
            <wp:effectExtent l="0" t="0" r="0" b="0"/>
            <wp:docPr id="492079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79045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5369" cy="241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A04F9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图</w:t>
      </w: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色调盘</w:t>
      </w:r>
    </w:p>
    <w:p w14:paraId="494D9F45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因此，可将籽粒颜色相对于正黄色的偏移程度表示为：</w:t>
      </w:r>
    </w:p>
    <w:p w14:paraId="41E3F99A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D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H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d>
          <m:dPr>
            <m:ctrlPr>
              <w:rPr>
                <w:rFonts w:ascii="Cambria Math" w:eastAsia="宋体" w:hAnsi="Cambria Math" w:cs="Times New Roman"/>
                <w:sz w:val="24"/>
              </w:rPr>
            </m:ctrlPr>
          </m:dPr>
          <m:e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60-H</m:t>
            </m:r>
          </m:e>
        </m:d>
      </m:oMath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1-1</w:t>
      </w:r>
      <w:r>
        <w:rPr>
          <w:rFonts w:ascii="Times New Roman" w:eastAsia="宋体" w:hAnsi="Times New Roman" w:cs="Times New Roman"/>
          <w:sz w:val="24"/>
        </w:rPr>
        <w:t>）</w:t>
      </w:r>
    </w:p>
    <w:p w14:paraId="61EB531F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为消除量纲影响并限制指标取值范围，对式（</w:t>
      </w:r>
      <w:r>
        <w:rPr>
          <w:rFonts w:ascii="Times New Roman" w:eastAsia="宋体" w:hAnsi="Times New Roman" w:cs="Times New Roman"/>
          <w:sz w:val="24"/>
        </w:rPr>
        <w:t>1-1</w:t>
      </w:r>
      <w:r>
        <w:rPr>
          <w:rFonts w:ascii="Times New Roman" w:eastAsia="宋体" w:hAnsi="Times New Roman" w:cs="Times New Roman"/>
          <w:sz w:val="24"/>
        </w:rPr>
        <w:t>）进行标准化处理，得到色调偏移指数：</w:t>
      </w:r>
    </w:p>
    <w:p w14:paraId="1BE0C5B9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m:oMath>
        <m:sSubSup>
          <m:sSubSupPr>
            <m:ctrlPr>
              <w:rPr>
                <w:rFonts w:ascii="Cambria Math" w:eastAsia="宋体" w:hAnsi="Cambria Math" w:cs="Times New Roman"/>
                <w:sz w:val="24"/>
              </w:rPr>
            </m:ctrlPr>
          </m:sSubSupPr>
          <m:e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D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H</m:t>
            </m:r>
          </m:sub>
          <m:sup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*</m:t>
            </m:r>
          </m:sup>
        </m:sSubSup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4"/>
              </w:rPr>
            </m:ctrlPr>
          </m:fPr>
          <m:num>
            <m:d>
              <m:dP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sz w:val="24"/>
                  </w:rPr>
                  <m:t>60-H</m:t>
                </m:r>
              </m:e>
            </m:d>
          </m:num>
          <m:den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60</m:t>
            </m:r>
          </m:den>
        </m:f>
      </m:oMath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1-2</w:t>
      </w:r>
      <w:r>
        <w:rPr>
          <w:rFonts w:ascii="Times New Roman" w:eastAsia="宋体" w:hAnsi="Times New Roman" w:cs="Times New Roman"/>
          <w:sz w:val="24"/>
        </w:rPr>
        <w:t>）</w:t>
      </w:r>
    </w:p>
    <w:p w14:paraId="190E0E8B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/>
          <w:sz w:val="24"/>
        </w:rPr>
        <w:t>在</w:t>
      </w:r>
      <w:r>
        <w:rPr>
          <w:rFonts w:ascii="Times New Roman" w:eastAsia="宋体" w:hAnsi="Times New Roman" w:cs="Times New Roman"/>
          <w:sz w:val="24"/>
        </w:rPr>
        <w:t xml:space="preserve"> HSV </w:t>
      </w:r>
      <w:r>
        <w:rPr>
          <w:rFonts w:ascii="Times New Roman" w:eastAsia="宋体" w:hAnsi="Times New Roman" w:cs="Times New Roman"/>
          <w:sz w:val="24"/>
        </w:rPr>
        <w:t>颜色模型中，饱和度与明度均为标准化变量，取值范围为</w:t>
      </w:r>
      <w:r>
        <w:rPr>
          <w:rFonts w:ascii="Times New Roman" w:eastAsia="宋体" w:hAnsi="Times New Roman" w:cs="Times New Roman"/>
          <w:sz w:val="24"/>
        </w:rPr>
        <w:t>[0, 1]</w:t>
      </w:r>
      <w:r>
        <w:rPr>
          <w:rFonts w:ascii="Times New Roman" w:eastAsia="宋体" w:hAnsi="Times New Roman" w:cs="Times New Roman"/>
          <w:sz w:val="24"/>
        </w:rPr>
        <w:t>。当</w:t>
      </w:r>
      <w:r>
        <w:rPr>
          <w:rFonts w:ascii="Times New Roman" w:eastAsia="宋体" w:hAnsi="Times New Roman" w:cs="Times New Roman"/>
          <w:sz w:val="24"/>
        </w:rPr>
        <w:t>S = 1</w:t>
      </w:r>
      <w:r>
        <w:rPr>
          <w:rFonts w:ascii="Times New Roman" w:eastAsia="宋体" w:hAnsi="Times New Roman" w:cs="Times New Roman"/>
          <w:sz w:val="24"/>
        </w:rPr>
        <w:t>且</w:t>
      </w:r>
      <w:r>
        <w:rPr>
          <w:rFonts w:ascii="Times New Roman" w:eastAsia="宋体" w:hAnsi="Times New Roman" w:cs="Times New Roman"/>
          <w:sz w:val="24"/>
        </w:rPr>
        <w:t>V = 1</w:t>
      </w:r>
      <w:r>
        <w:rPr>
          <w:rFonts w:ascii="Times New Roman" w:eastAsia="宋体" w:hAnsi="Times New Roman" w:cs="Times New Roman"/>
          <w:sz w:val="24"/>
        </w:rPr>
        <w:t>时，颜色表现为高饱和度且高亮度的纯色状态；随着饱和度或明度降低，颜色分别向灰度或暗色方向偏移。因此，可分别构建饱和度与明度的纯色偏离指数：</w:t>
      </w:r>
    </w:p>
    <w:p w14:paraId="4B50B726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D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S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d>
          <m:dPr>
            <m:ctrlPr>
              <w:rPr>
                <w:rFonts w:ascii="Cambria Math" w:eastAsia="宋体" w:hAnsi="Cambria Math" w:cs="Times New Roman"/>
                <w:sz w:val="24"/>
              </w:rPr>
            </m:ctrlPr>
          </m:dPr>
          <m:e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1-S</m:t>
            </m:r>
          </m:e>
        </m:d>
      </m:oMath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1-3</w:t>
      </w:r>
      <w:r>
        <w:rPr>
          <w:rFonts w:ascii="Times New Roman" w:eastAsia="宋体" w:hAnsi="Times New Roman" w:cs="Times New Roman"/>
          <w:sz w:val="24"/>
        </w:rPr>
        <w:t>）</w:t>
      </w:r>
    </w:p>
    <w:p w14:paraId="728EFFAC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D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V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d>
          <m:dPr>
            <m:ctrlPr>
              <w:rPr>
                <w:rFonts w:ascii="Cambria Math" w:eastAsia="宋体" w:hAnsi="Cambria Math" w:cs="Times New Roman"/>
                <w:sz w:val="24"/>
              </w:rPr>
            </m:ctrlPr>
          </m:dPr>
          <m:e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1-V</m:t>
            </m:r>
          </m:e>
        </m:d>
      </m:oMath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1-4</w:t>
      </w:r>
      <w:r>
        <w:rPr>
          <w:rFonts w:ascii="Times New Roman" w:eastAsia="宋体" w:hAnsi="Times New Roman" w:cs="Times New Roman"/>
          <w:sz w:val="24"/>
        </w:rPr>
        <w:t>）</w:t>
      </w:r>
    </w:p>
    <w:p w14:paraId="72F365A3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ab/>
      </w:r>
      <w:r>
        <w:rPr>
          <w:rFonts w:ascii="Times New Roman" w:eastAsia="宋体" w:hAnsi="Times New Roman" w:cs="Times New Roman"/>
          <w:sz w:val="24"/>
        </w:rPr>
        <w:t>其中，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D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S</m:t>
            </m:r>
          </m:sub>
        </m:sSub>
      </m:oMath>
      <w:r>
        <w:rPr>
          <w:rFonts w:ascii="Times New Roman" w:eastAsia="宋体" w:hAnsi="Times New Roman" w:cs="Times New Roman"/>
          <w:sz w:val="24"/>
        </w:rPr>
        <w:t>表征颜色由高饱和纯色向灰度方向的偏离程度，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D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V</m:t>
            </m:r>
          </m:sub>
        </m:sSub>
      </m:oMath>
      <w:r>
        <w:rPr>
          <w:rFonts w:ascii="Times New Roman" w:eastAsia="宋体" w:hAnsi="Times New Roman" w:cs="Times New Roman"/>
          <w:sz w:val="24"/>
        </w:rPr>
        <w:t>表征颜色由高亮纯色向暗色方向的偏离程度。</w:t>
      </w:r>
    </w:p>
    <w:p w14:paraId="7E8F1DAA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/>
          <w:sz w:val="24"/>
        </w:rPr>
        <w:t>为综合反映籽粒颜色相对于正黄色的色调偏移及纯色偏离程度，对上述三个无量纲指标取算术平均，构建深橙色指数</w:t>
      </w:r>
      <w:r>
        <w:rPr>
          <w:rFonts w:ascii="Times New Roman" w:eastAsia="宋体" w:hAnsi="Times New Roman" w:cs="Times New Roman"/>
          <w:sz w:val="24"/>
        </w:rPr>
        <w:t xml:space="preserve"> DOCI</w:t>
      </w:r>
      <w:r>
        <w:rPr>
          <w:rFonts w:ascii="Times New Roman" w:eastAsia="宋体" w:hAnsi="Times New Roman" w:cs="Times New Roman"/>
          <w:sz w:val="24"/>
        </w:rPr>
        <w:t>：</w:t>
      </w:r>
    </w:p>
    <w:p w14:paraId="537201E9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m:oMath>
        <m:r>
          <m:rPr>
            <m:nor/>
          </m:rPr>
          <w:rPr>
            <w:rFonts w:ascii="Times New Roman" w:eastAsia="宋体" w:hAnsi="Times New Roman" w:cs="Times New Roman"/>
            <w:sz w:val="24"/>
          </w:rPr>
          <m:t>DOCI=</m:t>
        </m:r>
        <m:f>
          <m:fPr>
            <m:ctrlPr>
              <w:rPr>
                <w:rFonts w:ascii="Cambria Math" w:eastAsia="宋体" w:hAnsi="Cambria Math" w:cs="Times New Roman"/>
                <w:sz w:val="24"/>
              </w:rPr>
            </m:ctrlPr>
          </m:fPr>
          <m:num>
            <m:sSubSup>
              <m:sSubSupP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sSubSup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sz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sz w:val="24"/>
                  </w:rPr>
                  <m:t>H</m:t>
                </m:r>
              </m:sub>
              <m:sup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sz w:val="24"/>
                  </w:rPr>
                  <m:t>*</m:t>
                </m:r>
              </m:sup>
            </m:sSubSup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+</m:t>
            </m:r>
            <m:sSub>
              <m:sSubP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sz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sz w:val="24"/>
                  </w:rPr>
                  <m:t>S</m:t>
                </m:r>
              </m:sub>
            </m:sSub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+</m:t>
            </m:r>
            <m:sSub>
              <m:sSubP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sz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sz w:val="24"/>
                  </w:rPr>
                  <m:t>V</m:t>
                </m:r>
              </m:sub>
            </m:sSub>
          </m:num>
          <m:den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3</m:t>
            </m:r>
          </m:den>
        </m:f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4"/>
              </w:rPr>
            </m:ctrlPr>
          </m:fPr>
          <m:num>
            <m:f>
              <m:fP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="宋体" w:hAnsi="Cambria Math" w:cs="Times New Roman"/>
                        <w:sz w:val="24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eastAsia="宋体" w:hAnsi="Times New Roman" w:cs="Times New Roman"/>
                        <w:sz w:val="24"/>
                      </w:rPr>
                      <m:t>60-H</m:t>
                    </m:r>
                  </m:e>
                </m:d>
              </m:num>
              <m:den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sz w:val="24"/>
                  </w:rPr>
                  <m:t>60</m:t>
                </m:r>
              </m:den>
            </m:f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+</m:t>
            </m:r>
            <m:d>
              <m:dP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sz w:val="24"/>
                  </w:rPr>
                  <m:t>1-S</m:t>
                </m:r>
              </m:e>
            </m:d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+</m:t>
            </m:r>
            <m:d>
              <m:dP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sz w:val="24"/>
                  </w:rPr>
                  <m:t>1-V</m:t>
                </m:r>
              </m:e>
            </m:d>
          </m:num>
          <m:den>
            <m:r>
              <m:rPr>
                <m:nor/>
              </m:rPr>
              <w:rPr>
                <w:rFonts w:ascii="Times New Roman" w:eastAsia="宋体" w:hAnsi="Times New Roman" w:cs="Times New Roman"/>
                <w:sz w:val="24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1-5</w:t>
      </w:r>
      <w:r>
        <w:rPr>
          <w:rFonts w:ascii="Times New Roman" w:eastAsia="宋体" w:hAnsi="Times New Roman" w:cs="Times New Roman"/>
          <w:sz w:val="24"/>
        </w:rPr>
        <w:t>）</w:t>
      </w:r>
    </w:p>
    <w:p w14:paraId="57C02AEC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理论构建成功：基于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色彩空间原理，成功构建了深橙色指数</w:t>
      </w:r>
      <w:r>
        <w:rPr>
          <w:rFonts w:ascii="Times New Roman" w:eastAsia="宋体" w:hAnsi="Times New Roman" w:cs="Times New Roman"/>
          <w:sz w:val="24"/>
        </w:rPr>
        <w:t>DOCI</w:t>
      </w:r>
      <w:r>
        <w:rPr>
          <w:rFonts w:ascii="Times New Roman" w:eastAsia="宋体" w:hAnsi="Times New Roman" w:cs="Times New Roman"/>
          <w:sz w:val="24"/>
        </w:rPr>
        <w:t>。该指数综合了色调（</w:t>
      </w:r>
      <w:r>
        <w:rPr>
          <w:rFonts w:ascii="Times New Roman" w:eastAsia="宋体" w:hAnsi="Times New Roman" w:cs="Times New Roman"/>
          <w:sz w:val="24"/>
        </w:rPr>
        <w:t>H</w:t>
      </w:r>
      <w:r>
        <w:rPr>
          <w:rFonts w:ascii="Times New Roman" w:eastAsia="宋体" w:hAnsi="Times New Roman" w:cs="Times New Roman"/>
          <w:sz w:val="24"/>
        </w:rPr>
        <w:t>）、饱和度（</w:t>
      </w:r>
      <w:r>
        <w:rPr>
          <w:rFonts w:ascii="Times New Roman" w:eastAsia="宋体" w:hAnsi="Times New Roman" w:cs="Times New Roman"/>
          <w:sz w:val="24"/>
        </w:rPr>
        <w:t>S</w:t>
      </w:r>
      <w:r>
        <w:rPr>
          <w:rFonts w:ascii="Times New Roman" w:eastAsia="宋体" w:hAnsi="Times New Roman" w:cs="Times New Roman"/>
          <w:sz w:val="24"/>
        </w:rPr>
        <w:t>）和明度（</w:t>
      </w:r>
      <w:r>
        <w:rPr>
          <w:rFonts w:ascii="Times New Roman" w:eastAsia="宋体" w:hAnsi="Times New Roman" w:cs="Times New Roman"/>
          <w:sz w:val="24"/>
        </w:rPr>
        <w:t>V</w:t>
      </w:r>
      <w:r>
        <w:rPr>
          <w:rFonts w:ascii="Times New Roman" w:eastAsia="宋体" w:hAnsi="Times New Roman" w:cs="Times New Roman"/>
          <w:sz w:val="24"/>
        </w:rPr>
        <w:t>）三个维度的信息，量化了籽粒颜色相对于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纯亮黄色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的总体偏离程度。其值域在</w:t>
      </w:r>
      <w:r>
        <w:rPr>
          <w:rFonts w:ascii="Times New Roman" w:eastAsia="宋体" w:hAnsi="Times New Roman" w:cs="Times New Roman"/>
          <w:sz w:val="24"/>
        </w:rPr>
        <w:t>0</w:t>
      </w:r>
      <w:r>
        <w:rPr>
          <w:rFonts w:ascii="Times New Roman" w:eastAsia="宋体" w:hAnsi="Times New Roman" w:cs="Times New Roman"/>
          <w:sz w:val="24"/>
        </w:rPr>
        <w:t>到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之间，数值越大，表示颜色越偏离亮黄，趋向深暗橙色。</w:t>
      </w:r>
    </w:p>
    <w:p w14:paraId="023B936E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DOCI</w:t>
      </w:r>
      <w:r>
        <w:rPr>
          <w:rFonts w:ascii="Times New Roman" w:eastAsia="宋体" w:hAnsi="Times New Roman" w:cs="Times New Roman"/>
          <w:sz w:val="24"/>
        </w:rPr>
        <w:t>指数验证</w:t>
      </w:r>
    </w:p>
    <w:p w14:paraId="42938175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6934B650" wp14:editId="26430430">
            <wp:extent cx="3032125" cy="3032125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2281" cy="303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3C93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图</w:t>
      </w:r>
      <w:r>
        <w:rPr>
          <w:rFonts w:ascii="Times New Roman" w:eastAsia="宋体" w:hAnsi="Times New Roman" w:cs="Times New Roman"/>
          <w:sz w:val="24"/>
        </w:rPr>
        <w:t>5</w:t>
      </w:r>
      <w:r>
        <w:rPr>
          <w:rFonts w:ascii="Times New Roman" w:eastAsia="宋体" w:hAnsi="Times New Roman" w:cs="Times New Roman"/>
          <w:sz w:val="24"/>
        </w:rPr>
        <w:t>：氮浓度与</w:t>
      </w:r>
      <w:r>
        <w:rPr>
          <w:rFonts w:ascii="Times New Roman" w:eastAsia="宋体" w:hAnsi="Times New Roman" w:cs="Times New Roman"/>
          <w:sz w:val="24"/>
        </w:rPr>
        <w:t>DOCI</w:t>
      </w:r>
      <w:r>
        <w:rPr>
          <w:rFonts w:ascii="Times New Roman" w:eastAsia="宋体" w:hAnsi="Times New Roman" w:cs="Times New Roman"/>
          <w:sz w:val="24"/>
        </w:rPr>
        <w:t>散点图</w:t>
      </w:r>
    </w:p>
    <w:p w14:paraId="6252A06D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74047934" wp14:editId="6AAAC2F0">
            <wp:extent cx="5273675" cy="2615565"/>
            <wp:effectExtent l="0" t="0" r="3175" b="0"/>
            <wp:docPr id="17919506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5063" name="图片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E16B50" w14:textId="77777777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图</w:t>
      </w:r>
      <w:r>
        <w:rPr>
          <w:rFonts w:ascii="Times New Roman" w:eastAsia="宋体" w:hAnsi="Times New Roman" w:cs="Times New Roman"/>
          <w:sz w:val="24"/>
        </w:rPr>
        <w:t>6</w:t>
      </w:r>
      <w:r>
        <w:rPr>
          <w:rFonts w:ascii="Times New Roman" w:eastAsia="宋体" w:hAnsi="Times New Roman" w:cs="Times New Roman"/>
          <w:sz w:val="24"/>
        </w:rPr>
        <w:t>：氮浓度及</w:t>
      </w:r>
      <w:r>
        <w:rPr>
          <w:rFonts w:ascii="Times New Roman" w:eastAsia="宋体" w:hAnsi="Times New Roman" w:cs="Times New Roman"/>
          <w:sz w:val="24"/>
        </w:rPr>
        <w:t>DOCI</w:t>
      </w:r>
      <w:r>
        <w:rPr>
          <w:rFonts w:ascii="Times New Roman" w:eastAsia="宋体" w:hAnsi="Times New Roman" w:cs="Times New Roman"/>
          <w:sz w:val="24"/>
        </w:rPr>
        <w:t>低至高颜色变化比对图</w:t>
      </w:r>
    </w:p>
    <w:p w14:paraId="60DE9D40" w14:textId="36A8FA5F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在对</w:t>
      </w:r>
      <w:r>
        <w:rPr>
          <w:rFonts w:ascii="Times New Roman" w:eastAsia="宋体" w:hAnsi="Times New Roman" w:cs="Times New Roman"/>
          <w:sz w:val="24"/>
        </w:rPr>
        <w:t>DOCI</w:t>
      </w:r>
      <w:r>
        <w:rPr>
          <w:rFonts w:ascii="Times New Roman" w:eastAsia="宋体" w:hAnsi="Times New Roman" w:cs="Times New Roman"/>
          <w:sz w:val="24"/>
        </w:rPr>
        <w:t>指数进行验证分析时（图</w:t>
      </w:r>
      <w:r>
        <w:rPr>
          <w:rFonts w:ascii="Times New Roman" w:eastAsia="宋体" w:hAnsi="Times New Roman" w:cs="Times New Roman"/>
          <w:sz w:val="24"/>
        </w:rPr>
        <w:t>5</w:t>
      </w:r>
      <w:r>
        <w:rPr>
          <w:rFonts w:ascii="Times New Roman" w:eastAsia="宋体" w:hAnsi="Times New Roman" w:cs="Times New Roman"/>
          <w:sz w:val="24"/>
        </w:rPr>
        <w:t>、图</w:t>
      </w:r>
      <w:r>
        <w:rPr>
          <w:rFonts w:ascii="Times New Roman" w:eastAsia="宋体" w:hAnsi="Times New Roman" w:cs="Times New Roman"/>
          <w:sz w:val="24"/>
        </w:rPr>
        <w:t>6</w:t>
      </w:r>
      <w:r>
        <w:rPr>
          <w:rFonts w:ascii="Times New Roman" w:eastAsia="宋体" w:hAnsi="Times New Roman" w:cs="Times New Roman"/>
          <w:sz w:val="24"/>
        </w:rPr>
        <w:t>），结果显示其与氮浓度之间存在显著正相关关系，</w:t>
      </w:r>
      <w:r>
        <w:rPr>
          <w:rFonts w:ascii="Times New Roman" w:eastAsia="宋体" w:hAnsi="Times New Roman" w:cs="Times New Roman"/>
          <w:sz w:val="24"/>
        </w:rPr>
        <w:t>Pearson</w:t>
      </w:r>
      <w:r>
        <w:rPr>
          <w:rFonts w:ascii="Times New Roman" w:eastAsia="宋体" w:hAnsi="Times New Roman" w:cs="Times New Roman"/>
          <w:sz w:val="24"/>
        </w:rPr>
        <w:t>相关系数达到</w:t>
      </w:r>
      <w:r>
        <w:rPr>
          <w:rFonts w:ascii="Times New Roman" w:eastAsia="宋体" w:hAnsi="Times New Roman" w:cs="Times New Roman"/>
          <w:sz w:val="24"/>
        </w:rPr>
        <w:t>0.640</w:t>
      </w:r>
      <w:r>
        <w:rPr>
          <w:rFonts w:ascii="Times New Roman" w:eastAsia="宋体" w:hAnsi="Times New Roman" w:cs="Times New Roman"/>
          <w:sz w:val="24"/>
        </w:rPr>
        <w:t>，明显高于单一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分量的相关性水平</w:t>
      </w:r>
      <w:r w:rsidR="00EF6163">
        <w:rPr>
          <w:rFonts w:ascii="Times New Roman" w:eastAsia="宋体" w:hAnsi="Times New Roman" w:cs="Times New Roman" w:hint="eastAsia"/>
          <w:sz w:val="24"/>
        </w:rPr>
        <w:t>，</w:t>
      </w:r>
      <w:r w:rsidR="00EF6163">
        <w:rPr>
          <w:rFonts w:ascii="Times New Roman" w:eastAsia="宋体" w:hAnsi="Times New Roman" w:cs="Times New Roman"/>
          <w:sz w:val="24"/>
        </w:rPr>
        <w:t>从散点图分布来看，数据整体呈现上升趋势，离散度较低，</w:t>
      </w:r>
      <w:r>
        <w:rPr>
          <w:rFonts w:ascii="Times New Roman" w:eastAsia="宋体" w:hAnsi="Times New Roman" w:cs="Times New Roman"/>
          <w:sz w:val="24"/>
        </w:rPr>
        <w:t>这说明</w:t>
      </w:r>
      <w:r>
        <w:rPr>
          <w:rFonts w:ascii="Times New Roman" w:eastAsia="宋体" w:hAnsi="Times New Roman" w:cs="Times New Roman"/>
          <w:sz w:val="24"/>
        </w:rPr>
        <w:t>DOCI</w:t>
      </w:r>
      <w:r>
        <w:rPr>
          <w:rFonts w:ascii="Times New Roman" w:eastAsia="宋体" w:hAnsi="Times New Roman" w:cs="Times New Roman"/>
          <w:sz w:val="24"/>
        </w:rPr>
        <w:t>能够更有效</w:t>
      </w:r>
      <w:r w:rsidR="00EF6163">
        <w:rPr>
          <w:rFonts w:ascii="Times New Roman" w:eastAsia="宋体" w:hAnsi="Times New Roman" w:cs="Times New Roman" w:hint="eastAsia"/>
          <w:sz w:val="24"/>
        </w:rPr>
        <w:t>反映颜色变化</w:t>
      </w:r>
      <w:r>
        <w:rPr>
          <w:rFonts w:ascii="Times New Roman" w:eastAsia="宋体" w:hAnsi="Times New Roman" w:cs="Times New Roman"/>
          <w:sz w:val="24"/>
        </w:rPr>
        <w:t>。此外，通过对</w:t>
      </w:r>
      <w:r>
        <w:rPr>
          <w:rFonts w:ascii="Times New Roman" w:eastAsia="宋体" w:hAnsi="Times New Roman" w:cs="Times New Roman"/>
          <w:sz w:val="24"/>
        </w:rPr>
        <w:t>DOCI</w:t>
      </w:r>
      <w:r>
        <w:rPr>
          <w:rFonts w:ascii="Times New Roman" w:eastAsia="宋体" w:hAnsi="Times New Roman" w:cs="Times New Roman"/>
          <w:sz w:val="24"/>
        </w:rPr>
        <w:t>排序后的颜色进行</w:t>
      </w:r>
      <w:r w:rsidR="00EF6163">
        <w:rPr>
          <w:rFonts w:ascii="Times New Roman" w:eastAsia="宋体" w:hAnsi="Times New Roman" w:cs="Times New Roman" w:hint="eastAsia"/>
          <w:sz w:val="24"/>
        </w:rPr>
        <w:t>比较</w:t>
      </w:r>
      <w:r>
        <w:rPr>
          <w:rFonts w:ascii="Times New Roman" w:eastAsia="宋体" w:hAnsi="Times New Roman" w:cs="Times New Roman"/>
          <w:sz w:val="24"/>
        </w:rPr>
        <w:t>（图</w:t>
      </w:r>
      <w:r>
        <w:rPr>
          <w:rFonts w:ascii="Times New Roman" w:eastAsia="宋体" w:hAnsi="Times New Roman" w:cs="Times New Roman"/>
          <w:sz w:val="24"/>
        </w:rPr>
        <w:t>6</w:t>
      </w:r>
      <w:r>
        <w:rPr>
          <w:rFonts w:ascii="Times New Roman" w:eastAsia="宋体" w:hAnsi="Times New Roman" w:cs="Times New Roman"/>
          <w:sz w:val="24"/>
        </w:rPr>
        <w:t>），可以观察到颜色从浅黄到深橙的变化过程与氮浓度排序结果一致，说明</w:t>
      </w:r>
      <w:r>
        <w:rPr>
          <w:rFonts w:ascii="Times New Roman" w:eastAsia="宋体" w:hAnsi="Times New Roman" w:cs="Times New Roman"/>
          <w:sz w:val="24"/>
        </w:rPr>
        <w:t>DOCI</w:t>
      </w:r>
      <w:r>
        <w:rPr>
          <w:rFonts w:ascii="Times New Roman" w:eastAsia="宋体" w:hAnsi="Times New Roman" w:cs="Times New Roman"/>
          <w:sz w:val="24"/>
        </w:rPr>
        <w:t>不仅在统计分析中具有较强的相关性，在视觉表达上同样具备良好的一致性</w:t>
      </w:r>
      <w:r w:rsidR="00EF6163">
        <w:rPr>
          <w:rFonts w:ascii="Times New Roman" w:eastAsia="宋体" w:hAnsi="Times New Roman" w:cs="Times New Roman" w:hint="eastAsia"/>
          <w:sz w:val="24"/>
        </w:rPr>
        <w:t>。这表面</w:t>
      </w:r>
      <w:r>
        <w:rPr>
          <w:rFonts w:ascii="Times New Roman" w:eastAsia="宋体" w:hAnsi="Times New Roman" w:cs="Times New Roman"/>
          <w:sz w:val="24"/>
        </w:rPr>
        <w:t>DOCI</w:t>
      </w:r>
      <w:r>
        <w:rPr>
          <w:rFonts w:ascii="Times New Roman" w:eastAsia="宋体" w:hAnsi="Times New Roman" w:cs="Times New Roman"/>
          <w:sz w:val="24"/>
        </w:rPr>
        <w:t>是一个具有实际应用潜力的指标，可间接反映玉米籽粒的氮素水平。</w:t>
      </w:r>
    </w:p>
    <w:p w14:paraId="57437B23" w14:textId="77777777" w:rsidR="00030027" w:rsidRDefault="00000000">
      <w:pPr>
        <w:spacing w:after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五、实验心得</w:t>
      </w:r>
    </w:p>
    <w:p w14:paraId="52D7D437" w14:textId="2070B6EF" w:rsidR="00030027" w:rsidRDefault="00000000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在本实验中，通过对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色彩空间的分析发现，单一颜色分量难以准确反映玉米籽粒氮浓度变化。因此，本实验在借鉴</w:t>
      </w:r>
      <w:r w:rsidR="00EF6163">
        <w:rPr>
          <w:rFonts w:ascii="Times New Roman" w:eastAsia="宋体" w:hAnsi="Times New Roman" w:cs="Times New Roman" w:hint="eastAsia"/>
          <w:sz w:val="24"/>
        </w:rPr>
        <w:t>颜色指数构建方法</w:t>
      </w:r>
      <w:r w:rsidR="00EF6163">
        <w:rPr>
          <w:rFonts w:ascii="Times New Roman" w:eastAsia="宋体" w:hAnsi="Times New Roman" w:cs="Times New Roman" w:hint="eastAsia"/>
          <w:sz w:val="24"/>
        </w:rPr>
        <w:t>(</w:t>
      </w:r>
      <w:r w:rsidR="009C5294" w:rsidRPr="009C5294">
        <w:rPr>
          <w:rFonts w:ascii="Times New Roman" w:eastAsia="宋体" w:hAnsi="Times New Roman" w:cs="Times New Roman"/>
          <w:sz w:val="24"/>
        </w:rPr>
        <w:t>Kaler</w:t>
      </w:r>
      <w:r w:rsidR="009C5294">
        <w:rPr>
          <w:rFonts w:ascii="Times New Roman" w:eastAsia="宋体" w:hAnsi="Times New Roman" w:cs="Times New Roman" w:hint="eastAsia"/>
          <w:sz w:val="24"/>
        </w:rPr>
        <w:t>.</w:t>
      </w:r>
      <w:r w:rsidR="009C5294" w:rsidRPr="009C5294">
        <w:rPr>
          <w:rFonts w:ascii="Times New Roman" w:eastAsia="宋体" w:hAnsi="Times New Roman" w:cs="Times New Roman"/>
          <w:sz w:val="24"/>
        </w:rPr>
        <w:t>,</w:t>
      </w:r>
      <w:r w:rsidR="009C5294">
        <w:rPr>
          <w:rFonts w:ascii="Times New Roman" w:eastAsia="宋体" w:hAnsi="Times New Roman" w:cs="Times New Roman" w:hint="eastAsia"/>
          <w:sz w:val="24"/>
        </w:rPr>
        <w:t>2019</w:t>
      </w:r>
      <w:r w:rsidR="00EF6163">
        <w:rPr>
          <w:rFonts w:ascii="Times New Roman" w:eastAsia="宋体" w:hAnsi="Times New Roman" w:cs="Times New Roman" w:hint="eastAsia"/>
          <w:sz w:val="24"/>
        </w:rPr>
        <w:t>)</w:t>
      </w:r>
      <w:r>
        <w:rPr>
          <w:rFonts w:ascii="Times New Roman" w:eastAsia="宋体" w:hAnsi="Times New Roman" w:cs="Times New Roman"/>
          <w:sz w:val="24"/>
        </w:rPr>
        <w:t>，</w:t>
      </w:r>
      <w:r w:rsidR="00EF6163">
        <w:rPr>
          <w:rFonts w:ascii="Times New Roman" w:eastAsia="宋体" w:hAnsi="Times New Roman" w:cs="Times New Roman" w:hint="eastAsia"/>
          <w:sz w:val="24"/>
        </w:rPr>
        <w:t>重写</w:t>
      </w:r>
      <w:r>
        <w:rPr>
          <w:rFonts w:ascii="Times New Roman" w:eastAsia="宋体" w:hAnsi="Times New Roman" w:cs="Times New Roman"/>
          <w:sz w:val="24"/>
        </w:rPr>
        <w:t>对</w:t>
      </w:r>
      <w:r w:rsidR="00EF6163">
        <w:rPr>
          <w:rFonts w:ascii="Times New Roman" w:eastAsia="宋体" w:hAnsi="Times New Roman" w:cs="Times New Roman" w:hint="eastAsia"/>
          <w:sz w:val="24"/>
        </w:rPr>
        <w:t>橙黄色</w:t>
      </w:r>
      <w:r>
        <w:rPr>
          <w:rFonts w:ascii="Times New Roman" w:eastAsia="宋体" w:hAnsi="Times New Roman" w:cs="Times New Roman"/>
          <w:sz w:val="24"/>
        </w:rPr>
        <w:t>色调偏移及纯色偏离进行</w:t>
      </w:r>
      <w:r w:rsidR="00EF6163">
        <w:rPr>
          <w:rFonts w:ascii="Times New Roman" w:eastAsia="宋体" w:hAnsi="Times New Roman" w:cs="Times New Roman" w:hint="eastAsia"/>
          <w:sz w:val="24"/>
        </w:rPr>
        <w:t>指数建设</w:t>
      </w:r>
      <w:r>
        <w:rPr>
          <w:rFonts w:ascii="Times New Roman" w:eastAsia="宋体" w:hAnsi="Times New Roman" w:cs="Times New Roman"/>
          <w:sz w:val="24"/>
        </w:rPr>
        <w:t>。</w:t>
      </w:r>
    </w:p>
    <w:p w14:paraId="3CF52E67" w14:textId="67753556" w:rsidR="00030027" w:rsidRDefault="00EF6163">
      <w:pPr>
        <w:spacing w:after="0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最终</w:t>
      </w:r>
      <w:r w:rsidR="00000000">
        <w:rPr>
          <w:rFonts w:ascii="Times New Roman" w:eastAsia="宋体" w:hAnsi="Times New Roman" w:cs="Times New Roman"/>
          <w:sz w:val="24"/>
        </w:rPr>
        <w:t>表明，在</w:t>
      </w:r>
      <w:r>
        <w:rPr>
          <w:rFonts w:ascii="Times New Roman" w:eastAsia="宋体" w:hAnsi="Times New Roman" w:cs="Times New Roman"/>
          <w:sz w:val="24"/>
        </w:rPr>
        <w:t>量化</w:t>
      </w:r>
      <w:r>
        <w:rPr>
          <w:rFonts w:ascii="Times New Roman" w:eastAsia="宋体" w:hAnsi="Times New Roman" w:cs="Times New Roman" w:hint="eastAsia"/>
          <w:sz w:val="24"/>
        </w:rPr>
        <w:t>颜色</w:t>
      </w:r>
      <w:r w:rsidR="00000000">
        <w:rPr>
          <w:rFonts w:ascii="Times New Roman" w:eastAsia="宋体" w:hAnsi="Times New Roman" w:cs="Times New Roman"/>
          <w:sz w:val="24"/>
        </w:rPr>
        <w:t>表型</w:t>
      </w:r>
      <w:r>
        <w:rPr>
          <w:rFonts w:ascii="Times New Roman" w:eastAsia="宋体" w:hAnsi="Times New Roman" w:cs="Times New Roman" w:hint="eastAsia"/>
          <w:sz w:val="24"/>
        </w:rPr>
        <w:t>的</w:t>
      </w:r>
      <w:r w:rsidR="00000000">
        <w:rPr>
          <w:rFonts w:ascii="Times New Roman" w:eastAsia="宋体" w:hAnsi="Times New Roman" w:cs="Times New Roman"/>
          <w:sz w:val="24"/>
        </w:rPr>
        <w:t>研究中，简单变量往往不足以描述复杂特征，合理的指标构建比单纯依赖原始变量更为关键。</w:t>
      </w:r>
      <w:r>
        <w:rPr>
          <w:rFonts w:ascii="Times New Roman" w:eastAsia="宋体" w:hAnsi="Times New Roman" w:cs="Times New Roman"/>
          <w:sz w:val="24"/>
        </w:rPr>
        <w:t>DOCI</w:t>
      </w:r>
      <w:r>
        <w:rPr>
          <w:rFonts w:ascii="Times New Roman" w:eastAsia="宋体" w:hAnsi="Times New Roman" w:cs="Times New Roman"/>
          <w:sz w:val="24"/>
        </w:rPr>
        <w:t>相比单一</w:t>
      </w:r>
      <w:r>
        <w:rPr>
          <w:rFonts w:ascii="Times New Roman" w:eastAsia="宋体" w:hAnsi="Times New Roman" w:cs="Times New Roman"/>
          <w:sz w:val="24"/>
        </w:rPr>
        <w:t>HSV</w:t>
      </w:r>
      <w:r>
        <w:rPr>
          <w:rFonts w:ascii="Times New Roman" w:eastAsia="宋体" w:hAnsi="Times New Roman" w:cs="Times New Roman"/>
          <w:sz w:val="24"/>
        </w:rPr>
        <w:t>变量具有更强的相关性和更好的表征能力。</w:t>
      </w:r>
    </w:p>
    <w:sectPr w:rsidR="000300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1D02D" w14:textId="77777777" w:rsidR="00040593" w:rsidRDefault="0004059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4A248C9" w14:textId="77777777" w:rsidR="00040593" w:rsidRDefault="0004059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DCF83" w14:textId="77777777" w:rsidR="00040593" w:rsidRDefault="0004059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0D4D6D6" w14:textId="77777777" w:rsidR="00040593" w:rsidRDefault="00040593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A446C"/>
    <w:multiLevelType w:val="multilevel"/>
    <w:tmpl w:val="725A446C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18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561"/>
    <w:rsid w:val="00030027"/>
    <w:rsid w:val="00040593"/>
    <w:rsid w:val="00383E40"/>
    <w:rsid w:val="003E709E"/>
    <w:rsid w:val="004425CD"/>
    <w:rsid w:val="00451D67"/>
    <w:rsid w:val="0049297B"/>
    <w:rsid w:val="004E7C9E"/>
    <w:rsid w:val="00554E54"/>
    <w:rsid w:val="005C7561"/>
    <w:rsid w:val="006008C4"/>
    <w:rsid w:val="00615FBB"/>
    <w:rsid w:val="007940AD"/>
    <w:rsid w:val="0093623D"/>
    <w:rsid w:val="009B1F77"/>
    <w:rsid w:val="009B5761"/>
    <w:rsid w:val="009C5294"/>
    <w:rsid w:val="00B40C1D"/>
    <w:rsid w:val="00DD0066"/>
    <w:rsid w:val="00E76AB2"/>
    <w:rsid w:val="00E901E0"/>
    <w:rsid w:val="00EA3500"/>
    <w:rsid w:val="00EF6163"/>
    <w:rsid w:val="00F254F0"/>
    <w:rsid w:val="039F5B58"/>
    <w:rsid w:val="17C03B4C"/>
    <w:rsid w:val="22594E61"/>
    <w:rsid w:val="335B05D1"/>
    <w:rsid w:val="35EE214E"/>
    <w:rsid w:val="3DA8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08FC2E"/>
  <w15:docId w15:val="{FA1B0311-9C53-40AB-AC40-91655227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360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0"/>
    <w:next w:val="a"/>
    <w:link w:val="10"/>
    <w:uiPriority w:val="9"/>
    <w:qFormat/>
    <w:pPr>
      <w:numPr>
        <w:numId w:val="1"/>
      </w:numPr>
      <w:outlineLvl w:val="0"/>
    </w:pPr>
    <w:rPr>
      <w:rFonts w:ascii="宋体" w:eastAsia="宋体" w:hAnsi="宋体"/>
      <w:b/>
      <w:bCs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pPr>
      <w:ind w:left="720"/>
      <w:contextualSpacing/>
    </w:pPr>
  </w:style>
  <w:style w:type="paragraph" w:styleId="a4">
    <w:name w:val="annotation text"/>
    <w:basedOn w:val="a"/>
    <w:link w:val="a5"/>
    <w:uiPriority w:val="99"/>
    <w:unhideWhenUsed/>
    <w:qFormat/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a">
    <w:name w:val="Subtitle"/>
    <w:basedOn w:val="a"/>
    <w:next w:val="a"/>
    <w:link w:val="ab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Normal (Web)"/>
    <w:basedOn w:val="a"/>
    <w:uiPriority w:val="99"/>
    <w:semiHidden/>
    <w:unhideWhenUsed/>
    <w:qFormat/>
    <w:pPr>
      <w:spacing w:beforeAutospacing="1" w:after="0" w:afterAutospacing="1"/>
    </w:pPr>
    <w:rPr>
      <w:rFonts w:cs="Times New Roman"/>
      <w:kern w:val="0"/>
      <w:sz w:val="24"/>
    </w:rPr>
  </w:style>
  <w:style w:type="paragraph" w:styleId="ad">
    <w:name w:val="Title"/>
    <w:basedOn w:val="a"/>
    <w:next w:val="a"/>
    <w:link w:val="ae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annotation subject"/>
    <w:basedOn w:val="a4"/>
    <w:next w:val="a4"/>
    <w:link w:val="af0"/>
    <w:uiPriority w:val="99"/>
    <w:semiHidden/>
    <w:unhideWhenUsed/>
    <w:qFormat/>
    <w:rPr>
      <w:b/>
      <w:bCs/>
    </w:rPr>
  </w:style>
  <w:style w:type="character" w:styleId="af1">
    <w:name w:val="Strong"/>
    <w:basedOn w:val="a1"/>
    <w:uiPriority w:val="22"/>
    <w:qFormat/>
    <w:rPr>
      <w:b/>
    </w:rPr>
  </w:style>
  <w:style w:type="character" w:styleId="HTML">
    <w:name w:val="HTML Code"/>
    <w:basedOn w:val="a1"/>
    <w:uiPriority w:val="99"/>
    <w:semiHidden/>
    <w:unhideWhenUsed/>
    <w:qFormat/>
    <w:rPr>
      <w:rFonts w:ascii="Courier New" w:hAnsi="Courier New"/>
      <w:sz w:val="20"/>
    </w:rPr>
  </w:style>
  <w:style w:type="character" w:styleId="af2">
    <w:name w:val="annotation reference"/>
    <w:basedOn w:val="a1"/>
    <w:uiPriority w:val="99"/>
    <w:semiHidden/>
    <w:unhideWhenUsed/>
    <w:qFormat/>
    <w:rPr>
      <w:sz w:val="21"/>
      <w:szCs w:val="21"/>
    </w:rPr>
  </w:style>
  <w:style w:type="paragraph" w:customStyle="1" w:styleId="af3">
    <w:name w:val="公式"/>
    <w:basedOn w:val="a"/>
    <w:qFormat/>
    <w:pPr>
      <w:tabs>
        <w:tab w:val="center" w:pos="4536"/>
        <w:tab w:val="right" w:pos="9072"/>
      </w:tabs>
      <w:jc w:val="both"/>
    </w:pPr>
    <w:rPr>
      <w:rFonts w:ascii="Cambria Math" w:eastAsia="宋体" w:hAnsi="Cambria Math" w:cs="Times New Roman"/>
      <w:color w:val="000000"/>
      <w:sz w:val="24"/>
      <w14:ligatures w14:val="none"/>
    </w:rPr>
  </w:style>
  <w:style w:type="character" w:customStyle="1" w:styleId="10">
    <w:name w:val="标题 1 字符"/>
    <w:basedOn w:val="a1"/>
    <w:link w:val="1"/>
    <w:uiPriority w:val="9"/>
    <w:qFormat/>
    <w:rPr>
      <w:rFonts w:ascii="宋体" w:eastAsia="宋体" w:hAnsi="宋体"/>
      <w:b/>
      <w:bCs/>
      <w:sz w:val="24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Theme="majorHAnsi" w:eastAsiaTheme="majorEastAsia" w:hAnsiTheme="majorHAnsi" w:cstheme="majorBidi"/>
      <w:b/>
      <w:color w:val="2F5496" w:themeColor="accent1" w:themeShade="BF"/>
      <w:sz w:val="28"/>
      <w:szCs w:val="40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e">
    <w:name w:val="标题 字符"/>
    <w:basedOn w:val="a1"/>
    <w:link w:val="ad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副标题 字符"/>
    <w:basedOn w:val="a1"/>
    <w:link w:val="aa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4">
    <w:name w:val="Quote"/>
    <w:basedOn w:val="a"/>
    <w:next w:val="a"/>
    <w:link w:val="af5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5">
    <w:name w:val="引用 字符"/>
    <w:basedOn w:val="a1"/>
    <w:link w:val="af4"/>
    <w:uiPriority w:val="29"/>
    <w:qFormat/>
    <w:rPr>
      <w:i/>
      <w:iCs/>
      <w:color w:val="404040" w:themeColor="text1" w:themeTint="BF"/>
    </w:rPr>
  </w:style>
  <w:style w:type="character" w:customStyle="1" w:styleId="11">
    <w:name w:val="明显强调1"/>
    <w:basedOn w:val="a1"/>
    <w:uiPriority w:val="21"/>
    <w:qFormat/>
    <w:rPr>
      <w:i/>
      <w:iCs/>
      <w:color w:val="2F5496" w:themeColor="accent1" w:themeShade="BF"/>
    </w:rPr>
  </w:style>
  <w:style w:type="paragraph" w:styleId="af6">
    <w:name w:val="Intense Quote"/>
    <w:basedOn w:val="a"/>
    <w:next w:val="a"/>
    <w:link w:val="af7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7">
    <w:name w:val="明显引用 字符"/>
    <w:basedOn w:val="a1"/>
    <w:link w:val="af6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1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9">
    <w:name w:val="页眉 字符"/>
    <w:basedOn w:val="a1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a5">
    <w:name w:val="批注文字 字符"/>
    <w:basedOn w:val="a1"/>
    <w:link w:val="a4"/>
    <w:uiPriority w:val="99"/>
    <w:qFormat/>
  </w:style>
  <w:style w:type="character" w:customStyle="1" w:styleId="af0">
    <w:name w:val="批注主题 字符"/>
    <w:basedOn w:val="a5"/>
    <w:link w:val="af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1214</Words>
  <Characters>1384</Characters>
  <Application>Microsoft Office Word</Application>
  <DocSecurity>0</DocSecurity>
  <Lines>69</Lines>
  <Paragraphs>74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一平 马</dc:creator>
  <cp:lastModifiedBy>一平 马</cp:lastModifiedBy>
  <cp:revision>3</cp:revision>
  <dcterms:created xsi:type="dcterms:W3CDTF">2026-04-30T13:15:00Z</dcterms:created>
  <dcterms:modified xsi:type="dcterms:W3CDTF">2026-04-30T13:20:00Z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eyJoZGlkIjoiMTRjZDgyMGU5OTE0NDE4ODAxNzFmYTExNzY2OGJlNTciLCJ1c2VySWQiOiI3MTAxNzE0MzAifQ==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D6EEAF46BB46483B987616809E2D8360_13</vt:lpwstr>
  </property>
</Properties>
</file>