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Falcon - CIM summary (Acme Freight Systems)</w:t>
      </w:r>
    </w:p>
    <w:p>
      <w:r>
        <w:t>Project Falcon - Confidential Information Memorandum summary</w:t>
        <w:br/>
        <w:t>Target: Acme Freight Systems ("Acme"). Sell-side adviser: Halvorsen &amp; Co. Prepared by David Okafor, Sep 15 2026.</w:t>
      </w:r>
    </w:p>
    <w:p>
      <w:r>
        <w:t>Business. Acme sells a cloud transportation management system (TMS) to mid-market shippers and third-party logistics providers (3PLs). The product covers load tendering, carrier rate management, freight audit and dock scheduling. Roughly 85% of revenue is recurring subscription; the rest is implementation and professional services.</w:t>
      </w:r>
    </w:p>
    <w:p>
      <w:r>
        <w:t>Financials (management figures). FY25 revenue was $48.00M, up 22% on FY24. ARR at fiscal year end was $46.0M. FY25 adjusted EBITDA margin was 18%. Net revenue retention was 112% and gross logo retention 93%.</w:t>
      </w:r>
    </w:p>
    <w:p>
      <w:r>
        <w:t>Management case. The CIM projects 18-20% annual revenue growth through FY30 with margin expanding to 25%. We do not underwrite the margin expansion and hold margin flat at 18% in our model.</w:t>
      </w:r>
    </w:p>
    <w:p>
      <w:r>
        <w:t>Customers. 410 customers. The top 10 account for 31% of ARR. The two largest enterprise accounts are NorthStar Grocers (about 5% of ARR, customer since 2019) and Pallas Retail (about 4% of ARR, customer since 2021). Both are on three-year contracts renewing in FY26.</w:t>
      </w:r>
    </w:p>
    <w:p>
      <w:r>
        <w:t>Management. CEO Linda Marsh (founder). CFO Tom Becker (joined 2023, previously at a public freight brokerage).</w:t>
      </w:r>
    </w:p>
    <w:p>
      <w:r>
        <w:t>Process. Halvorsen is guiding to an enterprise value around $120M. First-round bids were due Sep 26; we submitted at $115-125M. Final bids are due Oct 20, after our IC on Oct 15.</w:t>
      </w:r>
    </w:p>
    <w:p>
      <w:r>
        <w:t>Initial view. Attractive product with real switching costs. Key diligence questions: quality of FY25 growth, concentration in the enterprise segment, and sensitivity to the freight cycle.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Falcon - CIM summary (Acme Freight Systems)</dc:title>
  <dc:subject/>
  <dc:creator>David Okafor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