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Harbor - CIM summary (Brightline Health)</w:t>
      </w:r>
    </w:p>
    <w:p>
      <w:r>
        <w:t>Project Harbor - CIM summary. Target: Brightline Health. Prepared by Marcus Lee, Sep 22 2026.</w:t>
      </w:r>
    </w:p>
    <w:p>
      <w:r>
        <w:t>Business. Patient scheduling and intake software for outpatient clinics: online booking, waitlist automation, insurance eligibility checks. About 1,900 clinic customers across physical therapy, dermatology and imaging.</w:t>
      </w:r>
    </w:p>
    <w:p>
      <w:r>
        <w:t>Financials. FY25 revenue $31.0M, up 28%. EBITDA margin 22%. Net revenue retention 118%. No customer above 2% of revenue.</w:t>
      </w:r>
    </w:p>
    <w:p>
      <w:r>
        <w:t>Process. LOI signed Sep 30 at $210M enterprise value with 60 days of exclusivity.</w:t>
      </w:r>
    </w:p>
    <w:p>
      <w:r>
        <w:t>Key diligence areas: Epic and Athena integration roadmap, HIPAA compliance and security posture, sales efficiency in new specialties.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Harbor - CIM summary (Brightline Health)</dc:title>
  <dc:subject/>
  <dc:creator>Marcus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