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Harbor - operating model brief</w:t>
      </w:r>
    </w:p>
    <w:p>
      <w:r>
        <w:t>Project Harbor - model brief. Marcus Lee, Oct 7 2026.</w:t>
      </w:r>
    </w:p>
    <w:p>
      <w:r>
        <w:t>Base case (operating model v2): 25.0% annual revenue growth, 22.0% EBITDA margin, FY26 revenue $37.50M and FY26 EBITDA $8.25M, exit at 14.0x FY30 EBITDA. Gross IRR 26.2%, MOIC 3.20x.</w:t>
      </w:r>
    </w:p>
    <w:p>
      <w:r>
        <w:t>Downside: 18% growth, 12x exit, IRR 19%.</w:t>
      </w:r>
    </w:p>
    <w:p>
      <w:r>
        <w:t>Healthcare software multiples have held up better than logistics; no cap applied beyond the valuation policy's general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Harbor - operating model brief</dc:title>
  <dc:subject/>
  <dc:creator>Marcus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