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Kestrel - IC decision: pass (Swiftroute)</w:t>
      </w:r>
    </w:p>
    <w:p>
      <w:r>
        <w:t>Project Kestrel - Investment Committee decision record. Mar 12 2025. Prepared by David Okafor.</w:t>
      </w:r>
    </w:p>
    <w:p>
      <w:r>
        <w:t>Target: Swiftroute, route optimisation SaaS for regional carriers. FY24 revenue $62M, 24% growth, 20% EBITDA margin.</w:t>
      </w:r>
    </w:p>
    <w:p>
      <w:r>
        <w:t>Decision: PASS.</w:t>
      </w:r>
    </w:p>
    <w:p>
      <w:r>
        <w:t>Reasons.</w:t>
        <w:br/>
        <w:t>1. Customer concentration. The top two customers were 22% of revenue. During confirmatory diligence the second-largest customer (11% of revenue) gave notice after being acquired; its acquirer already used a competing platform.</w:t>
        <w:br/>
        <w:t>2. Growth quality. Once that churn was reflected, forward growth fell from 24% to about 9%, and our base case IRR fell from 27% to 14%.</w:t>
        <w:br/>
        <w:t>3. Exit multiple. We had underwritten a 12x exit. Over the eighteen months of our coverage, comparable logistics software transactions compressed from about 12x to 8x EBITDA. At 9x the deal did not work at any price the seller would accept.</w:t>
      </w:r>
    </w:p>
    <w:p>
      <w:r>
        <w:t>Lessons recorded for future logistics software deals.</w:t>
        <w:br/>
        <w:t>- Haircut growth for any customer above 5% of revenue that is renewing during the hold, especially after an M&amp;A event at the customer.</w:t>
        <w:br/>
        <w:t>- Do not underwrite logistics software exits above 10x in the current cycle (Managing Partner house view, Elena Ruiz).</w:t>
        <w:br/>
        <w:t>- Run a customer-level churn scenario before the IC memo, not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Kestrel - IC decision: pass (Swiftroute)</dc:title>
  <dc:subject/>
  <dc:creator>David Okafor</dc:creator>
  <cp:keywords/>
  <dc:description>generated by python-docx</dc:description>
  <cp:lastModifiedBy/>
  <cp:revision>1</cp:revision>
  <dcterms:created xsi:type="dcterms:W3CDTF">2013-12-23T23:15:00Z</dcterms:created>
  <dcterms:modified xsi:type="dcterms:W3CDTF">2013-12-23T23:15:00Z</dcterms:modified>
  <cp:category/>
</cp:coreProperties>
</file>