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Northbeam information barrier (ethical wall) policy</w:t>
      </w:r>
    </w:p>
    <w:p>
      <w:r>
        <w:t>Northbeam Capital - Information barrier policy. Effective Feb 1 2026. Owner: Sam Patel, Chief Compliance Officer (sam@northbeam.com).</w:t>
      </w:r>
    </w:p>
    <w:p>
      <w:r>
        <w:t>Purpose. Deal teams receive confidential and sometimes material non-public information (MNPI) from targets under NDA. Information about a deal must stay inside its deal team.</w:t>
      </w:r>
    </w:p>
    <w:p>
      <w:r>
        <w:t>Rules.</w:t>
        <w:br/>
        <w:t>1. Access to deal materials (models, memos, transcripts, data rooms) is limited to members of that deal team.</w:t>
        <w:br/>
        <w:t>2. Staff must not seek, request or discuss information about deals they are not staffed on.</w:t>
        <w:br/>
        <w:t>3. Systems, including the firm's AI assistant, enforce these walls: they do not retrieve or summarise restricted material for people outside the deal team, and they do not confirm whether restricted material exists.</w:t>
        <w:br/>
        <w:t>4. Access requests and wall-crossing go through Compliance. Contact Sam Patel.</w:t>
        <w:br/>
        <w:t>5. Anonymised lessons may be shared firm-wide through the precedent library once Compliance has approved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Northbeam information barrier (ethical wall) policy</dc:title>
  <dc:subject/>
  <dc:creator>Sam Patel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