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Northbeam valuation and underwriting policy</w:t>
      </w:r>
    </w:p>
    <w:p>
      <w:r>
        <w:t>Northbeam Capital - Valuation and underwriting policy. Effective Jan 15 2026. Owner: Elena Ruiz, Managing Partner.</w:t>
      </w:r>
    </w:p>
    <w:p>
      <w:r>
        <w:t>1. Hurdle. Base case gross IRR of at least 20% and MOIC of at least 2.5x over a five-year hold.</w:t>
        <w:br/>
        <w:t>2. Growth. Underwrite growth from quality of earnings adjusted figures, never from the management case alone. Customers above 5% of revenue with renewals during the hold require an explicit churn scenario.</w:t>
        <w:br/>
        <w:t>3. Exit multiples. The base case exit multiple may not exceed the entry multiple without IC approval. The Managing Partner may set sector caps (house views), which bind all deal teams.</w:t>
        <w:br/>
        <w:t>4. Model versioning. Every deal model is saved as a numbered version. Any document presented to IC must quote the latest model version. If the model changes after the IC memo is drafted, the memo and deck must be refreshed before IC.</w:t>
        <w:br/>
        <w:t>5. Sign-off. The deal lead certifies that IC materials tie to the latest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Northbeam valuation and underwriting policy</dc:title>
  <dc:subject/>
  <dc:creator>Elena Ruiz</dc:creator>
  <cp:keywords/>
  <dc:description>generated by python-docx</dc:description>
  <cp:lastModifiedBy/>
  <cp:revision>1</cp:revision>
  <dcterms:created xsi:type="dcterms:W3CDTF">2013-12-23T23:15:00Z</dcterms:created>
  <dcterms:modified xsi:type="dcterms:W3CDTF">2013-12-23T23:15:00Z</dcterms:modified>
  <cp:category/>
</cp:coreProperties>
</file>