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Precedent library: logistics SaaS pass (2025), anonymised</w:t>
      </w:r>
    </w:p>
    <w:p>
      <w:r>
        <w:t>Precedent library entry - anonymised for firm-wide use. Logistics software buyout, passed at IC in Q1 2025.</w:t>
      </w:r>
    </w:p>
    <w:p>
      <w:r>
        <w:t>What happened. A large customer was acquired during diligence and gave notice. Forward growth roughly halved, and comparable exit multiples compressed by about a third during the process. Base case returns fell below the hurdle.</w:t>
      </w:r>
    </w:p>
    <w:p>
      <w:r>
        <w:t>Firm lessons.</w:t>
        <w:br/>
        <w:t>1. Treat customers above 5% of revenue with a renewal during the hold as at risk, particularly after an acquisition at the customer.</w:t>
        <w:br/>
        <w:t>2. House view (Managing Partner): no logistics software exit multiple above 10x in the current cycle.</w:t>
        <w:br/>
        <w:t>3. Run customer-level churn scenarios before the IC memo is drafted.</w:t>
      </w:r>
    </w:p>
    <w:p>
      <w:r>
        <w:t>Details of the company and deal team are restricted under the information barrier policy. Contact Compliance (Sam Patel) for access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Precedent library: logistics SaaS pass (2025), anonymised</dc:title>
  <dc:subject/>
  <dc:creator>Elena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