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Northbeam investment committee process</w:t>
      </w:r>
    </w:p>
    <w:p>
      <w:r>
        <w:t>Northbeam Capital - Investment committee (IC) process.</w:t>
      </w:r>
    </w:p>
    <w:p>
      <w:r>
        <w:t>Stages: screening, first-round bid, diligence, IC approval, final bid, signing.</w:t>
      </w:r>
    </w:p>
    <w:p>
      <w:r>
        <w:t>IC materials. The IC memo and IC deck are due to committee members three business days before the meeting. All figures must tie to the latest saved version of the operating model (see the valuation policy, section 4).</w:t>
      </w:r>
    </w:p>
    <w:p>
      <w:r>
        <w:t>Required sections: thesis, base case returns, sensitivities, risks, customer concentration analysis, and a statement on any deviation from house views.</w:t>
      </w:r>
    </w:p>
    <w:p>
      <w:r>
        <w:t>Roles. The deal lead (principal or above) owns the memo; the associate owns the model and ties out the numbers; the Managing Partner chairs 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Northbeam investment committee process</dc:title>
  <dc:subject/>
  <dc:creator>Elena Ruiz</dc:creator>
  <cp:keywords/>
  <dc:description>generated by python-docx</dc:description>
  <cp:lastModifiedBy/>
  <cp:revision>1</cp:revision>
  <dcterms:created xsi:type="dcterms:W3CDTF">2013-12-23T23:15:00Z</dcterms:created>
  <dcterms:modified xsi:type="dcterms:W3CDTF">2013-12-23T23:15:00Z</dcterms:modified>
  <cp:category/>
</cp:coreProperties>
</file>