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Falcon - IC memo draft</w:t>
      </w:r>
    </w:p>
    <w:p>
      <w:r>
        <w:t>Project Falcon - Investment Committee memo (DRAFT). Prepared by David Okafor and Priya Shah, Oct 3 2026. IC meeting: Oct 15 2026.</w:t>
      </w:r>
    </w:p>
    <w:p>
      <w:r>
        <w:t>Recommendation. Approve a final bid for 100% of Acme Freight Systems at an enterprise value of $120.00M (about 13.9x FY25 EBITDA), funded with $48.00M of equity and $72.00M of unitranche debt.</w:t>
      </w:r>
    </w:p>
    <w:p>
      <w:r>
        <w:t>Investment thesis.</w:t>
        <w:br/>
        <w:t>1. Sticky mid-market TMS franchise with 93% gross logo retention and 112% net revenue retention.</w:t>
        <w:br/>
        <w:t>2. Underwritten growth of 12.0% a year, a haircut to the CIM case following the quality of earnings work.</w:t>
        <w:br/>
        <w:t>3. Pricing power: reference customers accept 5-7% annual increases.</w:t>
      </w:r>
    </w:p>
    <w:p>
      <w:r>
        <w:t>Base case returns (operating model v2).</w:t>
        <w:br/>
        <w:t>- Revenue growth: 12.0% a year, FY26-FY30</w:t>
        <w:br/>
        <w:t>- FY26 revenue: $53.76M; FY26 EBITDA: $9.68M</w:t>
        <w:br/>
        <w:t>- EBITDA margin held flat at 18.0%</w:t>
        <w:br/>
        <w:t>- Exit multiple: 11.0x FY30 EBITDA</w:t>
        <w:br/>
        <w:t>- Gross IRR: 21.6%; MOIC: 2.66x</w:t>
        <w:br/>
        <w:t>- Net debt at exit: $40.00M (the $72.00M unitranche less scheduled amortisation and the 50% excess cash sweep; see the Halyard Credit term sheet)</w:t>
        <w:br/>
        <w:t>This clears the fund's 20% gross IRR hurdle.</w:t>
      </w:r>
    </w:p>
    <w:p>
      <w:r>
        <w:t>Key risks.</w:t>
        <w:br/>
        <w:t>- Customer concentration: top 10 customers are 31% of ARR; the two largest enterprise accounts renew in FY26.</w:t>
        <w:br/>
        <w:t>- Freight cycle: shipper budgets are under pressure in a soft freight market.</w:t>
        <w:br/>
        <w:t>- Exit multiple: logistics software multiples have been volatile.</w:t>
      </w:r>
    </w:p>
    <w:p>
      <w:r>
        <w:t>Next steps. Management call with the CFO on Oct 6, expert call on freight market conditions, final model by Oct 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Falcon - IC memo draft</dc:title>
  <dc:subject/>
  <dc:creator>David Okafor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