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LAB 1 – REQUIREMENTS ENGINEERING</w:t>
      </w:r>
    </w:p>
    <w:p>
      <w:pPr>
        <w:jc w:val="center"/>
      </w:pPr>
      <w:r>
        <w:rPr>
          <w:b/>
          <w:sz w:val="24"/>
        </w:rPr>
        <w:t>Problem Statement #20: Hospital Bed &amp; ICU Allocation Dashboard</w:t>
      </w:r>
    </w:p>
    <w:p>
      <w:r>
        <w:rPr>
          <w:b/>
        </w:rPr>
        <w:t>Complete Requirements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824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82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824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824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824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1824"/>
            <w:vAlign w:val="top"/>
          </w:tcPr>
          <w:p>
            <w:pPr>
              <w:spacing w:after="0"/>
            </w:pPr>
            <w:r>
              <w:rPr>
                <w:sz w:val="15"/>
              </w:rPr>
              <w:t>FR-001</w:t>
            </w:r>
          </w:p>
        </w:tc>
        <w:tc>
          <w:tcPr>
            <w:tcW w:type="dxa" w:w="1824"/>
            <w:vAlign w:val="top"/>
          </w:tcPr>
          <w:p>
            <w:pPr>
              <w:spacing w:after="0"/>
            </w:pPr>
            <w:r>
              <w:rPr>
                <w:sz w:val="15"/>
              </w:rPr>
              <w:t>Functional</w:t>
            </w:r>
          </w:p>
        </w:tc>
        <w:tc>
          <w:tcPr>
            <w:tcW w:type="dxa" w:w="1824"/>
            <w:vAlign w:val="top"/>
          </w:tcPr>
          <w:p>
            <w:pPr>
              <w:spacing w:after="0"/>
            </w:pPr>
            <w:r>
              <w:rPr>
                <w:sz w:val="15"/>
              </w:rPr>
              <w:t>The system shall compute triage severity scores from intake vitals and dynamically order the ER bed allocation waitlist.</w:t>
            </w:r>
          </w:p>
        </w:tc>
        <w:tc>
          <w:tcPr>
            <w:tcW w:type="dxa" w:w="1824"/>
            <w:vAlign w:val="top"/>
          </w:tcPr>
          <w:p>
            <w:pPr>
              <w:spacing w:after="0"/>
            </w:pPr>
            <w:r>
              <w:rPr>
                <w:sz w:val="15"/>
              </w:rPr>
              <w:t>High</w:t>
            </w:r>
          </w:p>
        </w:tc>
        <w:tc>
          <w:tcPr>
            <w:tcW w:type="dxa" w:w="1824"/>
            <w:vAlign w:val="top"/>
          </w:tcPr>
          <w:p>
            <w:pPr>
              <w:spacing w:after="0"/>
            </w:pPr>
            <w:r>
              <w:rPr>
                <w:sz w:val="15"/>
              </w:rPr>
              <w:t>Pass: A higher-acuity patient automatically moves ahead of a lower-acuity patient. Fail: FIFO queue ignores a critical emergency.</w:t>
            </w:r>
          </w:p>
        </w:tc>
        <w:tc>
          <w:tcPr>
            <w:tcW w:type="dxa" w:w="1824"/>
            <w:vAlign w:val="top"/>
          </w:tcPr>
          <w:p>
            <w:pPr>
              <w:spacing w:after="0"/>
            </w:pPr>
            <w:r>
              <w:rPr>
                <w:sz w:val="15"/>
              </w:rPr>
              <w:t>Ensures critical patients receive priority for available beds.</w:t>
            </w:r>
          </w:p>
        </w:tc>
      </w:tr>
      <w:tr>
        <w:tc>
          <w:tcPr>
            <w:tcW w:type="dxa" w:w="1824"/>
            <w:vAlign w:val="top"/>
          </w:tcPr>
          <w:p>
            <w:pPr>
              <w:spacing w:after="0"/>
            </w:pPr>
            <w:r>
              <w:rPr>
                <w:sz w:val="15"/>
              </w:rPr>
              <w:t>FR-002</w:t>
            </w:r>
          </w:p>
        </w:tc>
        <w:tc>
          <w:tcPr>
            <w:tcW w:type="dxa" w:w="1824"/>
            <w:vAlign w:val="top"/>
          </w:tcPr>
          <w:p>
            <w:pPr>
              <w:spacing w:after="0"/>
            </w:pPr>
            <w:r>
              <w:rPr>
                <w:sz w:val="15"/>
              </w:rPr>
              <w:t>Functional</w:t>
            </w:r>
          </w:p>
        </w:tc>
        <w:tc>
          <w:tcPr>
            <w:tcW w:type="dxa" w:w="1824"/>
            <w:vAlign w:val="top"/>
          </w:tcPr>
          <w:p>
            <w:pPr>
              <w:spacing w:after="0"/>
            </w:pPr>
            <w:r>
              <w:rPr>
                <w:sz w:val="15"/>
              </w:rPr>
              <w:t>The system shall display real-time ward and ICU bed occupancy and current bed status.</w:t>
            </w:r>
          </w:p>
        </w:tc>
        <w:tc>
          <w:tcPr>
            <w:tcW w:type="dxa" w:w="1824"/>
            <w:vAlign w:val="top"/>
          </w:tcPr>
          <w:p>
            <w:pPr>
              <w:spacing w:after="0"/>
            </w:pPr>
            <w:r>
              <w:rPr>
                <w:sz w:val="15"/>
              </w:rPr>
              <w:t>High</w:t>
            </w:r>
          </w:p>
        </w:tc>
        <w:tc>
          <w:tcPr>
            <w:tcW w:type="dxa" w:w="1824"/>
            <w:vAlign w:val="top"/>
          </w:tcPr>
          <w:p>
            <w:pPr>
              <w:spacing w:after="0"/>
            </w:pPr>
            <w:r>
              <w:rPr>
                <w:sz w:val="15"/>
              </w:rPr>
              <w:t>Pass: A changed bed status is reflected on connected dashboards within 1 second. Fail: the dashboard continues to show the previous status after the update.</w:t>
            </w:r>
          </w:p>
        </w:tc>
        <w:tc>
          <w:tcPr>
            <w:tcW w:type="dxa" w:w="1824"/>
            <w:vAlign w:val="top"/>
          </w:tcPr>
          <w:p>
            <w:pPr>
              <w:spacing w:after="0"/>
            </w:pPr>
            <w:r>
              <w:rPr>
                <w:sz w:val="15"/>
              </w:rPr>
              <w:t>Helps staff identify available beds quickly.</w:t>
            </w:r>
          </w:p>
        </w:tc>
      </w:tr>
      <w:tr>
        <w:tc>
          <w:tcPr>
            <w:tcW w:type="dxa" w:w="1824"/>
            <w:vAlign w:val="top"/>
          </w:tcPr>
          <w:p>
            <w:pPr>
              <w:spacing w:after="0"/>
            </w:pPr>
            <w:r>
              <w:rPr>
                <w:sz w:val="15"/>
              </w:rPr>
              <w:t>FR-003</w:t>
            </w:r>
          </w:p>
        </w:tc>
        <w:tc>
          <w:tcPr>
            <w:tcW w:type="dxa" w:w="1824"/>
            <w:vAlign w:val="top"/>
          </w:tcPr>
          <w:p>
            <w:pPr>
              <w:spacing w:after="0"/>
            </w:pPr>
            <w:r>
              <w:rPr>
                <w:sz w:val="15"/>
              </w:rPr>
              <w:t>Functional</w:t>
            </w:r>
          </w:p>
        </w:tc>
        <w:tc>
          <w:tcPr>
            <w:tcW w:type="dxa" w:w="1824"/>
            <w:vAlign w:val="top"/>
          </w:tcPr>
          <w:p>
            <w:pPr>
              <w:spacing w:after="0"/>
            </w:pPr>
            <w:r>
              <w:rPr>
                <w:sz w:val="15"/>
              </w:rPr>
              <w:t>The system shall allow authorized hospital staff to initiate and track inter-facility ambulance transfer requests.</w:t>
            </w:r>
          </w:p>
        </w:tc>
        <w:tc>
          <w:tcPr>
            <w:tcW w:type="dxa" w:w="1824"/>
            <w:vAlign w:val="top"/>
          </w:tcPr>
          <w:p>
            <w:pPr>
              <w:spacing w:after="0"/>
            </w:pPr>
            <w:r>
              <w:rPr>
                <w:sz w:val="15"/>
              </w:rPr>
              <w:t>High</w:t>
            </w:r>
          </w:p>
        </w:tc>
        <w:tc>
          <w:tcPr>
            <w:tcW w:type="dxa" w:w="1824"/>
            <w:vAlign w:val="top"/>
          </w:tcPr>
          <w:p>
            <w:pPr>
              <w:spacing w:after="0"/>
            </w:pPr>
            <w:r>
              <w:rPr>
                <w:sz w:val="15"/>
              </w:rPr>
              <w:t>Pass: Staff can create a transfer request and view its current status. Fail: a request cannot be created or tracked.</w:t>
            </w:r>
          </w:p>
        </w:tc>
        <w:tc>
          <w:tcPr>
            <w:tcW w:type="dxa" w:w="1824"/>
            <w:vAlign w:val="top"/>
          </w:tcPr>
          <w:p>
            <w:pPr>
              <w:spacing w:after="0"/>
            </w:pPr>
            <w:r>
              <w:rPr>
                <w:sz w:val="15"/>
              </w:rPr>
              <w:t>Supports coordination of time-sensitive patient transfers.</w:t>
            </w:r>
          </w:p>
        </w:tc>
      </w:tr>
      <w:tr>
        <w:tc>
          <w:tcPr>
            <w:tcW w:type="dxa" w:w="1824"/>
            <w:vAlign w:val="top"/>
          </w:tcPr>
          <w:p>
            <w:pPr>
              <w:spacing w:after="0"/>
            </w:pPr>
            <w:r>
              <w:rPr>
                <w:sz w:val="15"/>
              </w:rPr>
              <w:t>FR-004</w:t>
            </w:r>
          </w:p>
        </w:tc>
        <w:tc>
          <w:tcPr>
            <w:tcW w:type="dxa" w:w="1824"/>
            <w:vAlign w:val="top"/>
          </w:tcPr>
          <w:p>
            <w:pPr>
              <w:spacing w:after="0"/>
            </w:pPr>
            <w:r>
              <w:rPr>
                <w:sz w:val="15"/>
              </w:rPr>
              <w:t>Functional</w:t>
            </w:r>
          </w:p>
        </w:tc>
        <w:tc>
          <w:tcPr>
            <w:tcW w:type="dxa" w:w="1824"/>
            <w:vAlign w:val="top"/>
          </w:tcPr>
          <w:p>
            <w:pPr>
              <w:spacing w:after="0"/>
            </w:pPr>
            <w:r>
              <w:rPr>
                <w:sz w:val="15"/>
              </w:rPr>
              <w:t>The system shall allow the hospital administrator to update and manage bed status information.</w:t>
            </w:r>
          </w:p>
        </w:tc>
        <w:tc>
          <w:tcPr>
            <w:tcW w:type="dxa" w:w="1824"/>
            <w:vAlign w:val="top"/>
          </w:tcPr>
          <w:p>
            <w:pPr>
              <w:spacing w:after="0"/>
            </w:pPr>
            <w:r>
              <w:rPr>
                <w:sz w:val="15"/>
              </w:rPr>
              <w:t>Medium</w:t>
            </w:r>
          </w:p>
        </w:tc>
        <w:tc>
          <w:tcPr>
            <w:tcW w:type="dxa" w:w="1824"/>
            <w:vAlign w:val="top"/>
          </w:tcPr>
          <w:p>
            <w:pPr>
              <w:spacing w:after="0"/>
            </w:pPr>
            <w:r>
              <w:rPr>
                <w:sz w:val="15"/>
              </w:rPr>
              <w:t>Pass: An authorized administrator can change a bed status and the updated status appears on the dashboard. Fail: an unauthorized user can change the status.</w:t>
            </w:r>
          </w:p>
        </w:tc>
        <w:tc>
          <w:tcPr>
            <w:tcW w:type="dxa" w:w="1824"/>
            <w:vAlign w:val="top"/>
          </w:tcPr>
          <w:p>
            <w:pPr>
              <w:spacing w:after="0"/>
            </w:pPr>
            <w:r>
              <w:rPr>
                <w:sz w:val="15"/>
              </w:rPr>
              <w:t>Keeps bed availability information accurate and controlled.</w:t>
            </w:r>
          </w:p>
        </w:tc>
      </w:tr>
      <w:tr>
        <w:tc>
          <w:tcPr>
            <w:tcW w:type="dxa" w:w="1824"/>
            <w:vAlign w:val="top"/>
          </w:tcPr>
          <w:p>
            <w:pPr>
              <w:spacing w:after="0"/>
            </w:pPr>
            <w:r>
              <w:rPr>
                <w:sz w:val="15"/>
              </w:rPr>
              <w:t>FR-005</w:t>
            </w:r>
          </w:p>
        </w:tc>
        <w:tc>
          <w:tcPr>
            <w:tcW w:type="dxa" w:w="1824"/>
            <w:vAlign w:val="top"/>
          </w:tcPr>
          <w:p>
            <w:pPr>
              <w:spacing w:after="0"/>
            </w:pPr>
            <w:r>
              <w:rPr>
                <w:sz w:val="15"/>
              </w:rPr>
              <w:t>Functional</w:t>
            </w:r>
          </w:p>
        </w:tc>
        <w:tc>
          <w:tcPr>
            <w:tcW w:type="dxa" w:w="1824"/>
            <w:vAlign w:val="top"/>
          </w:tcPr>
          <w:p>
            <w:pPr>
              <w:spacing w:after="0"/>
            </w:pPr>
            <w:r>
              <w:rPr>
                <w:sz w:val="15"/>
              </w:rPr>
              <w:t>The system shall notify relevant staff when an ICU transfer or ambulance transfer requires action.</w:t>
            </w:r>
          </w:p>
        </w:tc>
        <w:tc>
          <w:tcPr>
            <w:tcW w:type="dxa" w:w="1824"/>
            <w:vAlign w:val="top"/>
          </w:tcPr>
          <w:p>
            <w:pPr>
              <w:spacing w:after="0"/>
            </w:pPr>
            <w:r>
              <w:rPr>
                <w:sz w:val="15"/>
              </w:rPr>
              <w:t>Medium</w:t>
            </w:r>
          </w:p>
        </w:tc>
        <w:tc>
          <w:tcPr>
            <w:tcW w:type="dxa" w:w="1824"/>
            <w:vAlign w:val="top"/>
          </w:tcPr>
          <w:p>
            <w:pPr>
              <w:spacing w:after="0"/>
            </w:pPr>
            <w:r>
              <w:rPr>
                <w:sz w:val="15"/>
              </w:rPr>
              <w:t>Pass: A notification is generated for a pending transfer action. Fail: no notification is generated for the pending action.</w:t>
            </w:r>
          </w:p>
        </w:tc>
        <w:tc>
          <w:tcPr>
            <w:tcW w:type="dxa" w:w="1824"/>
            <w:vAlign w:val="top"/>
          </w:tcPr>
          <w:p>
            <w:pPr>
              <w:spacing w:after="0"/>
            </w:pPr>
            <w:r>
              <w:rPr>
                <w:sz w:val="15"/>
              </w:rPr>
              <w:t>Reduces delays in transfer workflows.</w:t>
            </w:r>
          </w:p>
        </w:tc>
      </w:tr>
      <w:tr>
        <w:tc>
          <w:tcPr>
            <w:tcW w:type="dxa" w:w="1824"/>
            <w:vAlign w:val="top"/>
          </w:tcPr>
          <w:p>
            <w:pPr>
              <w:spacing w:after="0"/>
            </w:pPr>
            <w:r>
              <w:rPr>
                <w:sz w:val="15"/>
              </w:rPr>
              <w:t>NFR-001</w:t>
            </w:r>
          </w:p>
        </w:tc>
        <w:tc>
          <w:tcPr>
            <w:tcW w:type="dxa" w:w="1824"/>
            <w:vAlign w:val="top"/>
          </w:tcPr>
          <w:p>
            <w:pPr>
              <w:spacing w:after="0"/>
            </w:pPr>
            <w:r>
              <w:rPr>
                <w:sz w:val="15"/>
              </w:rPr>
              <w:t>Nonfunctional</w:t>
            </w:r>
          </w:p>
        </w:tc>
        <w:tc>
          <w:tcPr>
            <w:tcW w:type="dxa" w:w="1824"/>
            <w:vAlign w:val="top"/>
          </w:tcPr>
          <w:p>
            <w:pPr>
              <w:spacing w:after="0"/>
            </w:pPr>
            <w:r>
              <w:rPr>
                <w:sz w:val="15"/>
              </w:rPr>
              <w:t>Bed status transitions (Occupied, Cleaning, Available) must propagate to all connected ER dashboard clients in under 1 second via WebSockets.</w:t>
            </w:r>
          </w:p>
        </w:tc>
        <w:tc>
          <w:tcPr>
            <w:tcW w:type="dxa" w:w="1824"/>
            <w:vAlign w:val="top"/>
          </w:tcPr>
          <w:p>
            <w:pPr>
              <w:spacing w:after="0"/>
            </w:pPr>
            <w:r>
              <w:rPr>
                <w:sz w:val="15"/>
              </w:rPr>
              <w:t>High</w:t>
            </w:r>
          </w:p>
        </w:tc>
        <w:tc>
          <w:tcPr>
            <w:tcW w:type="dxa" w:w="1824"/>
            <w:vAlign w:val="top"/>
          </w:tcPr>
          <w:p>
            <w:pPr>
              <w:spacing w:after="0"/>
            </w:pPr>
            <w:r>
              <w:rPr>
                <w:sz w:val="15"/>
              </w:rPr>
              <w:t>Pass: Benchmarking confirms the target latency and security standards under simulated peak load.</w:t>
            </w:r>
          </w:p>
        </w:tc>
        <w:tc>
          <w:tcPr>
            <w:tcW w:type="dxa" w:w="1824"/>
            <w:vAlign w:val="top"/>
          </w:tcPr>
          <w:p>
            <w:pPr>
              <w:spacing w:after="0"/>
            </w:pPr>
            <w:r>
              <w:rPr>
                <w:sz w:val="15"/>
              </w:rPr>
              <w:t>Provides timely bed availability information during emergencies.</w:t>
            </w:r>
          </w:p>
        </w:tc>
      </w:tr>
      <w:tr>
        <w:tc>
          <w:tcPr>
            <w:tcW w:type="dxa" w:w="1824"/>
            <w:vAlign w:val="top"/>
          </w:tcPr>
          <w:p>
            <w:pPr>
              <w:spacing w:after="0"/>
            </w:pPr>
            <w:r>
              <w:rPr>
                <w:sz w:val="15"/>
              </w:rPr>
              <w:t>NFR-002</w:t>
            </w:r>
          </w:p>
        </w:tc>
        <w:tc>
          <w:tcPr>
            <w:tcW w:type="dxa" w:w="1824"/>
            <w:vAlign w:val="top"/>
          </w:tcPr>
          <w:p>
            <w:pPr>
              <w:spacing w:after="0"/>
            </w:pPr>
            <w:r>
              <w:rPr>
                <w:sz w:val="15"/>
              </w:rPr>
              <w:t>Nonfunctional</w:t>
            </w:r>
          </w:p>
        </w:tc>
        <w:tc>
          <w:tcPr>
            <w:tcW w:type="dxa" w:w="1824"/>
            <w:vAlign w:val="top"/>
          </w:tcPr>
          <w:p>
            <w:pPr>
              <w:spacing w:after="0"/>
            </w:pPr>
            <w:r>
              <w:rPr>
                <w:sz w:val="15"/>
              </w:rPr>
              <w:t>The system shall restrict access to patient and bed-management functions to authenticated and authorized users.</w:t>
            </w:r>
          </w:p>
        </w:tc>
        <w:tc>
          <w:tcPr>
            <w:tcW w:type="dxa" w:w="1824"/>
            <w:vAlign w:val="top"/>
          </w:tcPr>
          <w:p>
            <w:pPr>
              <w:spacing w:after="0"/>
            </w:pPr>
            <w:r>
              <w:rPr>
                <w:sz w:val="15"/>
              </w:rPr>
              <w:t>High</w:t>
            </w:r>
          </w:p>
        </w:tc>
        <w:tc>
          <w:tcPr>
            <w:tcW w:type="dxa" w:w="1824"/>
            <w:vAlign w:val="top"/>
          </w:tcPr>
          <w:p>
            <w:pPr>
              <w:spacing w:after="0"/>
            </w:pPr>
            <w:r>
              <w:rPr>
                <w:sz w:val="15"/>
              </w:rPr>
              <w:t>Pass: Only authenticated users with the required role can access protected functions. Fail: an unauthenticated or unauthorized user gains access.</w:t>
            </w:r>
          </w:p>
        </w:tc>
        <w:tc>
          <w:tcPr>
            <w:tcW w:type="dxa" w:w="1824"/>
            <w:vAlign w:val="top"/>
          </w:tcPr>
          <w:p>
            <w:pPr>
              <w:spacing w:after="0"/>
            </w:pPr>
            <w:r>
              <w:rPr>
                <w:sz w:val="15"/>
              </w:rPr>
              <w:t>Protects sensitive healthcare information and prevents unauthorized changes.</w:t>
            </w:r>
          </w:p>
        </w:tc>
      </w:tr>
    </w:tbl>
    <w:p>
      <w:r>
        <w:t>Actors for UML model: Triage Nurse, Hospital Administrator, Ambulance Service.</w:t>
      </w:r>
    </w:p>
    <w:sectPr w:rsidR="00FC693F" w:rsidRPr="0006063C" w:rsidSect="00034616">
      <w:pgSz w:w="12240" w:h="15840"/>
      <w:pgMar w:top="792" w:right="648" w:bottom="792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