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20" w:after="240"/>
        <w:jc w:val="center"/>
      </w:pPr>
      <w:r>
        <w:rPr>
          <w:rFonts w:ascii="Microsoft YaHei" w:hAnsi="Microsoft YaHei" w:eastAsia="Microsoft YaHei"/>
          <w:b/>
          <w:color w:val="000000"/>
          <w:sz w:val="48"/>
        </w:rPr>
        <w:t>MiniDB 软件需求规格说明书</w:t>
      </w:r>
    </w:p>
    <w:p>
      <w:pPr>
        <w:spacing w:after="440"/>
        <w:jc w:val="center"/>
      </w:pPr>
      <w:r>
        <w:rPr>
          <w:rFonts w:ascii="Microsoft YaHei" w:hAnsi="Microsoft YaHei" w:eastAsia="Microsoft YaHei"/>
          <w:b w:val="0"/>
          <w:color w:val="666666"/>
          <w:sz w:val="24"/>
        </w:rPr>
        <w:t>面向四人课程实训小组的可实现需求基线</w:t>
      </w:r>
    </w:p>
    <w:tbl>
      <w:tblPr>
        <w:tblStyle w:val="TableGrid"/>
        <w:tblW w:type="auto" w:w="0"/>
        <w:jc w:val="center"/>
        <w:tblLook w:firstColumn="1" w:firstRow="1" w:lastColumn="0" w:lastRow="0" w:noHBand="0" w:noVBand="1" w:val="04A0"/>
      </w:tblPr>
      <w:tblGrid>
        <w:gridCol w:w="5026"/>
        <w:gridCol w:w="5026"/>
      </w:tblGrid>
      <w:tr>
        <w:trPr>
          <w:tblHeader w:val="true"/>
        </w:trPr>
        <w:tc>
          <w:tcPr>
            <w:tcW w:type="dxa" w:w="1944"/>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文档属性</w:t>
            </w:r>
          </w:p>
        </w:tc>
        <w:tc>
          <w:tcPr>
            <w:tcW w:type="dxa" w:w="7704"/>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内容</w:t>
            </w:r>
          </w:p>
        </w:tc>
      </w:tr>
      <w:tr>
        <w:tc>
          <w:tcPr>
            <w:tcW w:type="dxa" w:w="194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版本</w:t>
            </w:r>
          </w:p>
        </w:tc>
        <w:tc>
          <w:tcPr>
            <w:tcW w:type="dxa" w:w="77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V1.0</w:t>
            </w:r>
          </w:p>
        </w:tc>
      </w:tr>
      <w:tr>
        <w:tc>
          <w:tcPr>
            <w:tcW w:type="dxa" w:w="194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项目名称</w:t>
            </w:r>
          </w:p>
        </w:tc>
        <w:tc>
          <w:tcPr>
            <w:tcW w:type="dxa" w:w="770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MiniDB 简化数据库管理系统</w:t>
            </w:r>
          </w:p>
        </w:tc>
      </w:tr>
      <w:tr>
        <w:tc>
          <w:tcPr>
            <w:tcW w:type="dxa" w:w="194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目标读者</w:t>
            </w:r>
          </w:p>
        </w:tc>
        <w:tc>
          <w:tcPr>
            <w:tcW w:type="dxa" w:w="77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项目组成员、课程指导教师</w:t>
            </w:r>
          </w:p>
        </w:tc>
      </w:tr>
      <w:tr>
        <w:tc>
          <w:tcPr>
            <w:tcW w:type="dxa" w:w="194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状态</w:t>
            </w:r>
          </w:p>
        </w:tc>
        <w:tc>
          <w:tcPr>
            <w:tcW w:type="dxa" w:w="770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开发需求基线</w:t>
            </w:r>
          </w:p>
        </w:tc>
      </w:tr>
      <w:tr>
        <w:tc>
          <w:tcPr>
            <w:tcW w:type="dxa" w:w="194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编制依据</w:t>
            </w:r>
          </w:p>
        </w:tc>
        <w:tc>
          <w:tcPr>
            <w:tcW w:type="dxa" w:w="77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实习指导书、SQL 编译器课件、数据库系统课件</w:t>
            </w:r>
          </w:p>
        </w:tc>
      </w:tr>
    </w:tbl>
    <w:p>
      <w:pPr>
        <w:spacing w:after="20"/>
      </w:pPr>
    </w:p>
    <w:p>
      <w:pPr>
        <w:spacing w:after="100" w:line="324" w:lineRule="auto"/>
      </w:pPr>
      <w:r>
        <w:rPr>
          <w:rFonts w:ascii="Microsoft YaHei" w:hAnsi="Microsoft YaHei" w:eastAsia="Microsoft YaHei"/>
          <w:b w:val="0"/>
          <w:sz w:val="21"/>
        </w:rPr>
        <w:t>本说明书定义本组 MiniDB 的功能边界、模块接口、验收条件与四人协作方式。第一阶段以“从 SQL 文本到持久化数据页”的端到端闭环为交付目标，所有实现均应围绕可执行、可测试、可持久化的最小系统展开。</w:t>
      </w:r>
    </w:p>
    <w:p>
      <w:r>
        <w:br w:type="page"/>
      </w:r>
    </w:p>
    <w:p>
      <w:pPr>
        <w:pStyle w:val="Heading1"/>
        <w:spacing w:before="240" w:after="100"/>
      </w:pPr>
      <w:r>
        <w:rPr>
          <w:rFonts w:ascii="Microsoft YaHei" w:hAnsi="Microsoft YaHei" w:eastAsia="Microsoft YaHei"/>
          <w:b/>
          <w:color w:val="17365D"/>
          <w:sz w:val="30"/>
        </w:rPr>
        <w:t>1 项目目标与范围</w:t>
      </w:r>
    </w:p>
    <w:p>
      <w:pPr>
        <w:spacing w:after="100" w:line="324" w:lineRule="auto"/>
      </w:pPr>
      <w:r>
        <w:rPr>
          <w:rFonts w:ascii="Microsoft YaHei" w:hAnsi="Microsoft YaHei" w:eastAsia="Microsoft YaHei"/>
          <w:b w:val="0"/>
          <w:sz w:val="21"/>
        </w:rPr>
        <w:t>MiniDB 是一个教学用途的简化关系型数据库系统。它接收 SQL 文本，经词法分析、语法分析、语义检查和逻辑计划生成后，由执行引擎调用页式存储系统完成数据定义、数据写入、条件查询与删除。系统关闭并重新启动后，表定义和已写入数据必须仍可访问。</w:t>
      </w:r>
    </w:p>
    <w:p>
      <w:pPr>
        <w:pStyle w:val="Heading2"/>
        <w:spacing w:before="160" w:after="100"/>
      </w:pPr>
      <w:r>
        <w:rPr>
          <w:rFonts w:ascii="Microsoft YaHei" w:hAnsi="Microsoft YaHei" w:eastAsia="Microsoft YaHei"/>
          <w:b/>
          <w:color w:val="1F4E78"/>
          <w:sz w:val="25"/>
        </w:rPr>
        <w:t>1.1 必做范围</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72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领域</w:t>
            </w:r>
          </w:p>
        </w:tc>
        <w:tc>
          <w:tcPr>
            <w:tcW w:type="dxa" w:w="468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必做能力</w:t>
            </w:r>
          </w:p>
        </w:tc>
        <w:tc>
          <w:tcPr>
            <w:tcW w:type="dxa" w:w="324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可观察结果</w:t>
            </w:r>
          </w:p>
        </w:tc>
      </w:tr>
      <w:tr>
        <w:tc>
          <w:tcPr>
            <w:tcW w:type="dxa" w:w="17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SQL 编译器</w:t>
            </w:r>
          </w:p>
        </w:tc>
        <w:tc>
          <w:tcPr>
            <w:tcW w:type="dxa" w:w="468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Token、AST、语义检查、逻辑执行计划</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可输出各阶段结果或结构化调试信息</w:t>
            </w:r>
          </w:p>
        </w:tc>
      </w:tr>
      <w:tr>
        <w:tc>
          <w:tcPr>
            <w:tcW w:type="dxa" w:w="172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SQL 子集</w:t>
            </w:r>
          </w:p>
        </w:tc>
        <w:tc>
          <w:tcPr>
            <w:tcW w:type="dxa" w:w="468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CREATE TABLE、INSERT、SELECT ... WHERE、DELETE ... WHERE</w:t>
            </w:r>
          </w:p>
        </w:tc>
        <w:tc>
          <w:tcPr>
            <w:tcW w:type="dxa" w:w="324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正确执行并返回结果或可定位错误</w:t>
            </w:r>
          </w:p>
        </w:tc>
      </w:tr>
      <w:tr>
        <w:tc>
          <w:tcPr>
            <w:tcW w:type="dxa" w:w="17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存储系统</w:t>
            </w:r>
          </w:p>
        </w:tc>
        <w:tc>
          <w:tcPr>
            <w:tcW w:type="dxa" w:w="468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固定页、页分配/释放/读写、缓冲池、替换与刷新</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数据落盘，缓存统计和替换日志可查看</w:t>
            </w:r>
          </w:p>
        </w:tc>
      </w:tr>
      <w:tr>
        <w:tc>
          <w:tcPr>
            <w:tcW w:type="dxa" w:w="172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数据库引擎</w:t>
            </w:r>
          </w:p>
        </w:tc>
        <w:tc>
          <w:tcPr>
            <w:tcW w:type="dxa" w:w="468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CreateTable、Insert、SeqScan、Filter、Project、Delete</w:t>
            </w:r>
          </w:p>
        </w:tc>
        <w:tc>
          <w:tcPr>
            <w:tcW w:type="dxa" w:w="324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按计划执行并通过存储接口访问数据</w:t>
            </w:r>
          </w:p>
        </w:tc>
      </w:tr>
      <w:tr>
        <w:tc>
          <w:tcPr>
            <w:tcW w:type="dxa" w:w="17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元数据</w:t>
            </w:r>
          </w:p>
        </w:tc>
        <w:tc>
          <w:tcPr>
            <w:tcW w:type="dxa" w:w="468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表名、列名、列类型、表页映射</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作为特殊目录表持久化并在重启后恢复</w:t>
            </w:r>
          </w:p>
        </w:tc>
      </w:tr>
      <w:tr>
        <w:tc>
          <w:tcPr>
            <w:tcW w:type="dxa" w:w="172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交互与测试</w:t>
            </w:r>
          </w:p>
        </w:tc>
        <w:tc>
          <w:tcPr>
            <w:tcW w:type="dxa" w:w="468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CLI 或等价 API，自动化测试</w:t>
            </w:r>
          </w:p>
        </w:tc>
        <w:tc>
          <w:tcPr>
            <w:tcW w:type="dxa" w:w="324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可复现实验链路和错误场景</w:t>
            </w:r>
          </w:p>
        </w:tc>
      </w:tr>
    </w:tbl>
    <w:p>
      <w:pPr>
        <w:spacing w:after="20"/>
      </w:pPr>
    </w:p>
    <w:p>
      <w:pPr>
        <w:pStyle w:val="Heading2"/>
        <w:spacing w:before="160" w:after="100"/>
      </w:pPr>
      <w:r>
        <w:rPr>
          <w:rFonts w:ascii="Microsoft YaHei" w:hAnsi="Microsoft YaHei" w:eastAsia="Microsoft YaHei"/>
          <w:b/>
          <w:color w:val="1F4E78"/>
          <w:sz w:val="25"/>
        </w:rPr>
        <w:t>1.2 非目标与可选扩展</w:t>
      </w:r>
    </w:p>
    <w:p>
      <w:pPr>
        <w:spacing w:after="100" w:line="324" w:lineRule="auto"/>
      </w:pPr>
      <w:r>
        <w:rPr>
          <w:rFonts w:ascii="Microsoft YaHei" w:hAnsi="Microsoft YaHei" w:eastAsia="Microsoft YaHei"/>
          <w:b/>
          <w:color w:val="17365D"/>
          <w:sz w:val="21"/>
        </w:rPr>
        <w:t>下列能力</w:t>
      </w:r>
      <w:r>
        <w:rPr>
          <w:rFonts w:ascii="Microsoft YaHei" w:hAnsi="Microsoft YaHei" w:eastAsia="Microsoft YaHei"/>
          <w:b w:val="0"/>
          <w:sz w:val="21"/>
        </w:rPr>
        <w:t>不属于本次验收的前置条件：事务和并发控制、权限控制、崩溃恢复日志、B+ 树索引、JOIN、GROUP BY、ORDER BY、UPDATE、代价优化器和网络服务。核心闭环稳定后，可按优先级选做。</w:t>
      </w:r>
    </w:p>
    <w:p>
      <w:pPr>
        <w:pStyle w:val="ListBullet"/>
        <w:spacing w:after="40" w:line="300" w:lineRule="auto"/>
      </w:pPr>
      <w:r>
        <w:rPr>
          <w:rFonts w:ascii="Microsoft YaHei" w:hAnsi="Microsoft YaHei" w:eastAsia="Microsoft YaHei"/>
          <w:b w:val="0"/>
          <w:sz w:val="21"/>
        </w:rPr>
        <w:t>优先扩展：AND、OR、NOT、括号、常量折叠和恒真条件消除。</w:t>
      </w:r>
    </w:p>
    <w:p>
      <w:pPr>
        <w:pStyle w:val="ListBullet"/>
        <w:spacing w:after="40" w:line="300" w:lineRule="auto"/>
      </w:pPr>
      <w:r>
        <w:rPr>
          <w:rFonts w:ascii="Microsoft YaHei" w:hAnsi="Microsoft YaHei" w:eastAsia="Microsoft YaHei"/>
          <w:b w:val="0"/>
          <w:sz w:val="21"/>
        </w:rPr>
        <w:t>后续扩展：UPDATE、ORDER BY、GROUP BY、JOIN、NULL 与更多数据类型。</w:t>
      </w:r>
    </w:p>
    <w:p>
      <w:pPr>
        <w:pStyle w:val="ListBullet"/>
        <w:spacing w:after="40" w:line="300" w:lineRule="auto"/>
      </w:pPr>
      <w:r>
        <w:rPr>
          <w:rFonts w:ascii="Microsoft YaHei" w:hAnsi="Microsoft YaHei" w:eastAsia="Microsoft YaHei"/>
          <w:b w:val="0"/>
          <w:sz w:val="21"/>
        </w:rPr>
        <w:t>性能扩展：索引扫描、谓词下推、投影裁剪、简单代价模型。</w:t>
      </w:r>
    </w:p>
    <w:p>
      <w:pPr>
        <w:pStyle w:val="Heading1"/>
        <w:spacing w:before="240" w:after="100"/>
      </w:pPr>
      <w:r>
        <w:rPr>
          <w:rFonts w:ascii="Microsoft YaHei" w:hAnsi="Microsoft YaHei" w:eastAsia="Microsoft YaHei"/>
          <w:b/>
          <w:color w:val="17365D"/>
          <w:sz w:val="30"/>
        </w:rPr>
        <w:t>2 用户角色与使用场景</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656"/>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角色</w:t>
            </w:r>
          </w:p>
        </w:tc>
        <w:tc>
          <w:tcPr>
            <w:tcW w:type="dxa" w:w="496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主要动作</w:t>
            </w:r>
          </w:p>
        </w:tc>
        <w:tc>
          <w:tcPr>
            <w:tcW w:type="dxa" w:w="3024"/>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系统反馈</w:t>
            </w:r>
          </w:p>
        </w:tc>
      </w:tr>
      <w:tr>
        <w:tc>
          <w:tcPr>
            <w:tcW w:type="dxa" w:w="165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CLI 用户</w:t>
            </w:r>
          </w:p>
        </w:tc>
        <w:tc>
          <w:tcPr>
            <w:tcW w:type="dxa" w:w="496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输入单条或多条 SQL，查询结果，退出系统</w:t>
            </w:r>
          </w:p>
        </w:tc>
        <w:tc>
          <w:tcPr>
            <w:tcW w:type="dxa" w:w="302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执行成功信息、结果集或标准化错误</w:t>
            </w:r>
          </w:p>
        </w:tc>
      </w:tr>
      <w:tr>
        <w:tc>
          <w:tcPr>
            <w:tcW w:type="dxa" w:w="165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开发者</w:t>
            </w:r>
          </w:p>
        </w:tc>
        <w:tc>
          <w:tcPr>
            <w:tcW w:type="dxa" w:w="496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查看 Token、AST、语义结果、执行计划和缓存日志</w:t>
            </w:r>
          </w:p>
        </w:tc>
        <w:tc>
          <w:tcPr>
            <w:tcW w:type="dxa" w:w="302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结构化诊断输出，便于定位模块问题</w:t>
            </w:r>
          </w:p>
        </w:tc>
      </w:tr>
      <w:tr>
        <w:tc>
          <w:tcPr>
            <w:tcW w:type="dxa" w:w="165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测试者</w:t>
            </w:r>
          </w:p>
        </w:tc>
        <w:tc>
          <w:tcPr>
            <w:tcW w:type="dxa" w:w="496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运行正常、错误、边界和重启持久化测试</w:t>
            </w:r>
          </w:p>
        </w:tc>
        <w:tc>
          <w:tcPr>
            <w:tcW w:type="dxa" w:w="302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可断言的返回值、日志及持久化结果</w:t>
            </w:r>
          </w:p>
        </w:tc>
      </w:tr>
    </w:tbl>
    <w:p>
      <w:pPr>
        <w:spacing w:after="20"/>
      </w:pPr>
    </w:p>
    <w:p>
      <w:pPr>
        <w:pStyle w:val="Heading2"/>
        <w:spacing w:before="160" w:after="100"/>
      </w:pPr>
      <w:r>
        <w:rPr>
          <w:rFonts w:ascii="Microsoft YaHei" w:hAnsi="Microsoft YaHei" w:eastAsia="Microsoft YaHei"/>
          <w:b/>
          <w:color w:val="1F4E78"/>
          <w:sz w:val="25"/>
        </w:rPr>
        <w:t>2.1 主成功场景</w:t>
      </w:r>
    </w:p>
    <w:p>
      <w:pPr>
        <w:pStyle w:val="ListBullet"/>
        <w:spacing w:after="40" w:line="300" w:lineRule="auto"/>
      </w:pPr>
      <w:r>
        <w:rPr>
          <w:rFonts w:ascii="Microsoft YaHei" w:hAnsi="Microsoft YaHei" w:eastAsia="Microsoft YaHei"/>
          <w:b w:val="0"/>
          <w:sz w:val="21"/>
        </w:rPr>
        <w:t>用户创建 student 表，系统在目录中登记列定义并为该表建立数据页映射。</w:t>
      </w:r>
    </w:p>
    <w:p>
      <w:pPr>
        <w:pStyle w:val="ListBullet"/>
        <w:spacing w:after="40" w:line="300" w:lineRule="auto"/>
      </w:pPr>
      <w:r>
        <w:rPr>
          <w:rFonts w:ascii="Microsoft YaHei" w:hAnsi="Microsoft YaHei" w:eastAsia="Microsoft YaHei"/>
          <w:b w:val="0"/>
          <w:sz w:val="21"/>
        </w:rPr>
        <w:t>用户插入多条记录，执行器将行序列化并写入缓冲池中的目标页，刷新后数据进入数据文件。</w:t>
      </w:r>
    </w:p>
    <w:p>
      <w:pPr>
        <w:pStyle w:val="ListBullet"/>
        <w:spacing w:after="40" w:line="300" w:lineRule="auto"/>
      </w:pPr>
      <w:r>
        <w:rPr>
          <w:rFonts w:ascii="Microsoft YaHei" w:hAnsi="Microsoft YaHei" w:eastAsia="Microsoft YaHei"/>
          <w:b w:val="0"/>
          <w:sz w:val="21"/>
        </w:rPr>
        <w:t>用户执行带 WHERE 的 SELECT，执行器顺序扫描表页，过滤记录并按 SELECT 列表投影结果。</w:t>
      </w:r>
    </w:p>
    <w:p>
      <w:pPr>
        <w:pStyle w:val="ListBullet"/>
        <w:spacing w:after="40" w:line="300" w:lineRule="auto"/>
      </w:pPr>
      <w:r>
        <w:rPr>
          <w:rFonts w:ascii="Microsoft YaHei" w:hAnsi="Microsoft YaHei" w:eastAsia="Microsoft YaHei"/>
          <w:b w:val="0"/>
          <w:sz w:val="21"/>
        </w:rPr>
        <w:t>用户删除满足条件的记录，再次查询时已删除记录不得返回；系统重启后该状态保持一致。</w:t>
      </w:r>
    </w:p>
    <w:p>
      <w:pPr>
        <w:pStyle w:val="Heading1"/>
        <w:spacing w:before="240" w:after="100"/>
      </w:pPr>
      <w:r>
        <w:rPr>
          <w:rFonts w:ascii="Microsoft YaHei" w:hAnsi="Microsoft YaHei" w:eastAsia="Microsoft YaHei"/>
          <w:b/>
          <w:color w:val="17365D"/>
          <w:sz w:val="30"/>
        </w:rPr>
        <w:t>3 总体架构与数据流</w:t>
      </w:r>
    </w:p>
    <w:p>
      <w:pPr>
        <w:spacing w:after="100" w:line="324" w:lineRule="auto"/>
      </w:pPr>
      <w:r>
        <w:rPr>
          <w:rFonts w:ascii="Microsoft YaHei" w:hAnsi="Microsoft YaHei" w:eastAsia="Microsoft YaHei"/>
          <w:b w:val="0"/>
          <w:sz w:val="21"/>
        </w:rPr>
        <w:t>系统采用分层模块化结构。SQL 编译器只负责将 SQL 转为经过验证的逻辑计划；数据库引擎只执行计划并调用存储接口；存储系统只负责页、文件和缓冲，不理解 SQL 语义。系统目录是两个上层模块共享的元数据来源，最终由数据库引擎经存储系统持久化。</w:t>
      </w:r>
    </w:p>
    <w:p>
      <w:pPr>
        <w:spacing w:after="100" w:line="252" w:lineRule="auto"/>
        <w:ind w:left="259" w:right="259"/>
        <w:shd w:fill="F3F6F8"/>
      </w:pPr>
      <w:r>
        <w:rPr>
          <w:rFonts w:ascii="Consolas" w:hAnsi="Consolas" w:eastAsia="Consolas"/>
          <w:b w:val="0"/>
          <w:sz w:val="17"/>
        </w:rPr>
        <w:t>SQL 文本 → Lexer → Parser/AST → Semantic/Catalog → Logical Plan</w:t>
        <w:br/>
        <w:t xml:space="preserve">                                              ↓</w:t>
        <w:br/>
        <w:t>CLI/API ← 执行结果 ← Executor ← Storage Engine ← Buffer Pool ← Page File</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180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层次</w:t>
            </w:r>
          </w:p>
        </w:tc>
        <w:tc>
          <w:tcPr>
            <w:tcW w:type="dxa" w:w="252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输入</w:t>
            </w:r>
          </w:p>
        </w:tc>
        <w:tc>
          <w:tcPr>
            <w:tcW w:type="dxa" w:w="3096"/>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输出</w:t>
            </w:r>
          </w:p>
        </w:tc>
        <w:tc>
          <w:tcPr>
            <w:tcW w:type="dxa" w:w="223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不得承担的职责</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SQL 编译器</w:t>
            </w:r>
          </w:p>
        </w:tc>
        <w:tc>
          <w:tcPr>
            <w:tcW w:type="dxa" w:w="25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SQL 文本、Catalog 快照</w:t>
            </w:r>
          </w:p>
        </w:tc>
        <w:tc>
          <w:tcPr>
            <w:tcW w:type="dxa" w:w="309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Token、AST、验证后的 LogicalPlan</w:t>
            </w:r>
          </w:p>
        </w:tc>
        <w:tc>
          <w:tcPr>
            <w:tcW w:type="dxa" w:w="22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不直接读写数据页</w:t>
            </w:r>
          </w:p>
        </w:tc>
      </w:tr>
      <w:tr>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数据库引擎</w:t>
            </w:r>
          </w:p>
        </w:tc>
        <w:tc>
          <w:tcPr>
            <w:tcW w:type="dxa" w:w="252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LogicalPlan、目录服务</w:t>
            </w:r>
          </w:p>
        </w:tc>
        <w:tc>
          <w:tcPr>
            <w:tcW w:type="dxa" w:w="309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结果集、影响行数、执行错误</w:t>
            </w:r>
          </w:p>
        </w:tc>
        <w:tc>
          <w:tcPr>
            <w:tcW w:type="dxa" w:w="22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不解析原始 SQL</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存储系统</w:t>
            </w:r>
          </w:p>
        </w:tc>
        <w:tc>
          <w:tcPr>
            <w:tcW w:type="dxa" w:w="25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页号、字节数据、缓冲配置</w:t>
            </w:r>
          </w:p>
        </w:tc>
        <w:tc>
          <w:tcPr>
            <w:tcW w:type="dxa" w:w="309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页数据、统计、I/O 错误</w:t>
            </w:r>
          </w:p>
        </w:tc>
        <w:tc>
          <w:tcPr>
            <w:tcW w:type="dxa" w:w="22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不判断表列和 WHERE 条件</w:t>
            </w:r>
          </w:p>
        </w:tc>
      </w:tr>
    </w:tbl>
    <w:p>
      <w:pPr>
        <w:spacing w:after="20"/>
      </w:pPr>
    </w:p>
    <w:p>
      <w:pPr>
        <w:pStyle w:val="Heading1"/>
        <w:spacing w:before="240" w:after="100"/>
      </w:pPr>
      <w:r>
        <w:rPr>
          <w:rFonts w:ascii="Microsoft YaHei" w:hAnsi="Microsoft YaHei" w:eastAsia="Microsoft YaHei"/>
          <w:b/>
          <w:color w:val="17365D"/>
          <w:sz w:val="30"/>
        </w:rPr>
        <w:t>4 功能需求</w:t>
      </w:r>
    </w:p>
    <w:p>
      <w:pPr>
        <w:pStyle w:val="Heading2"/>
        <w:spacing w:before="160" w:after="100"/>
      </w:pPr>
      <w:r>
        <w:rPr>
          <w:rFonts w:ascii="Microsoft YaHei" w:hAnsi="Microsoft YaHei" w:eastAsia="Microsoft YaHei"/>
          <w:b/>
          <w:color w:val="1F4E78"/>
          <w:sz w:val="25"/>
        </w:rPr>
        <w:t>4.1 SQL 编译器</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00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编号</w:t>
            </w:r>
          </w:p>
        </w:tc>
        <w:tc>
          <w:tcPr>
            <w:tcW w:type="dxa" w:w="583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需求</w:t>
            </w:r>
          </w:p>
        </w:tc>
        <w:tc>
          <w:tcPr>
            <w:tcW w:type="dxa" w:w="280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验收标准</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SC-01</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词法分析识别关键字、标识符、整数字面量、字符串、运算符和分隔符；关键字大小写不敏感。</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每个 Token 输出 type、lexeme、line、column。</w:t>
            </w:r>
          </w:p>
        </w:tc>
      </w:tr>
      <w:tr>
        <w:tc>
          <w:tcPr>
            <w:tcW w:type="dxa" w:w="10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SC-02</w:t>
            </w:r>
          </w:p>
        </w:tc>
        <w:tc>
          <w:tcPr>
            <w:tcW w:type="dxa" w:w="58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支持空白、单行注释和多行注释；支持字符串中的单引号转义。</w:t>
            </w:r>
          </w:p>
        </w:tc>
        <w:tc>
          <w:tcPr>
            <w:tcW w:type="dxa" w:w="28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注释不进入 Token 流；未闭合字符串/注释报词法错误。</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SC-03</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语法分析构造 AST，支持 CREATE TABLE、INSERT、SELECT、DELETE。</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合法语句产生类型正确的 AST，而非仅返回“合法”。</w:t>
            </w:r>
          </w:p>
        </w:tc>
      </w:tr>
      <w:tr>
        <w:tc>
          <w:tcPr>
            <w:tcW w:type="dxa" w:w="10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SC-04</w:t>
            </w:r>
          </w:p>
        </w:tc>
        <w:tc>
          <w:tcPr>
            <w:tcW w:type="dxa" w:w="58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WHERE 支持单个比较表达式；建议在基线中实现 AND、OR、NOT 与括号。</w:t>
            </w:r>
          </w:p>
        </w:tc>
        <w:tc>
          <w:tcPr>
            <w:tcW w:type="dxa" w:w="28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表达式 AST 保留 NOT &gt; 比较 &gt; AND &gt; OR 的优先级。</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SC-05</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语义分析检查表和列存在性、INSERT 列数/列序和数据类型。</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失败返回错误类型、位置和原因。</w:t>
            </w:r>
          </w:p>
        </w:tc>
      </w:tr>
      <w:tr>
        <w:tc>
          <w:tcPr>
            <w:tcW w:type="dxa" w:w="10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SC-06</w:t>
            </w:r>
          </w:p>
        </w:tc>
        <w:tc>
          <w:tcPr>
            <w:tcW w:type="dxa" w:w="58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执行计划生成 CreateTable、Insert、SeqScan、Filter、Project、Delete 计划节点。</w:t>
            </w:r>
          </w:p>
        </w:tc>
        <w:tc>
          <w:tcPr>
            <w:tcW w:type="dxa" w:w="28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SELECT 的计划结构为 Project(Filter(SeqScan)) 或省略恒真 Filter。</w:t>
            </w:r>
          </w:p>
        </w:tc>
      </w:tr>
    </w:tbl>
    <w:p>
      <w:pPr>
        <w:spacing w:after="20"/>
      </w:pPr>
    </w:p>
    <w:p>
      <w:pPr>
        <w:pStyle w:val="Heading2"/>
        <w:spacing w:before="160" w:after="100"/>
      </w:pPr>
      <w:r>
        <w:rPr>
          <w:rFonts w:ascii="Microsoft YaHei" w:hAnsi="Microsoft YaHei" w:eastAsia="Microsoft YaHei"/>
          <w:b/>
          <w:color w:val="1F4E78"/>
          <w:sz w:val="25"/>
        </w:rPr>
        <w:t>4.2 SQL 语言基线</w:t>
      </w:r>
    </w:p>
    <w:p>
      <w:pPr>
        <w:spacing w:after="100" w:line="252" w:lineRule="auto"/>
        <w:ind w:left="259" w:right="259"/>
        <w:shd w:fill="F3F6F8"/>
      </w:pPr>
      <w:r>
        <w:rPr>
          <w:rFonts w:ascii="Consolas" w:hAnsi="Consolas" w:eastAsia="Consolas"/>
          <w:b w:val="0"/>
          <w:sz w:val="17"/>
        </w:rPr>
        <w:t>CREATE TABLE table_name (column_name INT|VARCHAR [, ...]);</w:t>
        <w:br/>
        <w:t>INSERT INTO table_name (column_name [, ...]) VALUES (value [, ...]);</w:t>
        <w:br/>
        <w:t>SELECT * | column_name [, ...] FROM table_name [WHERE expression];</w:t>
        <w:br/>
        <w:t>DELETE FROM table_name [WHERE expression];</w:t>
        <w:br/>
        <w:t>expression := primary [ (= | != | &gt; | &gt;= | &lt; | &lt;=) primary ]</w:t>
      </w:r>
    </w:p>
    <w:p>
      <w:pPr>
        <w:spacing w:after="100" w:line="324" w:lineRule="auto"/>
      </w:pPr>
      <w:r>
        <w:rPr>
          <w:rFonts w:ascii="Microsoft YaHei" w:hAnsi="Microsoft YaHei" w:eastAsia="Microsoft YaHei"/>
          <w:b w:val="0"/>
          <w:sz w:val="21"/>
        </w:rPr>
        <w:t>INT 与 VARCHAR 为必做类型。比较运算要求操作数类型兼容。INSERT 允许显式列名列表；列名列表和 VALUES 数量必须相等，未列出的字段暂不支持默认值。每条语句必须以分号结束，输入可包含多条语句。</w:t>
      </w:r>
    </w:p>
    <w:p>
      <w:pPr>
        <w:pStyle w:val="Heading2"/>
        <w:spacing w:before="160" w:after="100"/>
      </w:pPr>
      <w:r>
        <w:rPr>
          <w:rFonts w:ascii="Microsoft YaHei" w:hAnsi="Microsoft YaHei" w:eastAsia="Microsoft YaHei"/>
          <w:b/>
          <w:color w:val="1F4E78"/>
          <w:sz w:val="25"/>
        </w:rPr>
        <w:t>4.3 逻辑计划格式</w:t>
      </w:r>
    </w:p>
    <w:p>
      <w:pPr>
        <w:spacing w:after="100" w:line="324" w:lineRule="auto"/>
      </w:pPr>
      <w:r>
        <w:rPr>
          <w:rFonts w:ascii="Microsoft YaHei" w:hAnsi="Microsoft YaHei" w:eastAsia="Microsoft YaHei"/>
          <w:b w:val="0"/>
          <w:sz w:val="21"/>
        </w:rPr>
        <w:t>计划采用 JSON 或等价可序列化对象。所有计划节点必须携带 nodeType 和 sourceSpan，便于执行端分发和错误追溯。建议的最小结构如下。</w:t>
      </w:r>
    </w:p>
    <w:p>
      <w:pPr>
        <w:spacing w:after="100" w:line="252" w:lineRule="auto"/>
        <w:ind w:left="259" w:right="259"/>
        <w:shd w:fill="F3F6F8"/>
      </w:pPr>
      <w:r>
        <w:rPr>
          <w:rFonts w:ascii="Consolas" w:hAnsi="Consolas" w:eastAsia="Consolas"/>
          <w:b w:val="0"/>
          <w:sz w:val="17"/>
        </w:rPr>
        <w:t>{"nodeType":"Project","columns":["name"],"child":</w:t>
        <w:br/>
        <w:t xml:space="preserve">  {"nodeType":"Filter","predicate":{"op":"&gt;","left":"age","right":18},"child":</w:t>
        <w:br/>
        <w:t xml:space="preserve">    {"nodeType":"SeqScan","table":"student"}}}</w:t>
      </w:r>
    </w:p>
    <w:p>
      <w:pPr>
        <w:pStyle w:val="Heading2"/>
        <w:spacing w:before="160" w:after="100"/>
      </w:pPr>
      <w:r>
        <w:rPr>
          <w:rFonts w:ascii="Microsoft YaHei" w:hAnsi="Microsoft YaHei" w:eastAsia="Microsoft YaHei"/>
          <w:b/>
          <w:color w:val="1F4E78"/>
          <w:sz w:val="25"/>
        </w:rPr>
        <w:t>4.4 页式存储与缓存</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00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编号</w:t>
            </w:r>
          </w:p>
        </w:tc>
        <w:tc>
          <w:tcPr>
            <w:tcW w:type="dxa" w:w="583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需求</w:t>
            </w:r>
          </w:p>
        </w:tc>
        <w:tc>
          <w:tcPr>
            <w:tcW w:type="dxa" w:w="280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验收标准</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ST-01</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页大小固定为 4 KB，页号在一个数据库文件内唯一。</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读写均以整页为单位，页头可识别页号与页类型。</w:t>
            </w:r>
          </w:p>
        </w:tc>
      </w:tr>
      <w:tr>
        <w:tc>
          <w:tcPr>
            <w:tcW w:type="dxa" w:w="10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ST-02</w:t>
            </w:r>
          </w:p>
        </w:tc>
        <w:tc>
          <w:tcPr>
            <w:tcW w:type="dxa" w:w="58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支持 allocate_page、free_page、read_page、write_page。</w:t>
            </w:r>
          </w:p>
        </w:tc>
        <w:tc>
          <w:tcPr>
            <w:tcW w:type="dxa" w:w="28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分配、释放和重新读取的行为可由单测验证。</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ST-03</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维护表到页集合的映射，并支持表增长时追加数据页。</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插入超过单页容量后可分配并读取新页。</w:t>
            </w:r>
          </w:p>
        </w:tc>
      </w:tr>
      <w:tr>
        <w:tc>
          <w:tcPr>
            <w:tcW w:type="dxa" w:w="10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ST-04</w:t>
            </w:r>
          </w:p>
        </w:tc>
        <w:tc>
          <w:tcPr>
            <w:tcW w:type="dxa" w:w="58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提供缓冲池，默认实现 LRU；FIFO 可作为可切换策略。</w:t>
            </w:r>
          </w:p>
        </w:tc>
        <w:tc>
          <w:tcPr>
            <w:tcW w:type="dxa" w:w="28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可统计 hit、miss、evict、flush，并记录被替换页号。</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ST-05</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脏页在显式 flush、淘汰或正常关闭时写回文件。</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关闭重启后已提交到页文件的数据仍可读取。</w:t>
            </w:r>
          </w:p>
        </w:tc>
      </w:tr>
    </w:tbl>
    <w:p>
      <w:pPr>
        <w:spacing w:after="20"/>
      </w:pPr>
    </w:p>
    <w:p>
      <w:pPr>
        <w:pStyle w:val="Heading2"/>
        <w:spacing w:before="160" w:after="100"/>
      </w:pPr>
      <w:r>
        <w:rPr>
          <w:rFonts w:ascii="Microsoft YaHei" w:hAnsi="Microsoft YaHei" w:eastAsia="Microsoft YaHei"/>
          <w:b/>
          <w:color w:val="1F4E78"/>
          <w:sz w:val="25"/>
        </w:rPr>
        <w:t>4.5 数据库引擎与系统目录</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00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编号</w:t>
            </w:r>
          </w:p>
        </w:tc>
        <w:tc>
          <w:tcPr>
            <w:tcW w:type="dxa" w:w="583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需求</w:t>
            </w:r>
          </w:p>
        </w:tc>
        <w:tc>
          <w:tcPr>
            <w:tcW w:type="dxa" w:w="280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验收标准</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EN-01</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执行器按 nodeType 分发并实现 CreateTable、Insert、SeqScan、Filter、Project、Delete。</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每一种必做 SQL 都可经计划执行。</w:t>
            </w:r>
          </w:p>
        </w:tc>
      </w:tr>
      <w:tr>
        <w:tc>
          <w:tcPr>
            <w:tcW w:type="dxa" w:w="10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EN-02</w:t>
            </w:r>
          </w:p>
        </w:tc>
        <w:tc>
          <w:tcPr>
            <w:tcW w:type="dxa" w:w="58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存储引擎负责 Row 与 Page 的序列化、反序列化、插入和扫描。</w:t>
            </w:r>
          </w:p>
        </w:tc>
        <w:tc>
          <w:tcPr>
            <w:tcW w:type="dxa" w:w="28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扫描结果可还原为带类型的逻辑行。</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EN-03</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系统目录保存表、列类型和表页映射，并作为特殊表持久化。</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重启后可根据表名恢复结构并继续查询。</w:t>
            </w:r>
          </w:p>
        </w:tc>
      </w:tr>
      <w:tr>
        <w:tc>
          <w:tcPr>
            <w:tcW w:type="dxa" w:w="10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EN-04</w:t>
            </w:r>
          </w:p>
        </w:tc>
        <w:tc>
          <w:tcPr>
            <w:tcW w:type="dxa" w:w="583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DELETE 采用删除标记或物理删除，但查询不得返回已删除行。</w:t>
            </w:r>
          </w:p>
        </w:tc>
        <w:tc>
          <w:tcPr>
            <w:tcW w:type="dxa" w:w="280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删除后查询、重启后查询均满足预期。</w:t>
            </w:r>
          </w:p>
        </w:tc>
      </w:tr>
      <w:tr>
        <w:tc>
          <w:tcPr>
            <w:tcW w:type="dxa" w:w="10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EN-05</w:t>
            </w:r>
          </w:p>
        </w:tc>
        <w:tc>
          <w:tcPr>
            <w:tcW w:type="dxa" w:w="583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CLI 支持多语句输入、结果格式化、quit/exit 与错误提示。</w:t>
            </w:r>
          </w:p>
        </w:tc>
        <w:tc>
          <w:tcPr>
            <w:tcW w:type="dxa" w:w="280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用户无需调用内部模块即可完成端到端演示。</w:t>
            </w:r>
          </w:p>
        </w:tc>
      </w:tr>
    </w:tbl>
    <w:p>
      <w:pPr>
        <w:spacing w:after="20"/>
      </w:pPr>
    </w:p>
    <w:p>
      <w:pPr>
        <w:pStyle w:val="Heading1"/>
        <w:spacing w:before="240" w:after="100"/>
      </w:pPr>
      <w:r>
        <w:rPr>
          <w:rFonts w:ascii="Microsoft YaHei" w:hAnsi="Microsoft YaHei" w:eastAsia="Microsoft YaHei"/>
          <w:b/>
          <w:color w:val="17365D"/>
          <w:sz w:val="30"/>
        </w:rPr>
        <w:t>5 关键接口契约</w:t>
      </w:r>
    </w:p>
    <w:p>
      <w:pPr>
        <w:spacing w:after="100" w:line="324" w:lineRule="auto"/>
      </w:pPr>
      <w:r>
        <w:rPr>
          <w:rFonts w:ascii="Microsoft YaHei" w:hAnsi="Microsoft YaHei" w:eastAsia="Microsoft YaHei"/>
          <w:b w:val="0"/>
          <w:sz w:val="21"/>
        </w:rPr>
        <w:t>跨模块调用只能通过以下稳定接口。接口实现语言可调整，但字段含义、错误语义和所有权不得随意改变。</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2736"/>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接口</w:t>
            </w:r>
          </w:p>
        </w:tc>
        <w:tc>
          <w:tcPr>
            <w:tcW w:type="dxa" w:w="180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提供方</w:t>
            </w:r>
          </w:p>
        </w:tc>
        <w:tc>
          <w:tcPr>
            <w:tcW w:type="dxa" w:w="187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使用方</w:t>
            </w:r>
          </w:p>
        </w:tc>
        <w:tc>
          <w:tcPr>
            <w:tcW w:type="dxa" w:w="324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契约</w:t>
            </w:r>
          </w:p>
        </w:tc>
      </w:tr>
      <w:tr>
        <w:tc>
          <w:tcPr>
            <w:tcW w:type="dxa" w:w="273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compile(sql, catalogSnapshot)</w:t>
            </w:r>
          </w:p>
        </w:tc>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SQL 编译器</w:t>
            </w:r>
          </w:p>
        </w:tc>
        <w:tc>
          <w:tcPr>
            <w:tcW w:type="dxa" w:w="187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CLI、数据库引擎</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成功返回 LogicalPlan 列表；失败返回阶段、位置、原因。</w:t>
            </w:r>
          </w:p>
        </w:tc>
      </w:tr>
      <w:tr>
        <w:tc>
          <w:tcPr>
            <w:tcW w:type="dxa" w:w="273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get_table_schema(name)</w:t>
            </w:r>
          </w:p>
        </w:tc>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目录服务</w:t>
            </w:r>
          </w:p>
        </w:tc>
        <w:tc>
          <w:tcPr>
            <w:tcW w:type="dxa" w:w="187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语义分析、执行器</w:t>
            </w:r>
          </w:p>
        </w:tc>
        <w:tc>
          <w:tcPr>
            <w:tcW w:type="dxa" w:w="324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返回列名、类型、表标识；不存在返回 NotFound。</w:t>
            </w:r>
          </w:p>
        </w:tc>
      </w:tr>
      <w:tr>
        <w:tc>
          <w:tcPr>
            <w:tcW w:type="dxa" w:w="273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get_page(id) / unpin_page(id, dirty)</w:t>
            </w:r>
          </w:p>
        </w:tc>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缓冲池</w:t>
            </w:r>
          </w:p>
        </w:tc>
        <w:tc>
          <w:tcPr>
            <w:tcW w:type="dxa" w:w="187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存储引擎</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get_page 返回可读写页；unpin 指定是否产生脏页。</w:t>
            </w:r>
          </w:p>
        </w:tc>
      </w:tr>
      <w:tr>
        <w:tc>
          <w:tcPr>
            <w:tcW w:type="dxa" w:w="273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read_page(id) / write_page(id, bytes)</w:t>
            </w:r>
          </w:p>
        </w:tc>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文件管理器</w:t>
            </w:r>
          </w:p>
        </w:tc>
        <w:tc>
          <w:tcPr>
            <w:tcW w:type="dxa" w:w="187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缓冲池</w:t>
            </w:r>
          </w:p>
        </w:tc>
        <w:tc>
          <w:tcPr>
            <w:tcW w:type="dxa" w:w="324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读写固定 4 KB；I/O 失败必须可传播。</w:t>
            </w:r>
          </w:p>
        </w:tc>
      </w:tr>
      <w:tr>
        <w:tc>
          <w:tcPr>
            <w:tcW w:type="dxa" w:w="273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execute(plan)</w:t>
            </w:r>
          </w:p>
        </w:tc>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执行器</w:t>
            </w:r>
          </w:p>
        </w:tc>
        <w:tc>
          <w:tcPr>
            <w:tcW w:type="dxa" w:w="187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CLI</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查询返回列定义和行集；写操作返回状态及影响行数。</w:t>
            </w:r>
          </w:p>
        </w:tc>
      </w:tr>
    </w:tbl>
    <w:p>
      <w:pPr>
        <w:spacing w:after="20"/>
      </w:pPr>
    </w:p>
    <w:p>
      <w:pPr>
        <w:pStyle w:val="Heading2"/>
        <w:spacing w:before="160" w:after="100"/>
      </w:pPr>
      <w:r>
        <w:rPr>
          <w:rFonts w:ascii="Microsoft YaHei" w:hAnsi="Microsoft YaHei" w:eastAsia="Microsoft YaHei"/>
          <w:b/>
          <w:color w:val="1F4E78"/>
          <w:sz w:val="25"/>
        </w:rPr>
        <w:t>5.1 统一错误模型</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2016"/>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类别</w:t>
            </w:r>
          </w:p>
        </w:tc>
        <w:tc>
          <w:tcPr>
            <w:tcW w:type="dxa" w:w="4104"/>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最小字段</w:t>
            </w:r>
          </w:p>
        </w:tc>
        <w:tc>
          <w:tcPr>
            <w:tcW w:type="dxa" w:w="352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示例</w:t>
            </w:r>
          </w:p>
        </w:tc>
      </w:tr>
      <w:tr>
        <w:tc>
          <w:tcPr>
            <w:tcW w:type="dxa" w:w="201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LexicalError</w:t>
            </w:r>
          </w:p>
        </w:tc>
        <w:tc>
          <w:tcPr>
            <w:tcW w:type="dxa" w:w="41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phase, code, line, column, reason</w:t>
            </w:r>
          </w:p>
        </w:tc>
        <w:tc>
          <w:tcPr>
            <w:tcW w:type="dxa" w:w="35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未闭合字符串</w:t>
            </w:r>
          </w:p>
        </w:tc>
      </w:tr>
      <w:tr>
        <w:tc>
          <w:tcPr>
            <w:tcW w:type="dxa" w:w="201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SyntaxError</w:t>
            </w:r>
          </w:p>
        </w:tc>
        <w:tc>
          <w:tcPr>
            <w:tcW w:type="dxa" w:w="410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phase, line, column, unexpected, expected</w:t>
            </w:r>
          </w:p>
        </w:tc>
        <w:tc>
          <w:tcPr>
            <w:tcW w:type="dxa" w:w="352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缺少分号或右括号</w:t>
            </w:r>
          </w:p>
        </w:tc>
      </w:tr>
      <w:tr>
        <w:tc>
          <w:tcPr>
            <w:tcW w:type="dxa" w:w="201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SemanticError</w:t>
            </w:r>
          </w:p>
        </w:tc>
        <w:tc>
          <w:tcPr>
            <w:tcW w:type="dxa" w:w="41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phase, line, column, reason</w:t>
            </w:r>
          </w:p>
        </w:tc>
        <w:tc>
          <w:tcPr>
            <w:tcW w:type="dxa" w:w="35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列不存在或类型不匹配</w:t>
            </w:r>
          </w:p>
        </w:tc>
      </w:tr>
      <w:tr>
        <w:tc>
          <w:tcPr>
            <w:tcW w:type="dxa" w:w="201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StorageError</w:t>
            </w:r>
          </w:p>
        </w:tc>
        <w:tc>
          <w:tcPr>
            <w:tcW w:type="dxa" w:w="410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phase, operation, pageId, reason</w:t>
            </w:r>
          </w:p>
        </w:tc>
        <w:tc>
          <w:tcPr>
            <w:tcW w:type="dxa" w:w="352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文件读写或页损坏</w:t>
            </w:r>
          </w:p>
        </w:tc>
      </w:tr>
      <w:tr>
        <w:tc>
          <w:tcPr>
            <w:tcW w:type="dxa" w:w="201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ExecutionError</w:t>
            </w:r>
          </w:p>
        </w:tc>
        <w:tc>
          <w:tcPr>
            <w:tcW w:type="dxa" w:w="41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phase, nodeType, reason</w:t>
            </w:r>
          </w:p>
        </w:tc>
        <w:tc>
          <w:tcPr>
            <w:tcW w:type="dxa" w:w="35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计划节点不支持或记录反序列化失败</w:t>
            </w:r>
          </w:p>
        </w:tc>
      </w:tr>
    </w:tbl>
    <w:p>
      <w:pPr>
        <w:spacing w:after="20"/>
      </w:pPr>
    </w:p>
    <w:p>
      <w:pPr>
        <w:pStyle w:val="Heading1"/>
        <w:spacing w:before="240" w:after="100"/>
      </w:pPr>
      <w:r>
        <w:rPr>
          <w:rFonts w:ascii="Microsoft YaHei" w:hAnsi="Microsoft YaHei" w:eastAsia="Microsoft YaHei"/>
          <w:b/>
          <w:color w:val="17365D"/>
          <w:sz w:val="30"/>
        </w:rPr>
        <w:t>6 数据模型与持久化要求</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80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对象</w:t>
            </w:r>
          </w:p>
        </w:tc>
        <w:tc>
          <w:tcPr>
            <w:tcW w:type="dxa" w:w="439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必备字段</w:t>
            </w:r>
          </w:p>
        </w:tc>
        <w:tc>
          <w:tcPr>
            <w:tcW w:type="dxa" w:w="3456"/>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说明</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PageHeader</w:t>
            </w:r>
          </w:p>
        </w:tc>
        <w:tc>
          <w:tcPr>
            <w:tcW w:type="dxa" w:w="439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pageId, pageType, freeSpace, slotCount, nextPageId</w:t>
            </w:r>
          </w:p>
        </w:tc>
        <w:tc>
          <w:tcPr>
            <w:tcW w:type="dxa" w:w="345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每页开头保存，页大小固定 4 KB。</w:t>
            </w:r>
          </w:p>
        </w:tc>
      </w:tr>
      <w:tr>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DataPage</w:t>
            </w:r>
          </w:p>
        </w:tc>
        <w:tc>
          <w:tcPr>
            <w:tcW w:type="dxa" w:w="439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PageHeader, slotDirectory, rowBytes</w:t>
            </w:r>
          </w:p>
        </w:tc>
        <w:tc>
          <w:tcPr>
            <w:tcW w:type="dxa" w:w="345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槽目录定位行记录，支持顺序扫描。</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Row</w:t>
            </w:r>
          </w:p>
        </w:tc>
        <w:tc>
          <w:tcPr>
            <w:tcW w:type="dxa" w:w="439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字段值、删除状态</w:t>
            </w:r>
          </w:p>
        </w:tc>
        <w:tc>
          <w:tcPr>
            <w:tcW w:type="dxa" w:w="345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按表 Schema 序列化；删除记录不得被扫描返回。</w:t>
            </w:r>
          </w:p>
        </w:tc>
      </w:tr>
      <w:tr>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TableMeta</w:t>
            </w:r>
          </w:p>
        </w:tc>
        <w:tc>
          <w:tcPr>
            <w:tcW w:type="dxa" w:w="439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tableName, columns, firstPageId, pageIds</w:t>
            </w:r>
          </w:p>
        </w:tc>
        <w:tc>
          <w:tcPr>
            <w:tcW w:type="dxa" w:w="345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目录中保存表结构与物理页映射。</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CatalogTable</w:t>
            </w:r>
          </w:p>
        </w:tc>
        <w:tc>
          <w:tcPr>
            <w:tcW w:type="dxa" w:w="439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所有 TableMeta</w:t>
            </w:r>
          </w:p>
        </w:tc>
        <w:tc>
          <w:tcPr>
            <w:tcW w:type="dxa" w:w="345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特殊系统表；初始化、更新和加载均经存储系统。</w:t>
            </w:r>
          </w:p>
        </w:tc>
      </w:tr>
    </w:tbl>
    <w:p>
      <w:pPr>
        <w:spacing w:after="20"/>
      </w:pPr>
    </w:p>
    <w:p>
      <w:pPr>
        <w:spacing w:after="100" w:line="324" w:lineRule="auto"/>
      </w:pPr>
      <w:r>
        <w:rPr>
          <w:rFonts w:ascii="Microsoft YaHei" w:hAnsi="Microsoft YaHei" w:eastAsia="Microsoft YaHei"/>
          <w:b w:val="0"/>
          <w:sz w:val="21"/>
        </w:rPr>
        <w:t>持久化边界：数据文件、目录表和页分配信息必须位于同一数据库目录或可相互定位的文件集合中。禁止仅在进程内字典保存表结构或用户数据。程序正常关闭时必须 flush 全部脏页；启动时必须加载页分配信息和系统目录。</w:t>
      </w:r>
    </w:p>
    <w:p>
      <w:pPr>
        <w:pStyle w:val="Heading1"/>
        <w:spacing w:before="240" w:after="100"/>
      </w:pPr>
      <w:r>
        <w:rPr>
          <w:rFonts w:ascii="Microsoft YaHei" w:hAnsi="Microsoft YaHei" w:eastAsia="Microsoft YaHei"/>
          <w:b/>
          <w:color w:val="17365D"/>
          <w:sz w:val="30"/>
        </w:rPr>
        <w:t>7 非功能需求</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08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编号</w:t>
            </w:r>
          </w:p>
        </w:tc>
        <w:tc>
          <w:tcPr>
            <w:tcW w:type="dxa" w:w="612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要求</w:t>
            </w:r>
          </w:p>
        </w:tc>
        <w:tc>
          <w:tcPr>
            <w:tcW w:type="dxa" w:w="244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判定方式</w:t>
            </w:r>
          </w:p>
        </w:tc>
      </w:tr>
      <w:tr>
        <w:tc>
          <w:tcPr>
            <w:tcW w:type="dxa" w:w="108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NF-01</w:t>
            </w:r>
          </w:p>
        </w:tc>
        <w:tc>
          <w:tcPr>
            <w:tcW w:type="dxa" w:w="61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模块边界清晰，SQL 编译器、存储系统、引擎不得相互复制核心逻辑。</w:t>
            </w:r>
          </w:p>
        </w:tc>
        <w:tc>
          <w:tcPr>
            <w:tcW w:type="dxa" w:w="244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代码审查和接口测试。</w:t>
            </w:r>
          </w:p>
        </w:tc>
      </w:tr>
      <w:tr>
        <w:tc>
          <w:tcPr>
            <w:tcW w:type="dxa" w:w="108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NF-02</w:t>
            </w:r>
          </w:p>
        </w:tc>
        <w:tc>
          <w:tcPr>
            <w:tcW w:type="dxa" w:w="612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错误不得导致进程无提示崩溃。</w:t>
            </w:r>
          </w:p>
        </w:tc>
        <w:tc>
          <w:tcPr>
            <w:tcW w:type="dxa" w:w="244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错误 SQL、错误页号和 I/O 模拟测试。</w:t>
            </w:r>
          </w:p>
        </w:tc>
      </w:tr>
      <w:tr>
        <w:tc>
          <w:tcPr>
            <w:tcW w:type="dxa" w:w="108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NF-03</w:t>
            </w:r>
          </w:p>
        </w:tc>
        <w:tc>
          <w:tcPr>
            <w:tcW w:type="dxa" w:w="61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所有核心模块提供单元测试，另有端到端测试脚本。</w:t>
            </w:r>
          </w:p>
        </w:tc>
        <w:tc>
          <w:tcPr>
            <w:tcW w:type="dxa" w:w="244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一键执行测试并输出结果。</w:t>
            </w:r>
          </w:p>
        </w:tc>
      </w:tr>
      <w:tr>
        <w:tc>
          <w:tcPr>
            <w:tcW w:type="dxa" w:w="108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NF-04</w:t>
            </w:r>
          </w:p>
        </w:tc>
        <w:tc>
          <w:tcPr>
            <w:tcW w:type="dxa" w:w="612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README 说明构建、启动、演示 SQL、目录结构和测试命令。</w:t>
            </w:r>
          </w:p>
        </w:tc>
        <w:tc>
          <w:tcPr>
            <w:tcW w:type="dxa" w:w="244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他人按文档可复现实验。</w:t>
            </w:r>
          </w:p>
        </w:tc>
      </w:tr>
      <w:tr>
        <w:tc>
          <w:tcPr>
            <w:tcW w:type="dxa" w:w="108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NF-05</w:t>
            </w:r>
          </w:p>
        </w:tc>
        <w:tc>
          <w:tcPr>
            <w:tcW w:type="dxa" w:w="61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调试输出可开关，正式结果集不得混入无结构的内部日志。</w:t>
            </w:r>
          </w:p>
        </w:tc>
        <w:tc>
          <w:tcPr>
            <w:tcW w:type="dxa" w:w="244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CLI 演示检查。</w:t>
            </w:r>
          </w:p>
        </w:tc>
      </w:tr>
    </w:tbl>
    <w:p>
      <w:pPr>
        <w:spacing w:after="20"/>
      </w:pPr>
    </w:p>
    <w:p>
      <w:pPr>
        <w:pStyle w:val="Heading1"/>
        <w:spacing w:before="240" w:after="100"/>
      </w:pPr>
      <w:r>
        <w:rPr>
          <w:rFonts w:ascii="Microsoft YaHei" w:hAnsi="Microsoft YaHei" w:eastAsia="Microsoft YaHei"/>
          <w:b/>
          <w:color w:val="17365D"/>
          <w:sz w:val="30"/>
        </w:rPr>
        <w:t>8 四人分工与交付边界</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1656"/>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成员角色</w:t>
            </w:r>
          </w:p>
        </w:tc>
        <w:tc>
          <w:tcPr>
            <w:tcW w:type="dxa" w:w="316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主要负责</w:t>
            </w:r>
          </w:p>
        </w:tc>
        <w:tc>
          <w:tcPr>
            <w:tcW w:type="dxa" w:w="295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必须交付</w:t>
            </w:r>
          </w:p>
        </w:tc>
        <w:tc>
          <w:tcPr>
            <w:tcW w:type="dxa" w:w="187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协作边界</w:t>
            </w:r>
          </w:p>
        </w:tc>
      </w:tr>
      <w:tr>
        <w:tc>
          <w:tcPr>
            <w:tcW w:type="dxa" w:w="165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成员 A</w:t>
              <w:br/>
              <w:t>SQL 编译器一</w:t>
            </w:r>
          </w:p>
        </w:tc>
        <w:tc>
          <w:tcPr>
            <w:tcW w:type="dxa" w:w="316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词法器、Token、文法、递归下降 Parser、AST、语法错误定位。</w:t>
            </w:r>
          </w:p>
        </w:tc>
        <w:tc>
          <w:tcPr>
            <w:tcW w:type="dxa" w:w="295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grammar.md、lexer/parser/ast、词法和语法测试。</w:t>
            </w:r>
          </w:p>
        </w:tc>
        <w:tc>
          <w:tcPr>
            <w:tcW w:type="dxa" w:w="187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输出稳定 AST；不调用数据页。</w:t>
            </w:r>
          </w:p>
        </w:tc>
      </w:tr>
      <w:tr>
        <w:tc>
          <w:tcPr>
            <w:tcW w:type="dxa" w:w="165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成员 B</w:t>
              <w:br/>
              <w:t>SQL 编译器二</w:t>
            </w:r>
          </w:p>
        </w:tc>
        <w:tc>
          <w:tcPr>
            <w:tcW w:type="dxa" w:w="316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语义分析、类型规则、编译期 Catalog 适配、Plan 生成、基础优化、编译器集成测试。</w:t>
            </w:r>
          </w:p>
        </w:tc>
        <w:tc>
          <w:tcPr>
            <w:tcW w:type="dxa" w:w="295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semantic/planner、计划样例、语义与优化测试。</w:t>
            </w:r>
          </w:p>
        </w:tc>
        <w:tc>
          <w:tcPr>
            <w:tcW w:type="dxa" w:w="187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通过目录接口读 Schema；不拥有目录持久化。</w:t>
            </w:r>
          </w:p>
        </w:tc>
      </w:tr>
      <w:tr>
        <w:tc>
          <w:tcPr>
            <w:tcW w:type="dxa" w:w="1656"/>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成员 C</w:t>
              <w:br/>
              <w:t>存储系统</w:t>
            </w:r>
          </w:p>
        </w:tc>
        <w:tc>
          <w:tcPr>
            <w:tcW w:type="dxa" w:w="316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页格式、文件管理、分配/释放、缓冲池、LRU/FIFO、刷新和统计。</w:t>
            </w:r>
          </w:p>
        </w:tc>
        <w:tc>
          <w:tcPr>
            <w:tcW w:type="dxa" w:w="295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page/file_manager/buffer、存储单测、缓存日志。</w:t>
            </w:r>
          </w:p>
        </w:tc>
        <w:tc>
          <w:tcPr>
            <w:tcW w:type="dxa" w:w="187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只处理 pageId 和 bytes；不解释 SQL/Row。</w:t>
            </w:r>
          </w:p>
        </w:tc>
      </w:tr>
      <w:tr>
        <w:tc>
          <w:tcPr>
            <w:tcW w:type="dxa" w:w="1656"/>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成员 D</w:t>
              <w:br/>
              <w:t>数据库引擎</w:t>
            </w:r>
          </w:p>
        </w:tc>
        <w:tc>
          <w:tcPr>
            <w:tcW w:type="dxa" w:w="316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目录持久化、Row 编解码、存储引擎、执行器、CLI、端到端集成。</w:t>
            </w:r>
          </w:p>
        </w:tc>
        <w:tc>
          <w:tcPr>
            <w:tcW w:type="dxa" w:w="295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executor/storage_engine/catalog/cli、集成脚本。</w:t>
            </w:r>
          </w:p>
        </w:tc>
        <w:tc>
          <w:tcPr>
            <w:tcW w:type="dxa" w:w="187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消费 LogicalPlan；不得重写编译器或缓冲策略。</w:t>
            </w:r>
          </w:p>
        </w:tc>
      </w:tr>
    </w:tbl>
    <w:p>
      <w:pPr>
        <w:spacing w:after="20"/>
      </w:pPr>
    </w:p>
    <w:p>
      <w:pPr>
        <w:pStyle w:val="Heading2"/>
        <w:spacing w:before="160" w:after="100"/>
      </w:pPr>
      <w:r>
        <w:rPr>
          <w:rFonts w:ascii="Microsoft YaHei" w:hAnsi="Microsoft YaHei" w:eastAsia="Microsoft YaHei"/>
          <w:b/>
          <w:color w:val="1F4E78"/>
          <w:sz w:val="25"/>
        </w:rPr>
        <w:t>8.1 集成节奏</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944"/>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阶段</w:t>
            </w:r>
          </w:p>
        </w:tc>
        <w:tc>
          <w:tcPr>
            <w:tcW w:type="dxa" w:w="5904"/>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完成条件</w:t>
            </w:r>
          </w:p>
        </w:tc>
        <w:tc>
          <w:tcPr>
            <w:tcW w:type="dxa" w:w="180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责任</w:t>
            </w:r>
          </w:p>
        </w:tc>
      </w:tr>
      <w:tr>
        <w:tc>
          <w:tcPr>
            <w:tcW w:type="dxa" w:w="194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阶段 0 接口冻结</w:t>
            </w:r>
          </w:p>
        </w:tc>
        <w:tc>
          <w:tcPr>
            <w:tcW w:type="dxa" w:w="59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确定 AST、LogicalPlan、Schema、Page 和错误对象字段；写入接口说明。</w:t>
            </w:r>
          </w:p>
        </w:tc>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全员</w:t>
            </w:r>
          </w:p>
        </w:tc>
      </w:tr>
      <w:tr>
        <w:tc>
          <w:tcPr>
            <w:tcW w:type="dxa" w:w="194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阶段 1 模块可测</w:t>
            </w:r>
          </w:p>
        </w:tc>
        <w:tc>
          <w:tcPr>
            <w:tcW w:type="dxa" w:w="590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A/B 完成 SQL 到 Plan；C 完成页与缓存；D 完成 Row/Page 与目录的最小闭环。</w:t>
            </w:r>
          </w:p>
        </w:tc>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各模块负责人</w:t>
            </w:r>
          </w:p>
        </w:tc>
      </w:tr>
      <w:tr>
        <w:tc>
          <w:tcPr>
            <w:tcW w:type="dxa" w:w="194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阶段 2 冒烟集成</w:t>
            </w:r>
          </w:p>
        </w:tc>
        <w:tc>
          <w:tcPr>
            <w:tcW w:type="dxa" w:w="5904"/>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CREATE 与 INSERT 可写入页；SELECT 可扫描并显示结果。</w:t>
            </w:r>
          </w:p>
        </w:tc>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B+C+D</w:t>
            </w:r>
          </w:p>
        </w:tc>
      </w:tr>
      <w:tr>
        <w:tc>
          <w:tcPr>
            <w:tcW w:type="dxa" w:w="194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阶段 3 验收闭环</w:t>
            </w:r>
          </w:p>
        </w:tc>
        <w:tc>
          <w:tcPr>
            <w:tcW w:type="dxa" w:w="5904"/>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DELETE、错误处理、缓存统计与重启持久化全部通过。</w:t>
            </w:r>
          </w:p>
        </w:tc>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全员</w:t>
            </w:r>
          </w:p>
        </w:tc>
      </w:tr>
    </w:tbl>
    <w:p>
      <w:pPr>
        <w:spacing w:after="20"/>
      </w:pPr>
    </w:p>
    <w:p>
      <w:pPr>
        <w:pStyle w:val="Heading1"/>
        <w:spacing w:before="240" w:after="100"/>
      </w:pPr>
      <w:r>
        <w:rPr>
          <w:rFonts w:ascii="Microsoft YaHei" w:hAnsi="Microsoft YaHei" w:eastAsia="Microsoft YaHei"/>
          <w:b/>
          <w:color w:val="17365D"/>
          <w:sz w:val="30"/>
        </w:rPr>
        <w:t>9 验收测试与完成定义</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180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测试类别</w:t>
            </w:r>
          </w:p>
        </w:tc>
        <w:tc>
          <w:tcPr>
            <w:tcW w:type="dxa" w:w="532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最少覆盖</w:t>
            </w:r>
          </w:p>
        </w:tc>
        <w:tc>
          <w:tcPr>
            <w:tcW w:type="dxa" w:w="252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通过条件</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正常流程</w:t>
            </w:r>
          </w:p>
        </w:tc>
        <w:tc>
          <w:tcPr>
            <w:tcW w:type="dxa" w:w="53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建表、插入、带条件查询、删除、再查询。</w:t>
            </w:r>
          </w:p>
        </w:tc>
        <w:tc>
          <w:tcPr>
            <w:tcW w:type="dxa" w:w="25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结果集和影响行数准确。</w:t>
            </w:r>
          </w:p>
        </w:tc>
      </w:tr>
      <w:tr>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编译错误</w:t>
            </w:r>
          </w:p>
        </w:tc>
        <w:tc>
          <w:tcPr>
            <w:tcW w:type="dxa" w:w="532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非法字符、未闭合字符串、缺分号、括号错误、未知表/列、类型不匹配、值数量不一致。</w:t>
            </w:r>
          </w:p>
        </w:tc>
        <w:tc>
          <w:tcPr>
            <w:tcW w:type="dxa" w:w="252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错误阶段和位置正确，进程继续可用。</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存储与缓存</w:t>
            </w:r>
          </w:p>
        </w:tc>
        <w:tc>
          <w:tcPr>
            <w:tcW w:type="dxa" w:w="53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页分配/释放、跨页插入、缓存命中、淘汰、脏页刷新。</w:t>
            </w:r>
          </w:p>
        </w:tc>
        <w:tc>
          <w:tcPr>
            <w:tcW w:type="dxa" w:w="25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页数据与统计值符合预期。</w:t>
            </w:r>
          </w:p>
        </w:tc>
      </w:tr>
      <w:tr>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持久化</w:t>
            </w:r>
          </w:p>
        </w:tc>
        <w:tc>
          <w:tcPr>
            <w:tcW w:type="dxa" w:w="532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创建和插入后关闭重启，再查询和继续插入。</w:t>
            </w:r>
          </w:p>
        </w:tc>
        <w:tc>
          <w:tcPr>
            <w:tcW w:type="dxa" w:w="252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目录和记录均恢复。</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边界</w:t>
            </w:r>
          </w:p>
        </w:tc>
        <w:tc>
          <w:tcPr>
            <w:tcW w:type="dxa" w:w="532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空输入、多语句、大小写关键字、长标识符、空结果集。</w:t>
            </w:r>
          </w:p>
        </w:tc>
        <w:tc>
          <w:tcPr>
            <w:tcW w:type="dxa" w:w="252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行为确定且无崩溃。</w:t>
            </w:r>
          </w:p>
        </w:tc>
      </w:tr>
    </w:tbl>
    <w:p>
      <w:pPr>
        <w:spacing w:after="20"/>
      </w:pPr>
    </w:p>
    <w:p>
      <w:pPr>
        <w:pStyle w:val="Heading2"/>
        <w:spacing w:before="160" w:after="100"/>
      </w:pPr>
      <w:r>
        <w:rPr>
          <w:rFonts w:ascii="Microsoft YaHei" w:hAnsi="Microsoft YaHei" w:eastAsia="Microsoft YaHei"/>
          <w:b/>
          <w:color w:val="1F4E78"/>
          <w:sz w:val="25"/>
        </w:rPr>
        <w:t>9.1 端到端验收脚本</w:t>
      </w:r>
    </w:p>
    <w:p>
      <w:pPr>
        <w:spacing w:after="100" w:line="252" w:lineRule="auto"/>
        <w:ind w:left="259" w:right="259"/>
        <w:shd w:fill="F3F6F8"/>
      </w:pPr>
      <w:r>
        <w:rPr>
          <w:rFonts w:ascii="Consolas" w:hAnsi="Consolas" w:eastAsia="Consolas"/>
          <w:b w:val="0"/>
          <w:sz w:val="17"/>
        </w:rPr>
        <w:t>CREATE TABLE student(id INT, name VARCHAR, age INT);</w:t>
        <w:br/>
        <w:t>INSERT INTO student(id,name,age) VALUES (1,'Alice',20);</w:t>
        <w:br/>
        <w:t>INSERT INTO student(id,name,age) VALUES (2,'Tom',16);</w:t>
        <w:br/>
        <w:t>SELECT id,name FROM student WHERE age &gt;= 18;</w:t>
        <w:br/>
        <w:t>DELETE FROM student WHERE id = 1;</w:t>
        <w:br/>
        <w:t>SELECT * FROM student;</w:t>
        <w:br/>
        <w:t>-- 重启 MiniDB 后再次执行 SELECT * FROM student;</w:t>
      </w:r>
    </w:p>
    <w:p>
      <w:pPr>
        <w:spacing w:after="100" w:line="324" w:lineRule="auto"/>
      </w:pPr>
      <w:r>
        <w:rPr>
          <w:rFonts w:ascii="Microsoft YaHei" w:hAnsi="Microsoft YaHei" w:eastAsia="Microsoft YaHei"/>
          <w:b w:val="0"/>
          <w:sz w:val="21"/>
        </w:rPr>
        <w:t>完成定义：上述脚本在首次运行和重启后均产生预期结果；每类错误测试均返回可理解的错误；自动化测试全部通过；README、接口文档和模块测试随源码提交。</w:t>
      </w:r>
    </w:p>
    <w:p>
      <w:pPr>
        <w:pStyle w:val="Heading1"/>
        <w:spacing w:before="240" w:after="100"/>
      </w:pPr>
      <w:r>
        <w:rPr>
          <w:rFonts w:ascii="Microsoft YaHei" w:hAnsi="Microsoft YaHei" w:eastAsia="Microsoft YaHei"/>
          <w:b/>
          <w:color w:val="17365D"/>
          <w:sz w:val="30"/>
        </w:rPr>
        <w:t>10 风险与约束</w:t>
      </w:r>
    </w:p>
    <w:tbl>
      <w:tblPr>
        <w:tblStyle w:val="TableGrid"/>
        <w:tblW w:type="auto" w:w="0"/>
        <w:jc w:val="center"/>
        <w:tblLook w:firstColumn="1" w:firstRow="1" w:lastColumn="0" w:lastRow="0" w:noHBand="0" w:noVBand="1" w:val="04A0"/>
      </w:tblPr>
      <w:tblGrid>
        <w:gridCol w:w="3351"/>
        <w:gridCol w:w="3351"/>
        <w:gridCol w:w="3351"/>
      </w:tblGrid>
      <w:tr>
        <w:trPr>
          <w:tblHeader w:val="true"/>
        </w:trPr>
        <w:tc>
          <w:tcPr>
            <w:tcW w:type="dxa" w:w="216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风险</w:t>
            </w:r>
          </w:p>
        </w:tc>
        <w:tc>
          <w:tcPr>
            <w:tcW w:type="dxa" w:w="324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影响</w:t>
            </w:r>
          </w:p>
        </w:tc>
        <w:tc>
          <w:tcPr>
            <w:tcW w:type="dxa" w:w="4248"/>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控制措施</w:t>
            </w:r>
          </w:p>
        </w:tc>
      </w:tr>
      <w:tr>
        <w:tc>
          <w:tcPr>
            <w:tcW w:type="dxa" w:w="216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接口后期变更</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四人模块无法对接。</w:t>
            </w:r>
          </w:p>
        </w:tc>
        <w:tc>
          <w:tcPr>
            <w:tcW w:type="dxa" w:w="424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阶段 0 冻结对象字段；变更须全员评审并更新测试。</w:t>
            </w:r>
          </w:p>
        </w:tc>
      </w:tr>
      <w:tr>
        <w:tc>
          <w:tcPr>
            <w:tcW w:type="dxa" w:w="216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目录只存内存</w:t>
            </w:r>
          </w:p>
        </w:tc>
        <w:tc>
          <w:tcPr>
            <w:tcW w:type="dxa" w:w="324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重启后无法解析表和数据。</w:t>
            </w:r>
          </w:p>
        </w:tc>
        <w:tc>
          <w:tcPr>
            <w:tcW w:type="dxa" w:w="424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目录表与用户表使用同一存储路径并纳入持久化测试。</w:t>
            </w:r>
          </w:p>
        </w:tc>
      </w:tr>
      <w:tr>
        <w:tc>
          <w:tcPr>
            <w:tcW w:type="dxa" w:w="216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过早做索引或事务</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核心链路未完成，集成延期。</w:t>
            </w:r>
          </w:p>
        </w:tc>
        <w:tc>
          <w:tcPr>
            <w:tcW w:type="dxa" w:w="424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扩展功能仅在阶段 3 通过后启动。</w:t>
            </w:r>
          </w:p>
        </w:tc>
      </w:tr>
      <w:tr>
        <w:tc>
          <w:tcPr>
            <w:tcW w:type="dxa" w:w="216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错误处理分散</w:t>
            </w:r>
          </w:p>
        </w:tc>
        <w:tc>
          <w:tcPr>
            <w:tcW w:type="dxa" w:w="324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验收时难定位问题。</w:t>
            </w:r>
          </w:p>
        </w:tc>
        <w:tc>
          <w:tcPr>
            <w:tcW w:type="dxa" w:w="4248"/>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采用统一错误对象，阶段名和位置贯穿编译器。</w:t>
            </w:r>
          </w:p>
        </w:tc>
      </w:tr>
      <w:tr>
        <w:tc>
          <w:tcPr>
            <w:tcW w:type="dxa" w:w="216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行格式与页格式不一致</w:t>
            </w:r>
          </w:p>
        </w:tc>
        <w:tc>
          <w:tcPr>
            <w:tcW w:type="dxa" w:w="324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插入、扫描和删除行为不稳定。</w:t>
            </w:r>
          </w:p>
        </w:tc>
        <w:tc>
          <w:tcPr>
            <w:tcW w:type="dxa" w:w="4248"/>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由 D 定义 Row 编码，由 C 提供页字节读写，联调测试锁定样例。</w:t>
            </w:r>
          </w:p>
        </w:tc>
      </w:tr>
    </w:tbl>
    <w:p>
      <w:pPr>
        <w:spacing w:after="20"/>
      </w:pPr>
    </w:p>
    <w:p>
      <w:pPr>
        <w:pStyle w:val="Heading1"/>
        <w:spacing w:before="240" w:after="100"/>
      </w:pPr>
      <w:r>
        <w:rPr>
          <w:rFonts w:ascii="Microsoft YaHei" w:hAnsi="Microsoft YaHei" w:eastAsia="Microsoft YaHei"/>
          <w:b/>
          <w:color w:val="17365D"/>
          <w:sz w:val="30"/>
        </w:rPr>
        <w:t>附录 A 文档依据与需求优先级</w:t>
      </w:r>
    </w:p>
    <w:p>
      <w:pPr>
        <w:spacing w:after="100" w:line="324" w:lineRule="auto"/>
      </w:pPr>
      <w:r>
        <w:rPr>
          <w:rFonts w:ascii="Microsoft YaHei" w:hAnsi="Microsoft YaHei" w:eastAsia="Microsoft YaHei"/>
          <w:b w:val="0"/>
          <w:sz w:val="21"/>
        </w:rPr>
        <w:t>本需求基线以课程指导书列出的 SQL 编译器、页式存储与数据库系统核心要求为准，并吸收课件中对 AST、错误定位、逻辑计划、缓存统计、目录持久化和分阶段交付的细化说明。课件中出现的 MySQL 架构、B+ 树、事务与并发等内容作为理解材料或后续扩展，不提升为本组首期必做范围。</w:t>
      </w:r>
    </w:p>
    <w:tbl>
      <w:tblPr>
        <w:tblStyle w:val="TableGrid"/>
        <w:tblW w:type="auto" w:w="0"/>
        <w:jc w:val="center"/>
        <w:tblLook w:firstColumn="1" w:firstRow="1" w:lastColumn="0" w:lastRow="0" w:noHBand="0" w:noVBand="1" w:val="04A0"/>
      </w:tblPr>
      <w:tblGrid>
        <w:gridCol w:w="5026"/>
        <w:gridCol w:w="5026"/>
      </w:tblGrid>
      <w:tr>
        <w:trPr>
          <w:tblHeader w:val="true"/>
        </w:trPr>
        <w:tc>
          <w:tcPr>
            <w:tcW w:type="dxa" w:w="1800"/>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优先级</w:t>
            </w:r>
          </w:p>
        </w:tc>
        <w:tc>
          <w:tcPr>
            <w:tcW w:type="dxa" w:w="7992"/>
            <w:vAlign w:val="center"/>
            <w:shd w:fill="1F4E78"/>
            <w:tcBorders>
              <w:top w:val="single" w:sz="4" w:color="9DB5CC"/>
              <w:left w:val="single" w:sz="4" w:color="9DB5CC"/>
              <w:bottom w:val="single" w:sz="4" w:color="9DB5CC"/>
              <w:right w:val="single" w:sz="4" w:color="9DB5CC"/>
            </w:tcBorders>
          </w:tcPr>
          <w:p>
            <w:pPr>
              <w:spacing w:after="0"/>
              <w:jc w:val="center"/>
            </w:pPr>
            <w:r>
              <w:rPr>
                <w:rFonts w:ascii="Microsoft YaHei" w:hAnsi="Microsoft YaHei" w:eastAsia="Microsoft YaHei"/>
                <w:b/>
                <w:color w:val="FFFFFF"/>
                <w:sz w:val="19"/>
              </w:rPr>
              <w:t>含义</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P0 必须</w:t>
            </w:r>
          </w:p>
        </w:tc>
        <w:tc>
          <w:tcPr>
            <w:tcW w:type="dxa" w:w="799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无法形成端到端可持久化数据库闭环的功能，必须完成。</w:t>
            </w:r>
          </w:p>
        </w:tc>
      </w:tr>
      <w:tr>
        <w:tc>
          <w:tcPr>
            <w:tcW w:type="dxa" w:w="1800"/>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P1 建议</w:t>
            </w:r>
          </w:p>
        </w:tc>
        <w:tc>
          <w:tcPr>
            <w:tcW w:type="dxa" w:w="7992"/>
            <w:vAlign w:val="top"/>
            <w:tcBorders>
              <w:top w:val="single" w:sz="4" w:color="B7C9DC"/>
              <w:left w:val="single" w:sz="4" w:color="B7C9DC"/>
              <w:bottom w:val="single" w:sz="4" w:color="B7C9DC"/>
              <w:right w:val="single" w:sz="4" w:color="B7C9DC"/>
            </w:tcBorders>
          </w:tcPr>
          <w:p>
            <w:pPr>
              <w:spacing w:after="0" w:line="276" w:lineRule="auto"/>
            </w:pPr>
            <w:r>
              <w:rPr>
                <w:rFonts w:ascii="Microsoft YaHei" w:hAnsi="Microsoft YaHei" w:eastAsia="Microsoft YaHei"/>
                <w:b w:val="0"/>
                <w:sz w:val="18"/>
              </w:rPr>
              <w:t>显著提升编译器质量或演示效果，但不得阻塞 P0。</w:t>
            </w:r>
          </w:p>
        </w:tc>
      </w:tr>
      <w:tr>
        <w:tc>
          <w:tcPr>
            <w:tcW w:type="dxa" w:w="1800"/>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P2 可选</w:t>
            </w:r>
          </w:p>
        </w:tc>
        <w:tc>
          <w:tcPr>
            <w:tcW w:type="dxa" w:w="7992"/>
            <w:vAlign w:val="top"/>
            <w:tcBorders>
              <w:top w:val="single" w:sz="4" w:color="B7C9DC"/>
              <w:left w:val="single" w:sz="4" w:color="B7C9DC"/>
              <w:bottom w:val="single" w:sz="4" w:color="B7C9DC"/>
              <w:right w:val="single" w:sz="4" w:color="B7C9DC"/>
            </w:tcBorders>
            <w:shd w:fill="EEF4FA"/>
          </w:tcPr>
          <w:p>
            <w:pPr>
              <w:spacing w:after="0" w:line="276" w:lineRule="auto"/>
            </w:pPr>
            <w:r>
              <w:rPr>
                <w:rFonts w:ascii="Microsoft YaHei" w:hAnsi="Microsoft YaHei" w:eastAsia="Microsoft YaHei"/>
                <w:b w:val="0"/>
                <w:sz w:val="18"/>
              </w:rPr>
              <w:t>用于展示扩展能力，只有 P0 和 P1 稳定后实施。</w:t>
            </w:r>
          </w:p>
        </w:tc>
      </w:tr>
    </w:tbl>
    <w:p>
      <w:pPr>
        <w:spacing w:after="20"/>
      </w:pPr>
    </w:p>
    <w:sectPr w:rsidR="00FC693F" w:rsidRPr="0006063C" w:rsidSect="00034616">
      <w:footerReference w:type="default" r:id="rId9"/>
      <w:pgSz w:w="12240" w:h="15840"/>
      <w:pgMar w:top="1037"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Microsoft YaHei" w:hAnsi="Microsoft YaHei" w:eastAsia="Microsoft YaHei"/>
        <w:b w:val="0"/>
        <w:color w:val="666666"/>
        <w:sz w:val="17"/>
      </w:rPr>
      <w:t>MiniDB 软件需求规格说明书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