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Georgia" w:hAnsi="Georgia" w:eastAsia="Georgia"/>
          <w:b/>
          <w:i w:val="0"/>
          <w:color w:val="16304F"/>
          <w:sz w:val="38"/>
        </w:rPr>
        <w:t>Staff Appraisal Form 2026</w:t>
      </w:r>
    </w:p>
    <w:p>
      <w:pPr>
        <w:spacing w:after="160"/>
      </w:pPr>
      <w:r>
        <w:rPr>
          <w:b w:val="0"/>
          <w:i w:val="0"/>
          <w:color w:val="6B7280"/>
          <w:sz w:val="21"/>
        </w:rPr>
        <w:t>Annual appraisal for teaching and administrative staff. The appraisee completes Section 2 before the meeting; the appraiser completes Sections 3–5 during it.</w:t>
      </w:r>
    </w:p>
    <w:p>
      <w:pPr>
        <w:keepNext/>
        <w:spacing w:before="80" w:after="80"/>
        <w:pBdr>
          <w:bottom w:val="single" w:sz="6" w:space="2" w:color="B08D34"/>
        </w:pBdr>
      </w:pPr>
      <w:r>
        <w:rPr>
          <w:rFonts w:ascii="Georgia" w:hAnsi="Georgia" w:eastAsia="Georgia"/>
          <w:b/>
          <w:i w:val="0"/>
          <w:color w:val="16304F"/>
          <w:sz w:val="30"/>
        </w:rPr>
        <w:t>1.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Name of appraisee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Position / class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Appraiser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Appraisal period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  <w:t>January – December 2026</w:t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Date of meeting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Date of last appraisal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keepNext/>
        <w:spacing w:before="280" w:after="80"/>
        <w:pBdr>
          <w:bottom w:val="single" w:sz="6" w:space="2" w:color="B08D34"/>
        </w:pBdr>
      </w:pPr>
      <w:r>
        <w:rPr>
          <w:rFonts w:ascii="Georgia" w:hAnsi="Georgia" w:eastAsia="Georgia"/>
          <w:b/>
          <w:i w:val="0"/>
          <w:color w:val="16304F"/>
          <w:sz w:val="30"/>
        </w:rPr>
        <w:t>2. Self-assessment (appraisee)</w:t>
      </w:r>
    </w:p>
    <w:p>
      <w:pPr>
        <w:spacing w:before="200" w:after="40"/>
      </w:pPr>
      <w:r>
        <w:rPr>
          <w:rFonts w:ascii="Calibri" w:hAnsi="Calibri"/>
          <w:b/>
          <w:i w:val="0"/>
          <w:color w:val="B08D34"/>
          <w:sz w:val="17"/>
        </w:rPr>
        <w:t>WHAT HAVE BEEN YOUR MAIN ACHIEVEMENTS THIS YEAR?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134"/>
        </w:trPr>
        <w:tc>
          <w:tcPr>
            <w:tcW w:type="dxa" w:w="93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/>
        </w:tc>
      </w:tr>
    </w:tbl>
    <w:p>
      <w:pPr>
        <w:spacing w:before="200" w:after="40"/>
      </w:pPr>
      <w:r>
        <w:rPr>
          <w:rFonts w:ascii="Calibri" w:hAnsi="Calibri"/>
          <w:b/>
          <w:i w:val="0"/>
          <w:color w:val="B08D34"/>
          <w:sz w:val="17"/>
        </w:rPr>
        <w:t>WHICH OF LAST YEAR'S OBJECTIVES DID YOU MEET, AND WHICH NEED MORE TIME?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134"/>
        </w:trPr>
        <w:tc>
          <w:tcPr>
            <w:tcW w:type="dxa" w:w="93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/>
        </w:tc>
      </w:tr>
    </w:tbl>
    <w:p>
      <w:pPr>
        <w:spacing w:before="200" w:after="40"/>
      </w:pPr>
      <w:r>
        <w:rPr>
          <w:rFonts w:ascii="Calibri" w:hAnsi="Calibri"/>
          <w:b/>
          <w:i w:val="0"/>
          <w:color w:val="B08D34"/>
          <w:sz w:val="17"/>
        </w:rPr>
        <w:t>WHAT HAS GOT IN THE WAY OF YOUR WORK, AND WHAT SUPPORT WOULD HELP?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134"/>
        </w:trPr>
        <w:tc>
          <w:tcPr>
            <w:tcW w:type="dxa" w:w="93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/>
        </w:tc>
      </w:tr>
    </w:tbl>
    <w:p>
      <w:pPr>
        <w:spacing w:before="200" w:after="40"/>
      </w:pPr>
      <w:r>
        <w:rPr>
          <w:rFonts w:ascii="Calibri" w:hAnsi="Calibri"/>
          <w:b/>
          <w:i w:val="0"/>
          <w:color w:val="B08D34"/>
          <w:sz w:val="17"/>
        </w:rPr>
        <w:t>WHAT PROFESSIONAL DEVELOPMENT WOULD YOU LIKE NEXT YEAR?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134"/>
        </w:trPr>
        <w:tc>
          <w:tcPr>
            <w:tcW w:type="dxa" w:w="93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/>
        </w:tc>
      </w:tr>
    </w:tbl>
    <w:p>
      <w:r>
        <w:br w:type="page"/>
      </w:r>
    </w:p>
    <w:p>
      <w:pPr>
        <w:keepNext/>
        <w:spacing w:before="80" w:after="80"/>
        <w:pBdr>
          <w:bottom w:val="single" w:sz="6" w:space="2" w:color="B08D34"/>
        </w:pBdr>
      </w:pPr>
      <w:r>
        <w:rPr>
          <w:rFonts w:ascii="Georgia" w:hAnsi="Georgia" w:eastAsia="Georgia"/>
          <w:b/>
          <w:i w:val="0"/>
          <w:color w:val="16304F"/>
          <w:sz w:val="30"/>
        </w:rPr>
        <w:t>3. Professional standards (appraiser)</w:t>
      </w:r>
    </w:p>
    <w:p>
      <w:pPr>
        <w:spacing w:after="120"/>
      </w:pPr>
      <w:r>
        <w:rPr>
          <w:b w:val="0"/>
          <w:i w:val="0"/>
          <w:color w:val="6B7280"/>
          <w:sz w:val="19"/>
        </w:rPr>
        <w:t>4 Exceeds the standard · 3 Meets the standard · 2 Partly meets · 1 Does not yet meet. Comment on any rating of 2 or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041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Standard</w:t>
            </w:r>
          </w:p>
        </w:tc>
        <w:tc>
          <w:tcPr>
            <w:tcW w:type="dxa" w:w="5272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What good looks like at Ayanda</w:t>
            </w:r>
          </w:p>
        </w:tc>
        <w:tc>
          <w:tcPr>
            <w:tcW w:type="dxa" w:w="510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1</w:t>
            </w:r>
          </w:p>
        </w:tc>
        <w:tc>
          <w:tcPr>
            <w:tcW w:type="dxa" w:w="510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2</w:t>
            </w:r>
          </w:p>
        </w:tc>
        <w:tc>
          <w:tcPr>
            <w:tcW w:type="dxa" w:w="510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3</w:t>
            </w:r>
          </w:p>
        </w:tc>
        <w:tc>
          <w:tcPr>
            <w:tcW w:type="dxa" w:w="510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4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8"/>
              </w:rPr>
              <w:t>Planning and teaching</w:t>
            </w:r>
          </w:p>
        </w:tc>
        <w:tc>
          <w:tcPr>
            <w:tcW w:type="dxa" w:w="527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8"/>
              </w:rPr>
              <w:t>Schemes and weekly plans on Drive by Friday; lessons matched to pupils' stages; assessment used to adjust teaching.</w:t>
            </w:r>
          </w:p>
        </w:tc>
        <w:tc>
          <w:tcPr>
            <w:tcW w:type="dxa" w:w="51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2041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8"/>
              </w:rPr>
              <w:t>Classroom climate</w:t>
            </w:r>
          </w:p>
        </w:tc>
        <w:tc>
          <w:tcPr>
            <w:tcW w:type="dxa" w:w="5272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8"/>
              </w:rPr>
              <w:t>Calm, positive routines; pupils feel safe; behaviour managed with the school's restorative approach.</w:t>
            </w:r>
          </w:p>
        </w:tc>
        <w:tc>
          <w:tcPr>
            <w:tcW w:type="dxa" w:w="51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8"/>
              </w:rPr>
              <w:t>Pupil progress</w:t>
            </w:r>
          </w:p>
        </w:tc>
        <w:tc>
          <w:tcPr>
            <w:tcW w:type="dxa" w:w="527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8"/>
              </w:rPr>
              <w:t>Pupils make good progress from their starting points; records show evidence; parents informed.</w:t>
            </w:r>
          </w:p>
        </w:tc>
        <w:tc>
          <w:tcPr>
            <w:tcW w:type="dxa" w:w="51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2041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8"/>
              </w:rPr>
              <w:t>Safeguarding and welfare</w:t>
            </w:r>
          </w:p>
        </w:tc>
        <w:tc>
          <w:tcPr>
            <w:tcW w:type="dxa" w:w="5272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8"/>
              </w:rPr>
              <w:t>Registers by 08:15 daily; incidents logged the same day; policies followed; concerns escalated promptly.</w:t>
            </w:r>
          </w:p>
        </w:tc>
        <w:tc>
          <w:tcPr>
            <w:tcW w:type="dxa" w:w="51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8"/>
              </w:rPr>
              <w:t>Communication</w:t>
            </w:r>
          </w:p>
        </w:tc>
        <w:tc>
          <w:tcPr>
            <w:tcW w:type="dxa" w:w="527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8"/>
              </w:rPr>
              <w:t>Courteous, clear communication with parents and colleagues; uses the portal channels; meets deadlines.</w:t>
            </w:r>
          </w:p>
        </w:tc>
        <w:tc>
          <w:tcPr>
            <w:tcW w:type="dxa" w:w="51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2041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8"/>
              </w:rPr>
              <w:t>Teamwork and contribution</w:t>
            </w:r>
          </w:p>
        </w:tc>
        <w:tc>
          <w:tcPr>
            <w:tcW w:type="dxa" w:w="5272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8"/>
              </w:rPr>
              <w:t>Supports school events; shares resources; contributes to the ECD or Grades team.</w:t>
            </w:r>
          </w:p>
        </w:tc>
        <w:tc>
          <w:tcPr>
            <w:tcW w:type="dxa" w:w="51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8"/>
              </w:rPr>
              <w:t>Professional conduct</w:t>
            </w:r>
          </w:p>
        </w:tc>
        <w:tc>
          <w:tcPr>
            <w:tcW w:type="dxa" w:w="527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8"/>
              </w:rPr>
              <w:t>Punctual; models the Staff Code of Conduct; maintains confidentiality; open to feedback.</w:t>
            </w:r>
          </w:p>
        </w:tc>
        <w:tc>
          <w:tcPr>
            <w:tcW w:type="dxa" w:w="51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2041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8"/>
              </w:rPr>
              <w:t>Professional development</w:t>
            </w:r>
          </w:p>
        </w:tc>
        <w:tc>
          <w:tcPr>
            <w:tcW w:type="dxa" w:w="5272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8"/>
              </w:rPr>
              <w:t>Attends CPD; applies learning in practice; keeps certification current.</w:t>
            </w:r>
          </w:p>
        </w:tc>
        <w:tc>
          <w:tcPr>
            <w:tcW w:type="dxa" w:w="51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  <w:tc>
          <w:tcPr>
            <w:tcW w:type="dxa" w:w="51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  <w:t>☐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i w:val="0"/>
          <w:color w:val="B08D34"/>
          <w:sz w:val="17"/>
        </w:rPr>
        <w:t>APPRAISER'S COMMENTS ON THE STANDARDS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701"/>
        </w:trPr>
        <w:tc>
          <w:tcPr>
            <w:tcW w:type="dxa" w:w="93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/>
        </w:tc>
      </w:tr>
    </w:tbl>
    <w:p>
      <w:pPr>
        <w:keepNext/>
        <w:spacing w:before="280" w:after="80"/>
        <w:pBdr>
          <w:bottom w:val="single" w:sz="6" w:space="2" w:color="B08D34"/>
        </w:pBdr>
      </w:pPr>
      <w:r>
        <w:rPr>
          <w:rFonts w:ascii="Georgia" w:hAnsi="Georgia" w:eastAsia="Georgia"/>
          <w:b/>
          <w:i w:val="0"/>
          <w:color w:val="16304F"/>
          <w:sz w:val="30"/>
        </w:rPr>
        <w:t>4. Objectives for 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2409"/>
        <w:gridCol w:w="2409"/>
      </w:tblGrid>
      <w:tr>
        <w:tc>
          <w:tcPr>
            <w:tcW w:type="dxa" w:w="3402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Objective (specific and measurable)</w:t>
            </w:r>
          </w:p>
        </w:tc>
        <w:tc>
          <w:tcPr>
            <w:tcW w:type="dxa" w:w="2551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Success measure</w:t>
            </w:r>
          </w:p>
        </w:tc>
        <w:tc>
          <w:tcPr>
            <w:tcW w:type="dxa" w:w="1984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Support needed</w:t>
            </w:r>
          </w:p>
        </w:tc>
        <w:tc>
          <w:tcPr>
            <w:tcW w:type="dxa" w:w="1417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Review date</w:t>
            </w:r>
          </w:p>
        </w:tc>
      </w:tr>
      <w:tr>
        <w:trPr>
          <w:trHeight w:val="907"/>
        </w:trPr>
        <w:tc>
          <w:tcPr>
            <w:tcW w:type="dxa" w:w="340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255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98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41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907"/>
        </w:trPr>
        <w:tc>
          <w:tcPr>
            <w:tcW w:type="dxa" w:w="340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255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98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41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907"/>
        </w:trPr>
        <w:tc>
          <w:tcPr>
            <w:tcW w:type="dxa" w:w="340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255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98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41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keepNext/>
        <w:spacing w:before="280" w:after="80"/>
        <w:pBdr>
          <w:bottom w:val="single" w:sz="6" w:space="2" w:color="B08D34"/>
        </w:pBdr>
      </w:pPr>
      <w:r>
        <w:rPr>
          <w:rFonts w:ascii="Georgia" w:hAnsi="Georgia" w:eastAsia="Georgia"/>
          <w:b/>
          <w:i w:val="0"/>
          <w:color w:val="16304F"/>
          <w:sz w:val="30"/>
        </w:rPr>
        <w:t>5. Development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2409"/>
        <w:gridCol w:w="2409"/>
      </w:tblGrid>
      <w:tr>
        <w:tc>
          <w:tcPr>
            <w:tcW w:type="dxa" w:w="2835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Development need</w:t>
            </w:r>
          </w:p>
        </w:tc>
        <w:tc>
          <w:tcPr>
            <w:tcW w:type="dxa" w:w="3118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Activity / course</w:t>
            </w:r>
          </w:p>
        </w:tc>
        <w:tc>
          <w:tcPr>
            <w:tcW w:type="dxa" w:w="1417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By when</w:t>
            </w:r>
          </w:p>
        </w:tc>
        <w:tc>
          <w:tcPr>
            <w:tcW w:type="dxa" w:w="1984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Cost / provider</w:t>
            </w:r>
          </w:p>
        </w:tc>
      </w:tr>
      <w:tr>
        <w:trPr>
          <w:trHeight w:val="794"/>
        </w:trPr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311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41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98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794"/>
        </w:trPr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311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41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98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keepNext/>
        <w:spacing w:before="280" w:after="80"/>
        <w:pBdr>
          <w:bottom w:val="single" w:sz="6" w:space="2" w:color="B08D34"/>
        </w:pBdr>
      </w:pPr>
      <w:r>
        <w:rPr>
          <w:rFonts w:ascii="Georgia" w:hAnsi="Georgia" w:eastAsia="Georgia"/>
          <w:b/>
          <w:i w:val="0"/>
          <w:color w:val="16304F"/>
          <w:sz w:val="30"/>
        </w:rPr>
        <w:t>6. Overall assessment</w:t>
      </w:r>
    </w:p>
    <w:p>
      <w:pPr>
        <w:spacing w:after="60"/>
      </w:pPr>
      <w:r>
        <w:rPr>
          <w:b w:val="0"/>
          <w:i w:val="0"/>
          <w:color w:val="16304F"/>
          <w:sz w:val="23"/>
        </w:rPr>
        <w:t xml:space="preserve">☐ </w:t>
      </w:r>
      <w:r>
        <w:rPr>
          <w:b w:val="0"/>
          <w:i w:val="0"/>
          <w:sz w:val="21"/>
        </w:rPr>
        <w:t xml:space="preserve">Exceeds expectations     </w:t>
      </w:r>
      <w:r>
        <w:rPr>
          <w:b w:val="0"/>
          <w:i w:val="0"/>
          <w:color w:val="16304F"/>
          <w:sz w:val="23"/>
        </w:rPr>
        <w:t xml:space="preserve">☐ </w:t>
      </w:r>
      <w:r>
        <w:rPr>
          <w:b w:val="0"/>
          <w:i w:val="0"/>
          <w:sz w:val="21"/>
        </w:rPr>
        <w:t xml:space="preserve">Meets expectations     </w:t>
      </w:r>
      <w:r>
        <w:rPr>
          <w:b w:val="0"/>
          <w:i w:val="0"/>
          <w:color w:val="16304F"/>
          <w:sz w:val="23"/>
        </w:rPr>
        <w:t xml:space="preserve">☐ </w:t>
      </w:r>
      <w:r>
        <w:rPr>
          <w:b w:val="0"/>
          <w:i w:val="0"/>
          <w:sz w:val="21"/>
        </w:rPr>
        <w:t xml:space="preserve">Partly meets — support plan agreed     </w:t>
      </w:r>
      <w:r>
        <w:rPr>
          <w:b w:val="0"/>
          <w:i w:val="0"/>
          <w:color w:val="16304F"/>
          <w:sz w:val="23"/>
        </w:rPr>
        <w:t xml:space="preserve">☐ </w:t>
      </w:r>
      <w:r>
        <w:rPr>
          <w:b w:val="0"/>
          <w:i w:val="0"/>
          <w:sz w:val="21"/>
        </w:rPr>
        <w:t>Does not meet — capability procedure</w:t>
      </w:r>
    </w:p>
    <w:p>
      <w:pPr>
        <w:spacing w:before="200" w:after="40"/>
      </w:pPr>
      <w:r>
        <w:rPr>
          <w:rFonts w:ascii="Calibri" w:hAnsi="Calibri"/>
          <w:b/>
          <w:i w:val="0"/>
          <w:color w:val="B08D34"/>
          <w:sz w:val="17"/>
        </w:rPr>
        <w:t>APPRAISEE'S COMMENTS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134"/>
        </w:trPr>
        <w:tc>
          <w:tcPr>
            <w:tcW w:type="dxa" w:w="93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before="520"/>
              <w:pBdr>
                <w:bottom w:val="single" w:sz="6" w:space="1" w:color="1F2937"/>
              </w:pBdr>
            </w:pPr>
          </w:p>
        </w:tc>
        <w:tc>
          <w:tcPr>
            <w:tcW w:type="dxa" w:w="2409"/>
          </w:tcPr>
          <w:p>
            <w:pPr>
              <w:spacing w:before="520"/>
              <w:pBdr>
                <w:bottom w:val="single" w:sz="6" w:space="1" w:color="1F2937"/>
              </w:pBdr>
            </w:pPr>
          </w:p>
        </w:tc>
        <w:tc>
          <w:tcPr>
            <w:tcW w:type="dxa" w:w="2409"/>
          </w:tcPr>
          <w:p>
            <w:pPr>
              <w:spacing w:before="520"/>
              <w:pBdr>
                <w:bottom w:val="single" w:sz="6" w:space="1" w:color="1F2937"/>
              </w:pBdr>
            </w:pPr>
          </w:p>
        </w:tc>
        <w:tc>
          <w:tcPr>
            <w:tcW w:type="dxa" w:w="2409"/>
          </w:tcPr>
          <w:p>
            <w:pPr>
              <w:spacing w:before="520"/>
              <w:pBdr>
                <w:bottom w:val="single" w:sz="6" w:space="1" w:color="1F2937"/>
              </w:pBdr>
            </w:pP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i w:val="0"/>
                <w:color w:val="6B7280"/>
                <w:sz w:val="18"/>
              </w:rPr>
              <w:t>Appraisee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i w:val="0"/>
                <w:color w:val="6B7280"/>
                <w:sz w:val="18"/>
              </w:rPr>
              <w:t>Appraiser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i w:val="0"/>
                <w:color w:val="6B7280"/>
                <w:sz w:val="18"/>
              </w:rPr>
              <w:t>Head Teacher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i w:val="0"/>
                <w:color w:val="6B7280"/>
                <w:sz w:val="18"/>
              </w:rPr>
              <w:t>Date</w:t>
            </w:r>
          </w:p>
        </w:tc>
      </w:tr>
    </w:tbl>
    <w:p>
      <w:pPr>
        <w:spacing w:after="120"/>
      </w:pPr>
      <w:r>
        <w:rPr>
          <w:b w:val="0"/>
          <w:i w:val="0"/>
          <w:color w:val="6B7280"/>
          <w:sz w:val="18"/>
        </w:rPr>
        <w:t>A copy of the signed form is filed in the personnel file on Google Drive (HR &amp; Staff → Appraisals) and a copy given to the appraisee.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  <w:pBdr>
        <w:top w:val="single" w:sz="6" w:space="6" w:color="B08D34"/>
      </w:pBdr>
    </w:pPr>
    <w:r>
      <w:rPr>
        <w:b w:val="0"/>
        <w:i w:val="0"/>
        <w:color w:val="6B7280"/>
        <w:sz w:val="16"/>
      </w:rPr>
      <w:t>Tel: +263 775111171  •  Email: info@ayandainfantschool.com  •  Web: www.ayandainfantschool.com</w:t>
    </w:r>
  </w:p>
  <w:p>
    <w:pPr>
      <w:spacing w:after="0"/>
      <w:jc w:val="center"/>
    </w:pPr>
    <w:r>
      <w:rPr>
        <w:b/>
        <w:i w:val="0"/>
        <w:color w:val="B08D34"/>
        <w:sz w:val="14"/>
      </w:rPr>
      <w:t>WHERE EXCELLENCE BEGINS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1814"/>
          <w:vAlign w:val="center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936000" cy="816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smal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816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24"/>
          <w:vAlign w:val="center"/>
        </w:tcPr>
        <w:p>
          <w:pPr>
            <w:spacing w:after="0"/>
            <w:jc w:val="right"/>
          </w:pPr>
          <w:r>
            <w:rPr>
              <w:rFonts w:ascii="Georgia" w:hAnsi="Georgia" w:eastAsia="Georgia"/>
              <w:b/>
              <w:i w:val="0"/>
              <w:color w:val="16304F"/>
              <w:sz w:val="30"/>
            </w:rPr>
            <w:t>AYANDA INFANT SCHOOL</w:t>
          </w:r>
        </w:p>
        <w:p>
          <w:pPr>
            <w:spacing w:after="40"/>
            <w:jc w:val="right"/>
          </w:pPr>
          <w:r>
            <w:rPr>
              <w:b/>
              <w:i w:val="0"/>
              <w:color w:val="B08D34"/>
              <w:sz w:val="15"/>
            </w:rPr>
            <w:t>WHERE EXCELLENCE BEGINS</w:t>
          </w:r>
        </w:p>
        <w:p>
          <w:pPr>
            <w:spacing w:after="0"/>
            <w:jc w:val="right"/>
          </w:pPr>
          <w:r>
            <w:rPr>
              <w:b w:val="0"/>
              <w:i w:val="0"/>
              <w:color w:val="6B7280"/>
              <w:sz w:val="17"/>
            </w:rPr>
            <w:t>1 Chazzis Way, Manningdale, Bulawayo, Zimbabwe</w:t>
          </w:r>
        </w:p>
      </w:tc>
    </w:tr>
  </w:tbl>
  <w:p>
    <w:pPr>
      <w:spacing w:before="80" w:after="0"/>
      <w:pBdr>
        <w:bottom w:val="single" w:sz="16" w:space="1" w:color="16304F"/>
      </w:pBdr>
    </w:pPr>
  </w:p>
  <w:p>
    <w:pPr>
      <w:spacing w:before="0" w:after="0" w:line="80" w:lineRule="exact"/>
      <w:pBdr>
        <w:bottom w:val="single" w:sz="4" w:space="1" w:color="B08D3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