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Expositionsdaten vorbereiten</w:t>
      </w:r>
    </w:p>
    <w:p>
      <w:pPr>
        <w:pStyle w:val="Author"/>
      </w:pPr>
      <w:r>
        <w:t xml:space="preserve">Matthias Lochmann</w:t>
      </w:r>
    </w:p>
    <w:bookmarkStart w:id="20" w:name="datenformate"/>
    <w:p>
      <w:pPr>
        <w:pStyle w:val="Heading2"/>
      </w:pPr>
      <w:r>
        <w:t xml:space="preserve">Datenformate</w:t>
      </w:r>
    </w:p>
    <w:p>
      <w:pPr>
        <w:pStyle w:val="FirstParagraph"/>
      </w:pPr>
      <w:r>
        <w:t xml:space="preserve">Lärmexpositionsdaten werden häufig als Exceltabellen z.B. von Landes- oder Bundesämtern bereitgestellt. Deren jeweiliges Format ist oft ähnlich, unterscheidet sich aber in vielen Details. Um die Daten gut verarbeiten zu können, werden sie hier eingelesen und schön formatiert abgespeichert.</w:t>
      </w:r>
    </w:p>
    <w:bookmarkEnd w:id="20"/>
    <w:bookmarkStart w:id="22" w:name="vorliegende-dateien"/>
    <w:p>
      <w:pPr>
        <w:pStyle w:val="Heading2"/>
      </w:pPr>
      <w:r>
        <w:t xml:space="preserve">Vorliegende Dateien</w:t>
      </w:r>
    </w:p>
    <w:p>
      <w:pPr>
        <w:pStyle w:val="FirstParagraph"/>
      </w:pPr>
      <w:r>
        <w:t xml:space="preserve">In der Datei</w:t>
      </w:r>
    </w:p>
    <w:p>
      <w:pPr>
        <w:pStyle w:val="SourceCode"/>
      </w:pPr>
      <w:r>
        <w:rPr>
          <w:rStyle w:val="VerbatimChar"/>
        </w:rPr>
        <w:t xml:space="preserve">[1] "data/Expositionsdaten/raw/MetadatenExpositionsdaten.csv"</w:t>
      </w:r>
    </w:p>
    <w:p>
      <w:pPr>
        <w:pStyle w:val="FirstParagraph"/>
      </w:pPr>
      <w:r>
        <w:t xml:space="preserve">liegt die manuell zu pflegende Metadatentabelle. Der Inhalt wird hier eingelesen</w:t>
      </w:r>
    </w:p>
    <w:p>
      <w:pPr>
        <w:pStyle w:val="BodyText"/>
      </w:pPr>
      <w:r>
        <w:t xml:space="preserve">und in</w:t>
      </w:r>
      <w:r>
        <w:t xml:space="preserve"> </w:t>
      </w:r>
      <w:hyperlink w:anchor="tbl-metadaten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dargestellt.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metadate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Die Metadaten, mit Hilfe derer die Expositionsdaten eingelesen werden</w:t>
            </w:r>
          </w:p>
          <w:tbl>
            <w:tblPr>
              <w:tblStyle w:val="Table"/>
              <w:tblW w:type="pct" w:w="5150"/>
              <w:tblLayout w:type="fixed"/>
              <w:tblLook w:firstRow="1" w:lastRow="0" w:firstColumn="0" w:lastColumn="0" w:noHBand="0" w:noVBand="0" w:val="0020"/>
            </w:tblPr>
            <w:tblGrid>
              <w:gridCol w:w="1029"/>
              <w:gridCol w:w="712"/>
              <w:gridCol w:w="712"/>
              <w:gridCol w:w="712"/>
              <w:gridCol w:w="712"/>
              <w:gridCol w:w="712"/>
              <w:gridCol w:w="712"/>
              <w:gridCol w:w="712"/>
              <w:gridCol w:w="712"/>
              <w:gridCol w:w="712"/>
              <w:gridCol w:w="71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bundesland_code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quelle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kartierungsumfang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agglomeration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pfad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tabellenblatt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spaltennamen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zeilen_weglassen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zeilen_gesamt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geoschluessel_stellen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datenquelle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agglomeration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…atistikGesamt_20240704.xlsx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Straßenlärm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…tatistikGesamt_20240704.txt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major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outside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…atistikGesamt_20240704.xlsx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Straßenlärm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…tatistikGesamt_20240704.txt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major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agglomeration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…atistikGesamt_20240704.xlsx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Fluglärm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…tatistikGesamt_20240704.txt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major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outside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…atistikGesamt_20240704.xlsx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Fluglärm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…tatistikGesamt_20240704.txt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Industrie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major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agglomeration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…atistikGesamt_20240704.xlsx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Industrielärm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…tatistikGesamt_20240704.txt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major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outside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…lastungsstatistik_2022.xlsx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Hauptverkehrsstraßen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…elastungsstatistik_2022.txt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major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…lastungsstatistik_2022.xlsx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Flughafen Stuttgart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…elastungsstatistik_2022.txt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major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outside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…inden_Ergebnisblatt_V4.xlsx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Tabelle1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…einden_Ergebnisblatt_V4.txt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agglomeration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…D_2022_cutoff241118_v4.xlsx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Aggl_Road_Data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…ND_2022_cutoff241118_v4.txt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major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agglomeration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…D_2022_cutoff241118_v4.xlsx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Aggl_Road_Data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…ND_2022_cutoff241118_v4.txt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</w:tr>
          </w:tbl>
          <w:bookmarkEnd w:id="21"/>
          <w:p/>
        </w:tc>
      </w:tr>
    </w:tbl>
    <w:bookmarkEnd w:id="22"/>
    <w:bookmarkStart w:id="23" w:name="verarbeitung-expositionsdaten"/>
    <w:p>
      <w:pPr>
        <w:pStyle w:val="Heading2"/>
      </w:pPr>
      <w:r>
        <w:t xml:space="preserve">Verarbeitung Expositionsdaten</w:t>
      </w:r>
    </w:p>
    <w:p>
      <w:pPr>
        <w:pStyle w:val="FirstParagraph"/>
      </w:pPr>
      <w:r>
        <w:t xml:space="preserve">Entlang dieser Metadaten werden nun die bereitgestellten Expositionstabellen eingelesen, gefiltert und in ein gut weiterverarbeitbares</w:t>
      </w:r>
      <w:r>
        <w:t xml:space="preserve"> </w:t>
      </w:r>
      <w:r>
        <w:t xml:space="preserve">“long format”</w:t>
      </w:r>
      <w:r>
        <w:t xml:space="preserve"> </w:t>
      </w:r>
      <w:r>
        <w:t xml:space="preserve">transformiert.</w:t>
      </w:r>
    </w:p>
    <w:bookmarkEnd w:id="23"/>
    <w:bookmarkStart w:id="24" w:name="geocode-vereinheitlichen"/>
    <w:p>
      <w:pPr>
        <w:pStyle w:val="Heading2"/>
      </w:pPr>
      <w:r>
        <w:t xml:space="preserve">Geocode vereinheitlichen</w:t>
      </w:r>
    </w:p>
    <w:p>
      <w:pPr>
        <w:pStyle w:val="FirstParagraph"/>
      </w:pPr>
      <w:r>
        <w:t xml:space="preserve">Bislang haben die gemeinde_kennziffern ein uneinheitliches Format: sie umfassen entweder 0, 1 oder führende Ziffern, die das Bundesland codieren.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bundesland_nummer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bundesland_code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bundesland_name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Schleswig-Holstein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Freie und Hansestadt Hamburg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Niedersachsen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Freie Hansestadt Bremen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Nordrhein-Westfalen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Hessen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Rheinland-Pfalz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Baden-Württemberg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Freistaat Bayern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Saarland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Berlin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Brandenburg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Mecklenburg-Vorpommern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Freistaat Sachsen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Sachsen-Anhalt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Freistaat Thüringen</w:t>
            </w:r>
          </w:p>
        </w:tc>
      </w:tr>
    </w:tbl>
    <w:p>
      <w:pPr>
        <w:pStyle w:val="BodyText"/>
      </w:pPr>
      <w:r>
        <w:t xml:space="preserve">Hier wird sie nun vereinheitlicht auf das 8-stellige Format mit dem führenden zweistelligen Bundesland-Code.</w:t>
      </w:r>
    </w:p>
    <w:bookmarkEnd w:id="24"/>
    <w:bookmarkStart w:id="26" w:name="X288efa3c08b4339e3352661b31cf6df9444cd67"/>
    <w:p>
      <w:pPr>
        <w:pStyle w:val="Heading2"/>
      </w:pPr>
      <w:r>
        <w:t xml:space="preserve">Anreichern mit Gemeindeverzeichnis Daten (Destatis)</w:t>
      </w:r>
    </w:p>
    <w:p>
      <w:pPr>
        <w:pStyle w:val="FirstParagraph"/>
      </w:pPr>
      <w:r>
        <w:t xml:space="preserve">Die Datei</w:t>
      </w:r>
    </w:p>
    <w:p>
      <w:pPr>
        <w:pStyle w:val="SourceCode"/>
      </w:pPr>
      <w:r>
        <w:rPr>
          <w:rStyle w:val="VerbatimChar"/>
        </w:rPr>
        <w:t xml:space="preserve">[1] "data/Gebietstabellen/raw/GV100AD_30112025.txt"</w:t>
      </w:r>
    </w:p>
    <w:p>
      <w:pPr>
        <w:pStyle w:val="FirstParagraph"/>
      </w:pPr>
      <w:r>
        <w:t xml:space="preserve">liegt in einem</w:t>
      </w:r>
      <w:r>
        <w:t xml:space="preserve"> </w:t>
      </w:r>
      <w:r>
        <w:t xml:space="preserve">“fixed width”</w:t>
      </w:r>
      <w:r>
        <w:t xml:space="preserve"> </w:t>
      </w:r>
      <w:r>
        <w:t xml:space="preserve">Format vor, welches gut maschinen- aber schlecht menschenlesbar ist. Hier werden nur die relevanten Zeilen eingelesen,</w:t>
      </w:r>
    </w:p>
    <w:p>
      <w:pPr>
        <w:pStyle w:val="BodyText"/>
      </w:pPr>
      <w:r>
        <w:t xml:space="preserve">und die Felder</w:t>
      </w:r>
      <w:r>
        <w:t xml:space="preserve"> </w:t>
      </w:r>
      <w:r>
        <w:t xml:space="preserve">“gemeinde_kennziffer, gemeinde_bezeichnung, bevoelkerung”</w:t>
      </w:r>
      <w:r>
        <w:t xml:space="preserve"> </w:t>
      </w:r>
      <w:r>
        <w:t xml:space="preserve">extrahiert. Ein Auszug daraus findet sich in</w:t>
      </w:r>
      <w:r>
        <w:t xml:space="preserve"> </w:t>
      </w:r>
      <w:hyperlink w:anchor="tbl-gemeindeverzeichnis">
        <w:r>
          <w:rPr>
            <w:rStyle w:val="Hyperlink"/>
          </w:rPr>
          <w:t xml:space="preserve">Table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gemeindeverzeichni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Ein Auszug aus dem so gewonnenen Gemeindeverzeichnis</w:t>
            </w:r>
          </w:p>
          <w:tbl>
            <w:tblPr>
              <w:tblStyle w:val="Table"/>
              <w:tblW w:type="pct" w:w="4950"/>
              <w:tblLayout w:type="fixed"/>
              <w:tblLook w:firstRow="1" w:lastRow="0" w:firstColumn="0" w:lastColumn="0" w:noHBand="0" w:noVBand="0" w:val="0020"/>
            </w:tblPr>
            <w:tblGrid>
              <w:gridCol w:w="2138"/>
              <w:gridCol w:w="1425"/>
              <w:gridCol w:w="1425"/>
              <w:gridCol w:w="1425"/>
              <w:gridCol w:w="142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gemeinde_kennziffer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gemeinde_bezeichnung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gemeinde_kennzeichnung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bevoelkerung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flaeche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09171116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Feichten a.d.Alz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Kreisangehörige Gemeinde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1792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12065136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Hennigsdorf, Stadt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26677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09371136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Kümmersbruck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Kreisangehörige Gemeinde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9830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4730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07331027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Freimersheim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Kreisangehörige Gemeinde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07137089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Polch, Stadt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6675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2868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Die so gewonnenen Gemeindedaten werden nun an die Expositionsdaten angehängt. Für den Teil, in dem schon die Gemeindekennziffer existiert ist dies einfach</w:t>
      </w:r>
    </w:p>
    <w:p>
      <w:pPr>
        <w:pStyle w:val="BodyText"/>
      </w:pPr>
      <w:r>
        <w:t xml:space="preserve">Für den Teil ohne Gemeindekennziffer muss zunächst der Gemeindename einheitlich gepflegt werden</w:t>
      </w:r>
    </w:p>
    <w:p>
      <w:pPr>
        <w:pStyle w:val="SourceCode"/>
      </w:pPr>
      <w:r>
        <w:rPr>
          <w:rStyle w:val="VerbatimChar"/>
        </w:rPr>
        <w:t xml:space="preserve"># A tibble: 0 × 1</w:t>
      </w:r>
      <w:r>
        <w:br/>
      </w:r>
      <w:r>
        <w:rPr>
          <w:rStyle w:val="VerbatimChar"/>
        </w:rPr>
        <w:t xml:space="preserve"># ℹ 1 variable: name_stadt_gemeinde &lt;chr&gt;</w:t>
      </w:r>
    </w:p>
    <w:bookmarkEnd w:id="26"/>
    <w:bookmarkStart w:id="28" w:name="statistische-übersicht"/>
    <w:p>
      <w:pPr>
        <w:pStyle w:val="Heading2"/>
      </w:pPr>
      <w:r>
        <w:t xml:space="preserve">Statistische Übersicht</w:t>
      </w:r>
    </w:p>
    <w:p>
      <w:pPr>
        <w:pStyle w:val="FirstParagraph"/>
      </w:pPr>
      <w:r>
        <w:t xml:space="preserve">Bisher eingelesen wurden die in</w:t>
      </w:r>
      <w:r>
        <w:t xml:space="preserve"> </w:t>
      </w:r>
      <w:hyperlink w:anchor="tbl-expositionsstatistik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zusammengefassten Expositionsdaten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expositionsstatistik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Deskriptive Auswertung der bisher eingelesenen Expositionsdaten</w:t>
            </w:r>
          </w:p>
          <w:tbl>
            <w:tblPr>
              <w:tblStyle w:val="Table"/>
              <w:tblW w:type="pct" w:w="5200"/>
              <w:tblLayout w:type="fixed"/>
              <w:tblLook w:firstRow="1" w:lastRow="0" w:firstColumn="0" w:lastColumn="0" w:noHBand="0" w:noVBand="0" w:val="0020"/>
            </w:tblPr>
            <w:tblGrid>
              <w:gridCol w:w="1267"/>
              <w:gridCol w:w="871"/>
              <w:gridCol w:w="871"/>
              <w:gridCol w:w="871"/>
              <w:gridCol w:w="871"/>
              <w:gridCol w:w="871"/>
              <w:gridCol w:w="871"/>
              <w:gridCol w:w="871"/>
              <w:gridCol w:w="87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datenquelle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bundesland_code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quelle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metrik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bevoelkerung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exponierteGesamt_major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exponierteGesamt_all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AnzKartierteGemeinden_major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AnzKartierteGemeinden_all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5793607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815900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5793607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523700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2035799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354060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2035799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77240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Industrie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1639832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6336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Industrie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1639832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1639832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688104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667358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1639832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514053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434819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883183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883183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5398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8234745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1426309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8234745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842372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469557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143300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469557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44700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97300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1862565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449100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628900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1862565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331700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448400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1343533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304400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519100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1343533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197000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328500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704881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230300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356600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704881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167000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263500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7815033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2183900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3885600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7815033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1553900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2820700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1639832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491000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687900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1639832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357100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514000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515284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148900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231800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515284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108200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169900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2148596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374200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732400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2148596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234400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485500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3009414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950500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1137300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3009414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660700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786200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182971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43600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182971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3685265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927400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1172900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3685265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741500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941900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184754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77400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184754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205307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55500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205307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1422372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297400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469100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1422372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215900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350400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471096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218000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471096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66300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146900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</w:tbl>
          <w:bookmarkEnd w:id="27"/>
          <w:p/>
        </w:tc>
      </w:tr>
    </w:tbl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Expositionsdaten vorbereiten</dc:title>
  <dc:creator>Matthias Lochmann</dc:creator>
  <cp:keywords/>
  <dcterms:created xsi:type="dcterms:W3CDTF">2026-04-29T16:02:23Z</dcterms:created>
  <dcterms:modified xsi:type="dcterms:W3CDTF">2026-04-29T16:02:23Z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