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9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9"/>
    <w:bookmarkStart w:id="11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10"/>
          <w:p/>
        </w:tc>
      </w:tr>
    </w:tbl>
    <w:bookmarkEnd w:id="11"/>
    <w:bookmarkStart w:id="14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Start w:id="13" w:name="country-codes"/>
    <w:p>
      <w:pPr>
        <w:pStyle w:val="Heading3"/>
      </w:pPr>
      <w:r>
        <w:t xml:space="preserve">Country codes</w:t>
      </w:r>
    </w:p>
    <w:p>
      <w:pPr>
        <w:pStyle w:val="FirstParagraph"/>
      </w:pPr>
      <w:r>
        <w:t xml:space="preserve">To unify the country designation, we use the</w:t>
      </w:r>
      <w:r>
        <w:t xml:space="preserve"> </w:t>
      </w:r>
      <w:hyperlink r:id="rId12">
        <w:r>
          <w:rPr>
            <w:rStyle w:val="Hyperlink"/>
          </w:rPr>
          <w:t xml:space="preserve">ISO 3166-1</w:t>
        </w:r>
      </w:hyperlink>
      <w:r>
        <w:t xml:space="preserve"> </w:t>
      </w:r>
      <w:r>
        <w:t xml:space="preserve">List of countries and their two letter 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Bulgaria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Croatia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Liechtenstein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Lithuania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Luxembourg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Slovakia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</w:tbl>
    <w:bookmarkEnd w:id="13"/>
    <w:bookmarkEnd w:id="14"/>
    <w:bookmarkStart w:id="20" w:name="deutsche-daten"/>
    <w:p>
      <w:pPr>
        <w:pStyle w:val="Heading2"/>
      </w:pPr>
      <w:r>
        <w:t xml:space="preserve">Deutsche Daten</w:t>
      </w:r>
    </w:p>
    <w:bookmarkStart w:id="15" w:name="geocode-vereinheitlichen"/>
    <w:p>
      <w:pPr>
        <w:pStyle w:val="Heading3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Bei den deutschen Daten wird die Gemeindekennziffer auf das 8-stellige Format mit dem führenden zweistelligen Bundesland-Code vereinheitlicht.</w:t>
      </w:r>
    </w:p>
    <w:bookmarkEnd w:id="15"/>
    <w:bookmarkStart w:id="16" w:name="wiedereinlesen-destatisdaten"/>
    <w:p>
      <w:pPr>
        <w:pStyle w:val="Heading3"/>
      </w:pPr>
      <w:r>
        <w:t xml:space="preserve">Wiedereinlesen Destatisdaten</w:t>
      </w:r>
    </w:p>
    <w:p>
      <w:pPr>
        <w:pStyle w:val="FirstParagraph"/>
      </w:pPr>
      <w:r>
        <w:t xml:space="preserve">Hier wird sie nun vereinheitlicht auf das 8-stellige Format mit dem führenden zweistelligen Bundesland-Code. </w:t>
      </w:r>
    </w:p>
    <w:bookmarkEnd w:id="16"/>
    <w:bookmarkStart w:id="17" w:name="X288efa3c08b4339e3352661b31cf6df9444cd67"/>
    <w:p>
      <w:pPr>
        <w:pStyle w:val="Heading3"/>
      </w:pPr>
      <w:r>
        <w:t xml:space="preserve">Anreichern mit Gemeindeverzeichnis Daten (Destatis)</w:t>
      </w:r>
    </w:p>
    <w:p>
      <w:pPr>
        <w:pStyle w:val="FirstParagraph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17"/>
    <w:bookmarkStart w:id="19" w:name="statistische-übersicht-deutsche-daten"/>
    <w:p>
      <w:pPr>
        <w:pStyle w:val="Heading3"/>
      </w:pPr>
      <w:r>
        <w:t xml:space="preserve">Statistische Übersicht deutsche Daten</w:t>
      </w:r>
    </w:p>
    <w:p>
      <w:pPr>
        <w:pStyle w:val="FirstParagraph"/>
      </w:pPr>
      <w:r>
        <w:t xml:space="preserve">An deutschen Daten wurden bisher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zusammengefassten Expositionsdaten eingelesen.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2025421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2025421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1" w:name="european-exposure-data"/>
    <w:p>
      <w:pPr>
        <w:pStyle w:val="Heading2"/>
      </w:pPr>
      <w:r>
        <w:t xml:space="preserve">European exposure data</w:t>
      </w:r>
    </w:p>
    <w:p>
      <w:pPr>
        <w:pStyle w:val="FirstParagraph"/>
      </w:pPr>
      <w:r>
        <w:t xml:space="preserve">Similar to the abeovementioned German data, here for the all european exposure data.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atahub.io/core/country-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atahub.io/core/country-l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2026-06-22T14:08:33Z</dcterms:created>
  <dcterms:modified xsi:type="dcterms:W3CDTF">2026-06-22T14:08:33Z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