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Expositionsdaten vorbereiten</w:t>
      </w:r>
    </w:p>
    <w:p>
      <w:pPr>
        <w:pStyle w:val="Author"/>
      </w:pPr>
      <w:r>
        <w:t xml:space="preserve">Matthias Lochmann</w:t>
      </w:r>
    </w:p>
    <w:bookmarkStart w:id="9" w:name="datenformate"/>
    <w:p>
      <w:pPr>
        <w:pStyle w:val="Heading2"/>
      </w:pPr>
      <w:r>
        <w:t xml:space="preserve">Datenformate</w:t>
      </w:r>
    </w:p>
    <w:p>
      <w:pPr>
        <w:pStyle w:val="FirstParagraph"/>
      </w:pPr>
      <w:r>
        <w:t xml:space="preserve">Lärmexpositionsdaten werden häufig als Exceltabellen z.B. von Landes- oder Bundesämtern bereitgestellt. Deren jeweiliges Format ist oft ähnlich, unterscheidet sich aber in vielen Details. Um die Daten gut verarbeiten zu können, werden sie hier eingelesen und schön formatiert abgespeichert.</w:t>
      </w:r>
    </w:p>
    <w:bookmarkEnd w:id="9"/>
    <w:bookmarkStart w:id="11" w:name="vorliegende-dateien"/>
    <w:p>
      <w:pPr>
        <w:pStyle w:val="Heading2"/>
      </w:pPr>
      <w:r>
        <w:t xml:space="preserve">Vorliegende Dateien</w:t>
      </w:r>
    </w:p>
    <w:p>
      <w:pPr>
        <w:pStyle w:val="FirstParagraph"/>
      </w:pPr>
      <w:r>
        <w:t xml:space="preserve">In der Datei</w:t>
      </w:r>
    </w:p>
    <w:p>
      <w:pPr>
        <w:pStyle w:val="SourceCode"/>
      </w:pPr>
      <w:r>
        <w:rPr>
          <w:rStyle w:val="VerbatimChar"/>
        </w:rPr>
        <w:t xml:space="preserve">[1] "data/Expositionsdaten/raw/MetadatenExpositionsdaten.csv"</w:t>
      </w:r>
    </w:p>
    <w:p>
      <w:pPr>
        <w:pStyle w:val="FirstParagraph"/>
      </w:pPr>
      <w:r>
        <w:t xml:space="preserve">liegt die manuell zu pflegende Metadatentabelle. Der Inhalt wird hier eingelesen</w:t>
      </w:r>
    </w:p>
    <w:p>
      <w:pPr>
        <w:pStyle w:val="BodyText"/>
      </w:pPr>
      <w:r>
        <w:t xml:space="preserve">und in</w:t>
      </w:r>
      <w:r>
        <w:t xml:space="preserve"> </w:t>
      </w:r>
      <w:hyperlink w:anchor="tbl-metadaten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dargestellt.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metadate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Die Metadaten, mit Hilfe derer die Expositionsdaten eingelesen werden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50"/>
              <w:gridCol w:w="633"/>
              <w:gridCol w:w="633"/>
              <w:gridCol w:w="633"/>
              <w:gridCol w:w="633"/>
              <w:gridCol w:w="633"/>
              <w:gridCol w:w="633"/>
              <w:gridCol w:w="633"/>
              <w:gridCol w:w="633"/>
              <w:gridCol w:w="633"/>
              <w:gridCol w:w="633"/>
              <w:gridCol w:w="6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bundesland_code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noise_source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mapping_extend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agglomeration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pfad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tabellenblatt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spaltennamen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zeilen_weglassen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zeilen_gesamt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geoschluessel_stellen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data_source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is_location_specific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Straßenlärm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Straßenlärm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…atistikGesamt_20240704.xlsx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Industrielärm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…tatistikGesamt_20240704.txt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…lastungsstatistik_2022.xlsx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Hauptverkehrsstraßen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…elastungsstatistik_2022.txt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…lastungsstatistik_2022.xlsx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Flughafen Stuttgart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…elastungsstatistik_2022.txt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…lastungsstatistik_2022.xlsx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Flughafen Stuttgart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…elastungsstatistik_2022.txt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…inden_Ergebnisblatt_V4.xlsx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Tabelle1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…einden_Ergebnisblatt_V4.txt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Aggl_Road_Data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Aggl_Road_Data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Aggl_Air_Data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Aggl_Air_Data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Aggl_Rail_Data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Aggl_Rail_Data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Aggl_Ind_Data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MRoad_Data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 sources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outside agglomerations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…D_2022_cutoff241118_v4.xlsx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MRail_Data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…ND_2022_cutoff241118_v4.txt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verarbeitung-expositionsdaten"/>
    <w:p>
      <w:pPr>
        <w:pStyle w:val="Heading2"/>
      </w:pPr>
      <w:r>
        <w:t xml:space="preserve">Verarbeitung Expositionsdaten</w:t>
      </w:r>
    </w:p>
    <w:p>
      <w:pPr>
        <w:pStyle w:val="FirstParagraph"/>
      </w:pPr>
      <w:r>
        <w:t xml:space="preserve">Entlang dieser Metadaten werden nun die bereitgestellten Expositionstabellen eingelesen, gefiltert und in ein gut weiterverarbeitbares</w:t>
      </w:r>
      <w:r>
        <w:t xml:space="preserve"> </w:t>
      </w:r>
      <w:r>
        <w:t xml:space="preserve">“long format”</w:t>
      </w:r>
      <w:r>
        <w:t xml:space="preserve"> </w:t>
      </w:r>
      <w:r>
        <w:t xml:space="preserve">transformiert.</w:t>
      </w:r>
    </w:p>
    <w:bookmarkEnd w:id="12"/>
    <w:bookmarkStart w:id="21" w:name="eea-exposure-and-impact-data"/>
    <w:p>
      <w:pPr>
        <w:pStyle w:val="Heading2"/>
      </w:pPr>
      <w:r>
        <w:t xml:space="preserve">EEA Exposure and impact data</w:t>
      </w:r>
    </w:p>
    <w:p>
      <w:pPr>
        <w:pStyle w:val="FirstParagraph"/>
      </w:pPr>
      <w:r>
        <w:t xml:space="preserve">In order to compare to exposure data used here as well as the derived result data, we load the EEA-data from country fact sheets.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01_prepare_exposure_data_files/figure-docx/EEA_results_file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the EEA-country fact sheet uses English names of the communites (/</w:t>
      </w:r>
      <w:r>
        <w:t xml:space="preserve">“locations”</w:t>
      </w:r>
      <w:r>
        <w:t xml:space="preserve">) we translate them to German.</w:t>
      </w:r>
    </w:p>
    <w:p>
      <w:pPr>
        <w:pStyle w:val="BodyText"/>
      </w:pPr>
      <w:r>
        <w:t xml:space="preserve">The comparison between EEA country factsheet and the EIONET provided exposure data does not show any differences between the total number of persons exposed in different locations.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1_prepare_exposure_data_files/figure-docx/compare_EEA_EIONET_exposure_data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country-codes"/>
    <w:p>
      <w:pPr>
        <w:pStyle w:val="Heading3"/>
      </w:pPr>
      <w:r>
        <w:t xml:space="preserve">Country codes</w:t>
      </w:r>
    </w:p>
    <w:p>
      <w:pPr>
        <w:pStyle w:val="FirstParagraph"/>
      </w:pPr>
      <w:r>
        <w:t xml:space="preserve">To unify the country designation, we use the</w:t>
      </w:r>
      <w:r>
        <w:t xml:space="preserve"> </w:t>
      </w:r>
      <w:hyperlink r:id="rId19">
        <w:r>
          <w:rPr>
            <w:rStyle w:val="Hyperlink"/>
          </w:rPr>
          <w:t xml:space="preserve">ISO 3166-1</w:t>
        </w:r>
      </w:hyperlink>
      <w:r>
        <w:t xml:space="preserve"> </w:t>
      </w:r>
      <w:r>
        <w:t xml:space="preserve">List of countries and their two letter codes.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Bulgaria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Croatia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 Republic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Estonia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Liechtenstein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Lithuania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Luxembourg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Slovakia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Slovenia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Switzerland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Türkiye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</w:t>
            </w:r>
          </w:p>
        </w:tc>
      </w:tr>
    </w:tbl>
    <w:bookmarkEnd w:id="20"/>
    <w:bookmarkEnd w:id="21"/>
    <w:bookmarkStart w:id="27" w:name="deutsche-daten"/>
    <w:p>
      <w:pPr>
        <w:pStyle w:val="Heading2"/>
      </w:pPr>
      <w:r>
        <w:t xml:space="preserve">Deutsche Daten</w:t>
      </w:r>
    </w:p>
    <w:bookmarkStart w:id="22" w:name="geocode-vereinheitlichen"/>
    <w:p>
      <w:pPr>
        <w:pStyle w:val="Heading3"/>
      </w:pPr>
      <w:r>
        <w:t xml:space="preserve">Geocode vereinheitlichen</w:t>
      </w:r>
    </w:p>
    <w:p>
      <w:pPr>
        <w:pStyle w:val="FirstParagraph"/>
      </w:pPr>
      <w:r>
        <w:t xml:space="preserve">Bislang haben die gemeinde_kennziffern ein uneinheitliches Format: sie umfassen entweder 0, 1 oder führende Ziffern, die das Bundesland codieren.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bundesland_nummer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bundesland_code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bundesland_name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Schleswig-Holstein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Freie und Hansestadt Hamburg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Niedersachsen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Freie Hansestadt Bremen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Nordrhein-Westfalen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Hessen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Rheinland-Pfalz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Baden-Württemberg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Freistaat Bayern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Saarland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Berlin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Brandenburg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Mecklenburg-Vorpommern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Freistaat Sachsen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Sachsen-Anhalt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Freistaat Thüringen</w:t>
            </w:r>
          </w:p>
        </w:tc>
      </w:tr>
    </w:tbl>
    <w:p>
      <w:pPr>
        <w:pStyle w:val="BodyText"/>
      </w:pPr>
      <w:r>
        <w:t xml:space="preserve">Bei den deutschen Daten wird die Gemeindekennziffer auf das 8-stellige Format mit dem führenden zweistelligen Bundesland-Code vereinheitlicht.</w:t>
      </w:r>
    </w:p>
    <w:bookmarkEnd w:id="22"/>
    <w:bookmarkStart w:id="23" w:name="wiedereinlesen-destatisdaten"/>
    <w:p>
      <w:pPr>
        <w:pStyle w:val="Heading3"/>
      </w:pPr>
      <w:r>
        <w:t xml:space="preserve">Wiedereinlesen Destatisdaten</w:t>
      </w:r>
    </w:p>
    <w:p>
      <w:pPr>
        <w:pStyle w:val="FirstParagraph"/>
      </w:pPr>
      <w:r>
        <w:t xml:space="preserve">Hier wird sie nun vereinheitlicht auf das 8-stellige Format mit dem führenden zweistelligen Bundesland-Code. </w:t>
      </w:r>
    </w:p>
    <w:bookmarkEnd w:id="23"/>
    <w:bookmarkStart w:id="24" w:name="X288efa3c08b4339e3352661b31cf6df9444cd67"/>
    <w:p>
      <w:pPr>
        <w:pStyle w:val="Heading3"/>
      </w:pPr>
      <w:r>
        <w:t xml:space="preserve">Anreichern mit Gemeindeverzeichnis Daten (Destatis)</w:t>
      </w:r>
    </w:p>
    <w:p>
      <w:pPr>
        <w:pStyle w:val="FirstParagraph"/>
      </w:pPr>
      <w:r>
        <w:t xml:space="preserve">Die so gewonnenen Gemeindedaten werden nun an die Expositionsdaten angehängt. Für den Teil, in dem schon die Gemeindekennziffer existiert ist dies einfach</w:t>
      </w:r>
    </w:p>
    <w:p>
      <w:pPr>
        <w:pStyle w:val="BodyText"/>
      </w:pPr>
      <w:r>
        <w:t xml:space="preserve">Für den Teil ohne Gemeindekennziffer muss zunächst der Gemeindename einheitlich gepflegt werden</w:t>
      </w:r>
    </w:p>
    <w:p>
      <w:pPr>
        <w:pStyle w:val="SourceCode"/>
      </w:pPr>
      <w:r>
        <w:rPr>
          <w:rStyle w:val="VerbatimChar"/>
        </w:rPr>
        <w:t xml:space="preserve"># A tibble: 0 × 1</w:t>
      </w:r>
      <w:r>
        <w:br/>
      </w:r>
      <w:r>
        <w:rPr>
          <w:rStyle w:val="VerbatimChar"/>
        </w:rPr>
        <w:t xml:space="preserve"># ℹ 1 variable: name_stadt_gemeinde &lt;chr&gt;</w:t>
      </w:r>
    </w:p>
    <w:bookmarkEnd w:id="24"/>
    <w:bookmarkStart w:id="26" w:name="statistische-übersicht-deutsche-daten"/>
    <w:p>
      <w:pPr>
        <w:pStyle w:val="Heading3"/>
      </w:pPr>
      <w:r>
        <w:t xml:space="preserve">Statistische Übersicht deutsche Daten</w:t>
      </w:r>
    </w:p>
    <w:p>
      <w:pPr>
        <w:pStyle w:val="FirstParagraph"/>
      </w:pPr>
      <w:r>
        <w:t xml:space="preserve">An deutschen Daten wurden bisher die in</w:t>
      </w:r>
      <w:r>
        <w:t xml:space="preserve"> </w:t>
      </w:r>
      <w:hyperlink w:anchor="tbl-expositionsstatistik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zusammengefassten Expositionsdaten eingelesen.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expositionsstatisti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Deskriptive Auswertung der bisher eingelesenen Expositionsdaten</w:t>
            </w:r>
          </w:p>
          <w:tbl>
            <w:tblPr>
              <w:tblStyle w:val="Table"/>
              <w:tblW w:type="pct" w:w="5200"/>
              <w:tblLayout w:type="fixed"/>
              <w:tblLook w:firstRow="1" w:lastRow="0" w:firstColumn="0" w:lastColumn="0" w:noHBand="0" w:noVBand="0" w:val="0020"/>
            </w:tblPr>
            <w:tblGrid>
              <w:gridCol w:w="1108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data_source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bundesland_code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noise_source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bevoelkerung_different sources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bevoelkerung_major sources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exponierteGesamt_different sources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exponierteGesamt_major sources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AnzKartierteGemeinden_different sources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AnzKartierteGemeinden_major sources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4667009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688104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667358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4667009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514053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434819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2088921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373191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2088921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82361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8131748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1426309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8131748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842372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891726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891726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5804498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815900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Bundesland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5804498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523700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143300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628900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449100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331700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117300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86300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1853935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519100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304400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328500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197000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114200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1337054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356600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263500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167000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676463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3885600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2183900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2820700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1553900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147900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752600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359800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7808398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687900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491000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514000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357100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164700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116800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1628008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169900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503339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732400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374200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234400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178700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2130248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1137300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950500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786200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660700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305900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124800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2955723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179634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1172900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927400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941900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741500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352600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252100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165200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3677472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208400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469100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297400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215900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190300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135600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1400322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218000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lden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industry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lnight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474249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</w:tbl>
          <w:bookmarkEnd w:id="25"/>
          <w:p/>
        </w:tc>
      </w:tr>
    </w:tbl>
    <w:bookmarkEnd w:id="26"/>
    <w:bookmarkEnd w:id="27"/>
    <w:bookmarkStart w:id="28" w:name="european-exposure-data"/>
    <w:p>
      <w:pPr>
        <w:pStyle w:val="Heading2"/>
      </w:pPr>
      <w:r>
        <w:t xml:space="preserve">European exposure data</w:t>
      </w:r>
    </w:p>
    <w:p>
      <w:pPr>
        <w:pStyle w:val="FirstParagraph"/>
      </w:pPr>
      <w:r>
        <w:t xml:space="preserve">Similar to the abovementioned German data, here for the all European exposure data.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hyperlink" Id="rId19" Target="https://datahub.io/core/country-l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atahub.io/core/country-l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Expositionsdaten vorbereiten</dc:title>
  <dc:creator>Matthias Lochmann</dc:creator>
  <cp:keywords/>
  <dcterms:created xsi:type="dcterms:W3CDTF">2026-09-23T13:52:14Z</dcterms:created>
  <dcterms:modified xsi:type="dcterms:W3CDTF">2026-09-23T13:52:14Z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