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Expositionsdaten vorbereiten</w:t>
      </w:r>
    </w:p>
    <w:p>
      <w:pPr>
        <w:pStyle w:val="Author"/>
      </w:pPr>
      <w:r>
        <w:t xml:space="preserve">Matthias Lochmann</w:t>
      </w:r>
    </w:p>
    <w:bookmarkStart w:id="20" w:name="datenformate"/>
    <w:p>
      <w:pPr>
        <w:pStyle w:val="Heading2"/>
      </w:pPr>
      <w:r>
        <w:t xml:space="preserve">Datenformate</w:t>
      </w:r>
    </w:p>
    <w:p>
      <w:pPr>
        <w:pStyle w:val="FirstParagraph"/>
      </w:pPr>
      <w:r>
        <w:t xml:space="preserve">Lärmexpositionsdaten werden häufig als Exceltabellen z.B. von Landes- oder Bundesämtern bereitgestellt. Deren jeweiliges Format ist oft ähnlich, unterscheidet sich aber in vielen Details. Um die Daten gut verarbeiten zu können, werden sie hier eingelesen und schön formatiert abgespeichert.</w:t>
      </w:r>
    </w:p>
    <w:bookmarkEnd w:id="20"/>
    <w:bookmarkStart w:id="22" w:name="vorliegende-dateien"/>
    <w:p>
      <w:pPr>
        <w:pStyle w:val="Heading2"/>
      </w:pPr>
      <w:r>
        <w:t xml:space="preserve">Vorliegende Dateien</w:t>
      </w:r>
    </w:p>
    <w:p>
      <w:pPr>
        <w:pStyle w:val="FirstParagraph"/>
      </w:pPr>
      <w:r>
        <w:t xml:space="preserve">In der Datei</w:t>
      </w:r>
    </w:p>
    <w:p>
      <w:pPr>
        <w:pStyle w:val="SourceCode"/>
      </w:pPr>
      <w:r>
        <w:rPr>
          <w:rStyle w:val="VerbatimChar"/>
        </w:rPr>
        <w:t xml:space="preserve">[1] "data/Expositionsdaten/MetadatenExpositionsdaten.csv"</w:t>
      </w:r>
    </w:p>
    <w:p>
      <w:pPr>
        <w:pStyle w:val="FirstParagraph"/>
      </w:pPr>
      <w:r>
        <w:t xml:space="preserve">liegt die manuell zu pflegende Metadatentabelle. Der Inhalt wird hier eingelesen</w:t>
      </w:r>
    </w:p>
    <w:p>
      <w:pPr>
        <w:pStyle w:val="BodyText"/>
      </w:pPr>
      <w:r>
        <w:t xml:space="preserve">und in</w:t>
      </w:r>
      <w:r>
        <w:t xml:space="preserve"> </w:t>
      </w:r>
      <w:hyperlink w:anchor="tbl-metadaten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dargestellt.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metadate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Die Metadaten, mit Hilfe derer die Expositionsdaten eingelesen werden</w:t>
            </w:r>
          </w:p>
          <w:tbl>
            <w:tblPr>
              <w:tblStyle w:val="Table"/>
              <w:tblW w:type="pct" w:w="5150"/>
              <w:tblLayout w:type="fixed"/>
              <w:tblLook w:firstRow="1" w:lastRow="0" w:firstColumn="0" w:lastColumn="0" w:noHBand="0" w:noVBand="0" w:val="0020"/>
            </w:tblPr>
            <w:tblGrid>
              <w:gridCol w:w="1029"/>
              <w:gridCol w:w="712"/>
              <w:gridCol w:w="712"/>
              <w:gridCol w:w="712"/>
              <w:gridCol w:w="712"/>
              <w:gridCol w:w="712"/>
              <w:gridCol w:w="712"/>
              <w:gridCol w:w="712"/>
              <w:gridCol w:w="712"/>
              <w:gridCol w:w="712"/>
              <w:gridCol w:w="71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bundesland_code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quelle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kartierungsumfang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pfad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tabellenblatt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spaltennamen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zeilen_weglassen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zeilen_gesamt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geoschluessel_stellen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datenquelle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Straßenlärm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Straßenlärm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…lastungsstatistik_2022.xlsx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Hauptverkehrsstraßen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…elastungsstatistik_2022.txt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…lastungsstatistik_2022.xlsx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Flughafen Stuttgart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…elastungsstatistik_2022.txt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…inden_Ergebnisblatt_V4.xlsx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Tabelle1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…einden_Ergebnisblatt_V4.txt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Aggl_Road_Data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Aggl_Road_Data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</w:tr>
          </w:tbl>
          <w:bookmarkEnd w:id="21"/>
          <w:p/>
        </w:tc>
      </w:tr>
    </w:tbl>
    <w:bookmarkEnd w:id="22"/>
    <w:bookmarkStart w:id="23" w:name="verarbeitung-expositionsdaten"/>
    <w:p>
      <w:pPr>
        <w:pStyle w:val="Heading2"/>
      </w:pPr>
      <w:r>
        <w:t xml:space="preserve">Verarbeitung Expositionsdaten</w:t>
      </w:r>
    </w:p>
    <w:p>
      <w:pPr>
        <w:pStyle w:val="FirstParagraph"/>
      </w:pPr>
      <w:r>
        <w:t xml:space="preserve">Entlang dieser Metadaten werden nun die bereitgestellten Expositionstabellen eingelesen, gefiltert und in ein gut weiterverarbeitbares</w:t>
      </w:r>
      <w:r>
        <w:t xml:space="preserve"> </w:t>
      </w:r>
      <w:r>
        <w:t xml:space="preserve">“long format”</w:t>
      </w:r>
      <w:r>
        <w:t xml:space="preserve"> </w:t>
      </w:r>
      <w:r>
        <w:t xml:space="preserve">transformiert.</w:t>
      </w:r>
    </w:p>
    <w:bookmarkEnd w:id="23"/>
    <w:bookmarkStart w:id="24" w:name="geocode-vereinheitlichen"/>
    <w:p>
      <w:pPr>
        <w:pStyle w:val="Heading2"/>
      </w:pPr>
      <w:r>
        <w:t xml:space="preserve">Geocode vereinheitlichen</w:t>
      </w:r>
    </w:p>
    <w:p>
      <w:pPr>
        <w:pStyle w:val="FirstParagraph"/>
      </w:pPr>
      <w:r>
        <w:t xml:space="preserve">Bislang haben die gemeinde_kennziffern ein uneinheitliches Format: sie umfassen entweder 0, 1 oder führende Ziffern, die das Bundesland codieren.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bundesland_nummer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bundesland_code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bundesland_name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Schleswig-Holstein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Freie und Hansestadt Hamburg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Niedersachsen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Freie Hansestadt Bremen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Nordrhein-Westfalen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Rheinland-Pfalz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Baden-Württemberg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Bayern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Saarland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Berlin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Brandenburg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Mecklenburg-Vorpommern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Sachsen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Sachsen-Anhalt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Thüringen</w:t>
            </w:r>
          </w:p>
        </w:tc>
      </w:tr>
    </w:tbl>
    <w:p>
      <w:pPr>
        <w:pStyle w:val="BodyText"/>
      </w:pPr>
      <w:r>
        <w:t xml:space="preserve">Hier wird sie nun vereinheitlicht auf das 8-stellige Format mit dem führenden zweistelligen Bundesland-Code.</w:t>
      </w:r>
    </w:p>
    <w:bookmarkEnd w:id="24"/>
    <w:bookmarkStart w:id="26" w:name="X288efa3c08b4339e3352661b31cf6df9444cd67"/>
    <w:p>
      <w:pPr>
        <w:pStyle w:val="Heading2"/>
      </w:pPr>
      <w:r>
        <w:t xml:space="preserve">Anreichern mit Gemeindeverzeichnis Daten (Destatis)</w:t>
      </w:r>
    </w:p>
    <w:p>
      <w:pPr>
        <w:pStyle w:val="FirstParagraph"/>
      </w:pPr>
      <w:r>
        <w:t xml:space="preserve">Die Datei</w:t>
      </w:r>
    </w:p>
    <w:p>
      <w:pPr>
        <w:pStyle w:val="SourceCode"/>
      </w:pPr>
      <w:r>
        <w:rPr>
          <w:rStyle w:val="VerbatimChar"/>
        </w:rPr>
        <w:t xml:space="preserve">[1] "./data/Gebietstabellen/GV100AD_30112025.txt"</w:t>
      </w:r>
    </w:p>
    <w:p>
      <w:pPr>
        <w:pStyle w:val="FirstParagraph"/>
      </w:pPr>
      <w:r>
        <w:t xml:space="preserve">liegt in einem</w:t>
      </w:r>
      <w:r>
        <w:t xml:space="preserve"> </w:t>
      </w:r>
      <w:r>
        <w:t xml:space="preserve">“fixed width”</w:t>
      </w:r>
      <w:r>
        <w:t xml:space="preserve"> </w:t>
      </w:r>
      <w:r>
        <w:t xml:space="preserve">Format vor, welches gut maschinen- aber schlecht menschenlesbar ist. Hier werden nur die relevanten Zeilen eingelesen,</w:t>
      </w:r>
    </w:p>
    <w:p>
      <w:pPr>
        <w:pStyle w:val="BodyText"/>
      </w:pPr>
      <w:r>
        <w:t xml:space="preserve">und die Felder</w:t>
      </w:r>
      <w:r>
        <w:t xml:space="preserve"> </w:t>
      </w:r>
      <w:r>
        <w:t xml:space="preserve">“gemeinde_kennziffer, gemeinde_bezeichnung, bevoelkerung”</w:t>
      </w:r>
      <w:r>
        <w:t xml:space="preserve"> </w:t>
      </w:r>
      <w:r>
        <w:t xml:space="preserve">extrahiert. Ein Auszug daraus findet sich in</w:t>
      </w:r>
      <w:r>
        <w:t xml:space="preserve"> </w:t>
      </w:r>
      <w:hyperlink w:anchor="tbl-gemeindeverzeichnis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gemeindeverzeichn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Ein Auszug aus dem so gewonnenen Gemeindeverzeichnis</w:t>
            </w:r>
          </w:p>
          <w:tbl>
            <w:tblPr>
              <w:tblStyle w:val="Table"/>
              <w:tblW w:type="pct" w:w="4950"/>
              <w:tblLayout w:type="fixed"/>
              <w:tblLook w:firstRow="1" w:lastRow="0" w:firstColumn="0" w:lastColumn="0" w:noHBand="0" w:noVBand="0" w:val="0020"/>
            </w:tblPr>
            <w:tblGrid>
              <w:gridCol w:w="2138"/>
              <w:gridCol w:w="1425"/>
              <w:gridCol w:w="1425"/>
              <w:gridCol w:w="1425"/>
              <w:gridCol w:w="142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gemeinde_kennziffer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gemeinde_bezeichnung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gemeinde_kennzeichnung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bevoelkerung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flaeche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15089015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Aschersleben, Stadt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25647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15683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06440019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Ortenberg, Stadt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07235035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Grimburg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Kreisangehörige Gemeinde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09186158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Vohburg a.d.Donau, 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07133109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Wallhausen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Kreisangehörige Gemeinde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1030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Die so gewonnenen Gemeindedaten werden nun an die Expositionsdaten angehängt.</w:t>
      </w:r>
      <w:r>
        <w:t xml:space="preserve"> </w:t>
      </w:r>
      <w:r>
        <w:t xml:space="preserve">Für den Teil, in dem schon die Gemeindekennziffer existiert ist dies einfach</w:t>
      </w:r>
    </w:p>
    <w:p>
      <w:pPr>
        <w:pStyle w:val="BodyText"/>
      </w:pPr>
      <w:r>
        <w:t xml:space="preserve">Für den Teil ohne Gemeindekennziffer muss zunächst der Gemeindename einheitlich gepflegt werden</w:t>
      </w:r>
    </w:p>
    <w:p>
      <w:pPr>
        <w:pStyle w:val="SourceCode"/>
      </w:pPr>
      <w:r>
        <w:rPr>
          <w:rStyle w:val="VerbatimChar"/>
        </w:rPr>
        <w:t xml:space="preserve"># A tibble: 0 × 1</w:t>
      </w:r>
      <w:r>
        <w:br/>
      </w:r>
      <w:r>
        <w:rPr>
          <w:rStyle w:val="VerbatimChar"/>
        </w:rPr>
        <w:t xml:space="preserve"># ℹ 1 variable: name_stadt_gemeinde &lt;chr&gt;</w:t>
      </w:r>
    </w:p>
    <w:bookmarkEnd w:id="26"/>
    <w:bookmarkStart w:id="28" w:name="statistische-übersicht"/>
    <w:p>
      <w:pPr>
        <w:pStyle w:val="Heading2"/>
      </w:pPr>
      <w:r>
        <w:t xml:space="preserve">Statistische Übersicht</w:t>
      </w:r>
    </w:p>
    <w:p>
      <w:pPr>
        <w:pStyle w:val="FirstParagraph"/>
      </w:pPr>
      <w:r>
        <w:t xml:space="preserve">Bisher eingelesen wurden die in</w:t>
      </w:r>
      <w:r>
        <w:t xml:space="preserve"> </w:t>
      </w:r>
      <w:hyperlink w:anchor="tbl-expositionsstatistik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zusammengefassten Expositionsdaten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expositionsstatisti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Deskriptive Auswertung der bisher eingelesenen Expositionsdaten</w:t>
            </w:r>
          </w:p>
          <w:tbl>
            <w:tblPr>
              <w:tblStyle w:val="Table"/>
              <w:tblW w:type="pct" w:w="5200"/>
              <w:tblLayout w:type="fixed"/>
              <w:tblLook w:firstRow="1" w:lastRow="0" w:firstColumn="0" w:lastColumn="0" w:noHBand="0" w:noVBand="0" w:val="0020"/>
            </w:tblPr>
            <w:tblGrid>
              <w:gridCol w:w="1267"/>
              <w:gridCol w:w="871"/>
              <w:gridCol w:w="871"/>
              <w:gridCol w:w="871"/>
              <w:gridCol w:w="871"/>
              <w:gridCol w:w="871"/>
              <w:gridCol w:w="871"/>
              <w:gridCol w:w="871"/>
              <w:gridCol w:w="87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datenquelle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bundesland_code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quelle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bevoelkerung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exponierteGesamt_major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exponierteGesamt_all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AnzKartierteGemeinden_major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AnzKartierteGemeinden_all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5793607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5793607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523700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2035799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354060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2035799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77240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688104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667358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514053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434819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883183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883183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8234745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1426309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8234745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842372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469557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469557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1862565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628900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1862565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331700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1343533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304400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1343533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197000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328500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704881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356600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704881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263500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7815033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2183900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3885600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7815033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357100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514000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515284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515284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169900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2148596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374200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732400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2148596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234400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3009414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950500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3009414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786200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182971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182971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3685265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1172900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3685265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741500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941900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184754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184754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205307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205307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1422372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1422372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471096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218000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471096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</w:tbl>
          <w:bookmarkEnd w:id="27"/>
          <w:p/>
        </w:tc>
      </w:tr>
    </w:tbl>
    <w:bookmarkEnd w:id="28"/>
    <w:bookmarkStart w:id="36" w:name="gis-übersicht"/>
    <w:p>
      <w:pPr>
        <w:pStyle w:val="Heading2"/>
      </w:pPr>
      <w:r>
        <w:t xml:space="preserve">GIS-Übersicht</w:t>
      </w:r>
    </w:p>
    <w:p>
      <w:pPr>
        <w:pStyle w:val="FirstParagraph"/>
      </w:pPr>
      <w:r>
        <w:t xml:space="preserve">Ich lade hier die</w:t>
      </w:r>
      <w:r>
        <w:t xml:space="preserve"> </w:t>
      </w:r>
      <w:hyperlink r:id="rId29">
        <w:r>
          <w:rPr>
            <w:rStyle w:val="Hyperlink"/>
          </w:rPr>
          <w:t xml:space="preserve">GIS-Daten der Gemeinden</w:t>
        </w:r>
      </w:hyperlink>
      <w:r>
        <w:t xml:space="preserve"> </w:t>
      </w:r>
      <w:r>
        <w:t xml:space="preserve">des Bundesamts für Kartographie und Geodäsie (BKG) herunter und extrahiere daraus alle deutschen Gemeindegrenzen.</w:t>
      </w:r>
    </w:p>
    <w:p>
      <w:pPr>
        <w:pStyle w:val="SourceCode"/>
      </w:pPr>
      <w:r>
        <w:rPr>
          <w:rStyle w:val="VerbatimChar"/>
        </w:rPr>
        <w:t xml:space="preserve">Reading layer `vg250_gem' from data source </w:t>
      </w:r>
      <w:r>
        <w:br/>
      </w:r>
      <w:r>
        <w:rPr>
          <w:rStyle w:val="VerbatimChar"/>
        </w:rPr>
        <w:t xml:space="preserve">  `C:\Users\lochmannm\Documents\GitHub\END2DALY\data\Gebietstabellen\DE_VG250.gpkg' </w:t>
      </w:r>
      <w:r>
        <w:br/>
      </w:r>
      <w:r>
        <w:rPr>
          <w:rStyle w:val="VerbatimChar"/>
        </w:rPr>
        <w:t xml:space="preserve">  using driver `GPKG'</w:t>
      </w:r>
      <w:r>
        <w:br/>
      </w:r>
      <w:r>
        <w:rPr>
          <w:rStyle w:val="VerbatimChar"/>
        </w:rPr>
        <w:t xml:space="preserve">Simple feature collection with 11103 features and 26 fields</w:t>
      </w:r>
      <w:r>
        <w:br/>
      </w:r>
      <w:r>
        <w:rPr>
          <w:rStyle w:val="VerbatimChar"/>
        </w:rPr>
        <w:t xml:space="preserve">Geometry type: MULTIPOLYGON</w:t>
      </w:r>
      <w:r>
        <w:br/>
      </w:r>
      <w:r>
        <w:rPr>
          <w:rStyle w:val="VerbatimChar"/>
        </w:rPr>
        <w:t xml:space="preserve">Dimension:     XY</w:t>
      </w:r>
      <w:r>
        <w:br/>
      </w:r>
      <w:r>
        <w:rPr>
          <w:rStyle w:val="VerbatimChar"/>
        </w:rPr>
        <w:t xml:space="preserve">Bounding box:  xmin: 280371.1 ymin: 5235856 xmax: 921292.4 ymax: 6101487</w:t>
      </w:r>
      <w:r>
        <w:br/>
      </w:r>
      <w:r>
        <w:rPr>
          <w:rStyle w:val="VerbatimChar"/>
        </w:rPr>
        <w:t xml:space="preserve">Projected CRS: ETRS89 / UTM zone 32N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xpositionsdaten_vorbereiten_files/figure-docx/vg250_laden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Statistik über die Gemeinden in Deutschland: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Gemeindefreies Gebiet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kreisfrei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</w:tbl>
    <w:p>
      <w:pPr>
        <w:pStyle w:val="BodyText"/>
      </w:pPr>
      <w:r>
        <w:t xml:space="preserve">In den Gemeinden gibt es folgende Dubletten:</w:t>
      </w:r>
    </w:p>
    <w:p>
      <w:pPr>
        <w:pStyle w:val="SourceCode"/>
      </w:pPr>
      <w:r>
        <w:rPr>
          <w:rStyle w:val="VerbatimChar"/>
        </w:rPr>
        <w:t xml:space="preserve">[1] AGS n  </w:t>
      </w:r>
      <w:r>
        <w:br/>
      </w:r>
      <w:r>
        <w:rPr>
          <w:rStyle w:val="VerbatimChar"/>
        </w:rPr>
        <w:t xml:space="preserve">&lt;0 Zeilen&gt; (oder row.names mit Länge 0)</w:t>
      </w:r>
    </w:p>
    <w:p>
      <w:pPr>
        <w:pStyle w:val="FirstParagraph"/>
      </w:pPr>
      <w:r>
        <w:t xml:space="preserve">Zusammen mit den Informationen aus der oben genannten Tabelle</w:t>
      </w:r>
      <w:r>
        <w:t xml:space="preserve"> </w:t>
      </w:r>
      <w:r>
        <w:t xml:space="preserve">“gv_gemeinden”</w:t>
      </w:r>
      <w:r>
        <w:t xml:space="preserve"> </w:t>
      </w:r>
      <w:r>
        <w:t xml:space="preserve">lässt sich beispielsweise eine Bevölkerungdichtekarte darstellen: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xpositionsdaten_vorbereiten_files/figure-docx/gis_visualisierung_vg250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expositionsdaten-räumlich-visualisieren"/>
    <w:p>
      <w:pPr>
        <w:pStyle w:val="Heading2"/>
      </w:pPr>
      <w:r>
        <w:t xml:space="preserve">Expositionsdaten räumlich visualisieren</w:t>
      </w:r>
    </w:p>
    <w:p>
      <w:pPr>
        <w:pStyle w:val="FirstParagraph"/>
      </w:pPr>
      <w:r>
        <w:t xml:space="preserve">Am Beispiel von Hessen wird der Umfang der Expositionsinformationen der verschiedenen Datenquellen visualiert: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xpositionsdaten_vorbereiten_files/figure-docx/gis_expositionsdaten_plotten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hyperlink" Id="rId29" Target="https://daten.gdz.bkg.bund.de/produkte/vg/vg250_ebenen_0101/aktuell/vg250_01-01.utm32s.gpkg.ebenen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aten.gdz.bkg.bund.de/produkte/vg/vg250_ebenen_0101/aktuell/vg250_01-01.utm32s.gpkg.ebenen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Expositionsdaten vorbereiten</dc:title>
  <dc:creator>Matthias Lochmann</dc:creator>
  <cp:keywords/>
  <dcterms:created xsi:type="dcterms:W3CDTF">2026-04-29T13:38:04Z</dcterms:created>
  <dcterms:modified xsi:type="dcterms:W3CDTF">2026-04-29T13:38:04Z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