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2810" w14:textId="77777777" w:rsidR="003054B1" w:rsidRDefault="00000000">
      <w:pPr>
        <w:pStyle w:val="Heading1"/>
      </w:pPr>
      <w:bookmarkStart w:id="0" w:name="X7da6be57a7b22f6049640055ec093082421b9f0"/>
      <w:r>
        <w:t>Acquisition Confounding in Multi-Vendor Breast MRI Radiomic Phenotype Discovery</w:t>
      </w:r>
    </w:p>
    <w:p w14:paraId="64FDC434" w14:textId="77777777" w:rsidR="003054B1" w:rsidRDefault="00000000">
      <w:pPr>
        <w:pStyle w:val="FirstParagraph"/>
      </w:pPr>
      <w:r>
        <w:t>A reanalysis of 922 patients across ten conditions</w:t>
      </w:r>
    </w:p>
    <w:p w14:paraId="765CE949" w14:textId="77777777" w:rsidR="003054B1" w:rsidRDefault="00000000">
      <w:r>
        <w:pict w14:anchorId="4DA11B42">
          <v:rect id="_x0000_i1025" style="width:0;height:1.5pt" o:hralign="center" o:hrstd="t" o:hr="t"/>
        </w:pict>
      </w:r>
    </w:p>
    <w:p w14:paraId="656E9306" w14:textId="77777777" w:rsidR="003054B1" w:rsidRDefault="00000000">
      <w:pPr>
        <w:pStyle w:val="Heading2"/>
      </w:pPr>
      <w:bookmarkStart w:id="1" w:name="editorial-positioning-paragraph"/>
      <w:r>
        <w:t>Editorial positioning paragraph</w:t>
      </w:r>
    </w:p>
    <w:p w14:paraId="5E0B309C" w14:textId="77777777" w:rsidR="003054B1" w:rsidRDefault="00000000">
      <w:pPr>
        <w:pStyle w:val="FirstParagraph"/>
      </w:pPr>
      <w:r>
        <w:t xml:space="preserve">In a 922-patient breast-MRI cohort, a standard unsupervised radiomics pipeline produced a stable two-cluster phenotype with vascularity character and an apparent HR+/HER2+ prognostic refinement at </w:t>
      </w:r>
      <w:r>
        <w:rPr>
          <w:i/>
          <w:iCs/>
        </w:rPr>
        <w:t>p</w:t>
      </w:r>
      <w:r>
        <w:t xml:space="preserve"> = 0.016. We show that the leading axes of the radiomic feature space in this cohort are pulse-sequence parameters rather than biology, that the cluster partition does not survive ComBat or linear residualization, and that the HR+/HER2+ point estimate is not stable across harmonization methods. After harmonization, what remains is a size-correlated residual structure that did not reach our prespecified biomarker criteria in this cohort. The contribution is methodological: cluster stability and cluster biological identity are independent properties, and standard validation pipelines do not test for the difference. We propose four routine checks to operationalize that distinction.</w:t>
      </w:r>
    </w:p>
    <w:p w14:paraId="6E54ABEF" w14:textId="77777777" w:rsidR="003054B1" w:rsidRDefault="00000000">
      <w:r>
        <w:pict w14:anchorId="389FA04C">
          <v:rect id="_x0000_i1026" style="width:0;height:1.5pt" o:hralign="center" o:hrstd="t" o:hr="t"/>
        </w:pict>
      </w:r>
    </w:p>
    <w:p w14:paraId="4154D2CE" w14:textId="77777777" w:rsidR="003054B1" w:rsidRDefault="00000000">
      <w:pPr>
        <w:pStyle w:val="Heading2"/>
      </w:pPr>
      <w:bookmarkStart w:id="2" w:name="title-options"/>
      <w:bookmarkEnd w:id="1"/>
      <w:r>
        <w:t>Title options</w:t>
      </w:r>
    </w:p>
    <w:p w14:paraId="6E2800B9" w14:textId="77777777" w:rsidR="003054B1" w:rsidRDefault="00000000">
      <w:pPr>
        <w:pStyle w:val="FirstParagraph"/>
      </w:pPr>
      <w:r>
        <w:rPr>
          <w:b/>
          <w:bCs/>
        </w:rPr>
        <w:t>Primary recommendation.</w:t>
      </w:r>
      <w:r>
        <w:t xml:space="preserve"> &gt; </w:t>
      </w:r>
      <w:r>
        <w:rPr>
          <w:i/>
          <w:iCs/>
        </w:rPr>
        <w:t>Acquisition Confounding in Multi-Vendor Breast MRI Radiomic Phenotype Discovery: A Reanalysis of 922 Patients Across Ten Conditions</w:t>
      </w:r>
    </w:p>
    <w:p w14:paraId="0FB0BBE3" w14:textId="77777777" w:rsidR="003054B1" w:rsidRDefault="00000000">
      <w:pPr>
        <w:pStyle w:val="BodyText"/>
      </w:pPr>
      <w:r>
        <w:rPr>
          <w:b/>
          <w:bCs/>
        </w:rPr>
        <w:t>Alternatives.</w:t>
      </w:r>
      <w:r>
        <w:t xml:space="preserve"> 1. </w:t>
      </w:r>
      <w:r>
        <w:rPr>
          <w:i/>
          <w:iCs/>
        </w:rPr>
        <w:t>When Cluster Stability Does Not Imply Biological Validity: A Vendor-Aware Reanalysis of Breast MRI Radiomic Phenotypes in 922 Patients</w:t>
      </w:r>
      <w:r>
        <w:t xml:space="preserve"> 2. </w:t>
      </w:r>
      <w:r>
        <w:rPr>
          <w:i/>
          <w:iCs/>
        </w:rPr>
        <w:t>Stress-Testing Unsupervised Radiomic Phenotype Discovery: A Multi-Condition Reanalysis of 922 Multi-Vendor Breast MRIs</w:t>
      </w:r>
      <w:r>
        <w:t xml:space="preserve"> 3. </w:t>
      </w:r>
      <w:r>
        <w:rPr>
          <w:i/>
          <w:iCs/>
        </w:rPr>
        <w:t>Manufacturer and Pulse-Sequence Variance in Breast MRI Radiomic Phenotype Discovery: An End-to-End Reanalysis of 922 Patients</w:t>
      </w:r>
      <w:r>
        <w:t xml:space="preserve"> 4. </w:t>
      </w:r>
      <w:r>
        <w:rPr>
          <w:i/>
          <w:iCs/>
        </w:rPr>
        <w:t>From Apparent Vascularity Phenotype to Size-Correlated Residual: A Vendor-Aware Reanalysis of Breast MRI Radiomics in 922 Patients</w:t>
      </w:r>
    </w:p>
    <w:p w14:paraId="0A249E8D" w14:textId="77777777" w:rsidR="003054B1" w:rsidRDefault="00000000">
      <w:r>
        <w:pict w14:anchorId="5ED55DF9">
          <v:rect id="_x0000_i1027" style="width:0;height:1.5pt" o:hralign="center" o:hrstd="t" o:hr="t"/>
        </w:pict>
      </w:r>
    </w:p>
    <w:p w14:paraId="39E34BB5" w14:textId="77777777" w:rsidR="003054B1" w:rsidRDefault="00000000">
      <w:pPr>
        <w:pStyle w:val="Heading2"/>
      </w:pPr>
      <w:bookmarkStart w:id="3" w:name="abstract"/>
      <w:bookmarkEnd w:id="2"/>
      <w:r>
        <w:t>Abstract</w:t>
      </w:r>
    </w:p>
    <w:p w14:paraId="5FDC3957" w14:textId="77777777" w:rsidR="003054B1" w:rsidRDefault="00000000">
      <w:pPr>
        <w:pStyle w:val="FirstParagraph"/>
      </w:pPr>
      <w:r>
        <w:rPr>
          <w:b/>
          <w:bCs/>
        </w:rPr>
        <w:t>Background.</w:t>
      </w:r>
      <w:r>
        <w:t xml:space="preserve"> Unsupervised radiomic phenotype discovery from multi-vendor MRI routinely produces stable clusters that are interpreted as biological subgroups. The robustness of such findings to acquisition heterogeneity is rarely tested end to end on a single cohort.</w:t>
      </w:r>
    </w:p>
    <w:p w14:paraId="1E90AF9A" w14:textId="77777777" w:rsidR="003054B1" w:rsidRDefault="00000000">
      <w:pPr>
        <w:pStyle w:val="BodyText"/>
      </w:pPr>
      <w:r>
        <w:rPr>
          <w:b/>
          <w:bCs/>
        </w:rPr>
        <w:t>Purpose.</w:t>
      </w:r>
      <w:r>
        <w:t xml:space="preserve"> To stress-test, in 922 patients, an apparent latent vascularity phenotype with a candidate HR+/HER2+ prognostic refinement, and to determine what — if anything — survives systematic acquisition-confounding adjudication.</w:t>
      </w:r>
    </w:p>
    <w:p w14:paraId="2FAD5720" w14:textId="77777777" w:rsidR="003054B1" w:rsidRDefault="00000000">
      <w:pPr>
        <w:pStyle w:val="BodyText"/>
      </w:pPr>
      <w:r>
        <w:rPr>
          <w:b/>
          <w:bCs/>
        </w:rPr>
        <w:lastRenderedPageBreak/>
        <w:t>Methods.</w:t>
      </w:r>
      <w:r>
        <w:t xml:space="preserve"> Phenotype discovery was run under ten conditions (raw, redundancy-reduced, size-removed, enhancement-only, linear-residualized, ComBat-harmonized, GE-only, Siemens-only, manufacturer-balanced, and four continuous PC1 scores). Acquisition variance was partitioned per principal component by η². Recurrence-free survival used Cox regression with within-fold preprocessing; binary recurrence used 5-fold nested CV across 14 feature blocks.</w:t>
      </w:r>
    </w:p>
    <w:p w14:paraId="27F43899" w14:textId="77777777" w:rsidR="003054B1" w:rsidRDefault="00000000">
      <w:pPr>
        <w:pStyle w:val="BodyText"/>
      </w:pPr>
      <w:r>
        <w:rPr>
          <w:b/>
          <w:bCs/>
        </w:rPr>
        <w:t>Results.</w:t>
      </w:r>
      <w:r>
        <w:t xml:space="preserve"> A two-cluster solution was bootstrap-stable in every condition (ARI 0.88–0.96), interpretable as vascularity-driven, and gave an HR+/HER2+ age-adjusted hazard ratio of 0.87 (95% CI 0.78–0.97, </w:t>
      </w:r>
      <w:r>
        <w:rPr>
          <w:i/>
          <w:iCs/>
        </w:rPr>
        <w:t>p</w:t>
      </w:r>
      <w:r>
        <w:t xml:space="preserve"> = 0.016). TR explained 76% of PC1 variance (η² = 0.76); the raw cluster was associated with manufacturer at </w:t>
      </w:r>
      <w:r>
        <w:rPr>
          <w:i/>
          <w:iCs/>
        </w:rPr>
        <w:t>p</w:t>
      </w:r>
      <w:r>
        <w:t xml:space="preserve"> = 1.1×10⁻⁹⁶ and with molecular subtype at </w:t>
      </w:r>
      <w:r>
        <w:rPr>
          <w:i/>
          <w:iCs/>
        </w:rPr>
        <w:t>p</w:t>
      </w:r>
      <w:r>
        <w:t xml:space="preserve"> = 0.27. The HR+/HER2+ point estimate moved from HR 0.87 (raw, age-adjusted) to HR 0.92 (raw, age + manufacturer-adjusted, </w:t>
      </w:r>
      <w:r>
        <w:rPr>
          <w:i/>
          <w:iCs/>
        </w:rPr>
        <w:t>p</w:t>
      </w:r>
      <w:r>
        <w:t xml:space="preserve"> = 0.24) and to HR 1.19 (ComBat, age + manufacturer-adjusted, </w:t>
      </w:r>
      <w:r>
        <w:rPr>
          <w:i/>
          <w:iCs/>
        </w:rPr>
        <w:t>p</w:t>
      </w:r>
      <w:r>
        <w:t xml:space="preserve"> = 0.039) across harmonization methods — opposite-direction effects in the same subgroup. Linear residualization and ComBat both collapsed the original partition (ARI 0.06–0.07 vs. raw) and replaced it with a size-correlated residual structure (vs. tumor box-volume </w:t>
      </w:r>
      <w:r>
        <w:rPr>
          <w:i/>
          <w:iCs/>
        </w:rPr>
        <w:t>p</w:t>
      </w:r>
      <w:r>
        <w:t xml:space="preserve"> = 1×10⁻²⁶) that was non-significant for recurrence (</w:t>
      </w:r>
      <w:r>
        <w:rPr>
          <w:i/>
          <w:iCs/>
        </w:rPr>
        <w:t>p</w:t>
      </w:r>
      <w:r>
        <w:t xml:space="preserve"> = 0.07–0.11), did not improve recurrence prediction over clinical features (best clinical+subtype AUC 0.610; vascularity-augmented 0.604; vascularity alone &lt; 0.5), and showed opposite-direction within-vendor effects.</w:t>
      </w:r>
    </w:p>
    <w:p w14:paraId="5F2C147B" w14:textId="77777777" w:rsidR="003054B1" w:rsidRDefault="00000000">
      <w:pPr>
        <w:pStyle w:val="BodyText"/>
      </w:pPr>
      <w:r>
        <w:rPr>
          <w:b/>
          <w:bCs/>
        </w:rPr>
        <w:t>Conclusion.</w:t>
      </w:r>
      <w:r>
        <w:t xml:space="preserve"> In this cohort and under this pipeline, a stable and biologically interpretable radiomic phenotype is consistent with acquisition confounding rather than with a biological signal, and the residual structure that emerges after harmonization does not meet our prespecified biomarker criteria. We propose four routine checks — multi-condition discovery, harmonization sensitivity, within-vendor sanity checks, and continuous vendor-clean scores — that operationalize the distinction between cluster stability and cluster biological identity.</w:t>
      </w:r>
    </w:p>
    <w:p w14:paraId="391A96CA" w14:textId="77777777" w:rsidR="003054B1" w:rsidRDefault="00000000">
      <w:r>
        <w:pict w14:anchorId="3A82F58B">
          <v:rect id="_x0000_i1028" style="width:0;height:1.5pt" o:hralign="center" o:hrstd="t" o:hr="t"/>
        </w:pict>
      </w:r>
    </w:p>
    <w:p w14:paraId="4C1790A2" w14:textId="77777777" w:rsidR="003054B1" w:rsidRDefault="00000000">
      <w:pPr>
        <w:pStyle w:val="Heading2"/>
      </w:pPr>
      <w:bookmarkStart w:id="4" w:name="introduction"/>
      <w:bookmarkEnd w:id="3"/>
      <w:r>
        <w:t>1. Introduction</w:t>
      </w:r>
    </w:p>
    <w:p w14:paraId="3F147B1B" w14:textId="77777777" w:rsidR="003054B1" w:rsidRDefault="00000000">
      <w:pPr>
        <w:pStyle w:val="FirstParagraph"/>
      </w:pPr>
      <w:r>
        <w:t>Multi-parametric breast MRI yields hundreds of radiomic features per tumor, and unsupervised discovery of latent phenotypes from those features is now a standard route for proposing biological subgroups beyond receptor-based subtyping. A stable two- or three-cluster solution with an interpretable biological correlate and a candidate prognostic association is typically read as evidence that radiomics has access to an axis of tumor biology that immunohistochemistry does not.</w:t>
      </w:r>
    </w:p>
    <w:p w14:paraId="0FC39600" w14:textId="77777777" w:rsidR="003054B1" w:rsidRDefault="00000000">
      <w:pPr>
        <w:pStyle w:val="BodyText"/>
      </w:pPr>
      <w:r>
        <w:t xml:space="preserve">Radiomic features are sensitive to TR, TE, voxel size, manufacturer, field strength, and reconstruction kernel. Phantom and test–retest studies have shown that a substantial fraction of standard features fail interscanner intraclass-correlation thresholds. The concern, when an unsupervised pipeline is applied to multi-vendor data, is that small per-feature acquisition sensitivities — integrated across hundreds of features and projected onto leading principal components — produce a partitioning of patients by manufacturer that is, on the inside, indistinguishable from a partitioning by biology. Standard validation </w:t>
      </w:r>
      <w:r>
        <w:lastRenderedPageBreak/>
        <w:t>responses (silhouette, bootstrap ARI, ComBat) address this concern partially and are typically reported in isolation.</w:t>
      </w:r>
    </w:p>
    <w:p w14:paraId="5D5E33A6" w14:textId="77777777" w:rsidR="003054B1" w:rsidRDefault="00000000">
      <w:pPr>
        <w:pStyle w:val="BodyText"/>
      </w:pPr>
      <w:r>
        <w:t>We perform an end-to-end adjudication on a 922-patient cohort, structured as a falsification chain. We reproduce, under standard methodology, an apparent latent vascularity phenotype with a candidate HR+/HER2+ prognostic refinement. We then deconstruct the components of that finding using per-PC variance partitioning, multi-condition phenotype discovery, harmonization sensitivity, within-vendor sanity checks, and continuous vendor-clean scores. The findings reported here are bounded to this cohort and to the pipeline applied. Within those bounds, we ask which components of the apparent finding survive scrutiny.</w:t>
      </w:r>
    </w:p>
    <w:p w14:paraId="01F0433F" w14:textId="77777777" w:rsidR="003054B1" w:rsidRDefault="00000000">
      <w:pPr>
        <w:pStyle w:val="BodyText"/>
      </w:pPr>
      <w:r>
        <w:t xml:space="preserve">The contribution is methodological. We propose four routine checks — multi-condition discovery, harmonization sensitivity, within-vendor sanity checks, and continuous vendor-clean scores — to operationalize the difference between cluster </w:t>
      </w:r>
      <w:r>
        <w:rPr>
          <w:i/>
          <w:iCs/>
        </w:rPr>
        <w:t>stability</w:t>
      </w:r>
      <w:r>
        <w:t xml:space="preserve"> (preserved across all transforms) and cluster </w:t>
      </w:r>
      <w:r>
        <w:rPr>
          <w:i/>
          <w:iCs/>
        </w:rPr>
        <w:t>biological identity</w:t>
      </w:r>
      <w:r>
        <w:t xml:space="preserve"> (not necessarily preserved across harmonization).</w:t>
      </w:r>
    </w:p>
    <w:p w14:paraId="7950767D" w14:textId="77777777" w:rsidR="003054B1" w:rsidRDefault="00000000">
      <w:r>
        <w:pict w14:anchorId="4D12B867">
          <v:rect id="_x0000_i1029" style="width:0;height:1.5pt" o:hralign="center" o:hrstd="t" o:hr="t"/>
        </w:pict>
      </w:r>
    </w:p>
    <w:p w14:paraId="1EDE98DE" w14:textId="77777777" w:rsidR="003054B1" w:rsidRDefault="00000000">
      <w:pPr>
        <w:pStyle w:val="Heading2"/>
      </w:pPr>
      <w:bookmarkStart w:id="5" w:name="materials-and-methods"/>
      <w:bookmarkEnd w:id="4"/>
      <w:r>
        <w:t>2. Materials and Methods</w:t>
      </w:r>
    </w:p>
    <w:p w14:paraId="5C9B4600" w14:textId="77777777" w:rsidR="003054B1" w:rsidRDefault="00000000">
      <w:pPr>
        <w:pStyle w:val="Heading3"/>
      </w:pPr>
      <w:bookmarkStart w:id="6" w:name="cohort-and-data"/>
      <w:r>
        <w:t>2.1 Cohort and data</w:t>
      </w:r>
    </w:p>
    <w:p w14:paraId="4BD96789" w14:textId="77777777" w:rsidR="003054B1" w:rsidRDefault="00000000">
      <w:pPr>
        <w:pStyle w:val="FirstParagraph"/>
      </w:pPr>
      <w:r>
        <w:t>Three CSVs were merged: imaging features (922 × 530), clinical (922 × 99 with three-row header), and tumor bounding-box annotations (922 × 7). Patient IDs overlapped perfectly. The clinical encoding key decoded molecular subtype (Luminal-like, HR+/HER2+, HER2, TNBC), manufacturer (GE, Other, Siemens), and other categorical variables. Recurrence event was defined from the recurrence-event column; recurrence time from the days-to-recurrence column where available, else days-to-last-recurrence-free assessment. Analysis cohort: 922 patients (920 with valid event flag; 905 with valid event + age + manufacturer).</w:t>
      </w:r>
    </w:p>
    <w:p w14:paraId="6E65BE12" w14:textId="77777777" w:rsidR="003054B1" w:rsidRDefault="00000000">
      <w:pPr>
        <w:pStyle w:val="Heading3"/>
      </w:pPr>
      <w:bookmarkStart w:id="7" w:name="feature-organization"/>
      <w:bookmarkEnd w:id="6"/>
      <w:r>
        <w:t>2.2 Feature organization</w:t>
      </w:r>
    </w:p>
    <w:p w14:paraId="5039A76F" w14:textId="77777777" w:rsidR="003054B1" w:rsidRDefault="00000000">
      <w:pPr>
        <w:pStyle w:val="FirstParagraph"/>
      </w:pPr>
      <w:r>
        <w:t>Radiomic features were classified by family: shape/size (10), first-order intensity (160), GLCM texture (156), enhancement kinetics (121), tissue-band (84), other (21). The 121 enhancement-kinetic features defined the candidate vascularity subset. Box-volume was added as a size proxy. QC retained features with &lt; 5% missingness and ≥ 2 unique values (final n = 531; n = 120 enhancement-only). A redundancy-reduced subset was constructed by greedy elimination at |r| &gt; 0.95 (final n = 293).</w:t>
      </w:r>
    </w:p>
    <w:p w14:paraId="4ED92092" w14:textId="77777777" w:rsidR="003054B1" w:rsidRDefault="00000000">
      <w:pPr>
        <w:pStyle w:val="Heading3"/>
      </w:pPr>
      <w:bookmarkStart w:id="8" w:name="phenotype-discovery-under-ten-conditions"/>
      <w:bookmarkEnd w:id="7"/>
      <w:r>
        <w:t>2.3 Phenotype discovery under ten conditions</w:t>
      </w:r>
    </w:p>
    <w:p w14:paraId="7AC3534F" w14:textId="77777777" w:rsidR="003054B1" w:rsidRDefault="00000000">
      <w:pPr>
        <w:pStyle w:val="FirstParagraph"/>
      </w:pPr>
      <w:r>
        <w:t xml:space="preserve">Each condition’s z-scored matrix was passed through identical machinery: PCA, KMeans (20 initializations), GMM (diagonal covariance, 3 initializations), validity (silhouette, Calinski-Harabasz, Davies-Bouldin, GMM BIC/AIC) for </w:t>
      </w:r>
      <w:r>
        <w:rPr>
          <w:i/>
          <w:iCs/>
        </w:rPr>
        <w:t>k</w:t>
      </w:r>
      <w:r>
        <w:t xml:space="preserve"> = 2…6, and 20-bootstrap </w:t>
      </w:r>
      <w:r>
        <w:rPr>
          <w:i/>
          <w:iCs/>
        </w:rPr>
        <w:t>k</w:t>
      </w:r>
      <w:r>
        <w:t xml:space="preserve"> = 2 ARI at 80% subsampling. Conditions: (A) raw all-radiomic; (B) redundancy-reduced |r| &lt; 0.95; (C) size-removed; (D) enhancement-only; (E) linear-residualized on manufacturer + field </w:t>
      </w:r>
      <w:r>
        <w:lastRenderedPageBreak/>
        <w:t>strength + slice thickness; (F) ComBat (pyComBat, manufacturer batch); (G) GE-only; (H) Siemens-only; (I) manufacturer-balanced.</w:t>
      </w:r>
    </w:p>
    <w:p w14:paraId="325FE879" w14:textId="77777777" w:rsidR="003054B1" w:rsidRDefault="00000000">
      <w:pPr>
        <w:pStyle w:val="Heading3"/>
      </w:pPr>
      <w:bookmarkStart w:id="9" w:name="acquisition-variance-partitioning"/>
      <w:bookmarkEnd w:id="8"/>
      <w:r>
        <w:t>2.4 Acquisition variance partitioning</w:t>
      </w:r>
    </w:p>
    <w:p w14:paraId="24663DA7" w14:textId="77777777" w:rsidR="003054B1" w:rsidRDefault="00000000">
      <w:pPr>
        <w:pStyle w:val="FirstParagraph"/>
      </w:pPr>
      <w:r>
        <w:t>For each technical variable (manufacturer, field strength, slice thickness, acquisition matrix, TR, TE, flip angle, rows, columns), η² = SS_between / SS_total was computed per principal component; same for molecular subtype. Because TR, TE, manufacturer, and acquisition matrix co-vary in this cohort, η² reports apparent dominance, not causal attribution.</w:t>
      </w:r>
    </w:p>
    <w:p w14:paraId="01580564" w14:textId="77777777" w:rsidR="003054B1" w:rsidRDefault="00000000">
      <w:pPr>
        <w:pStyle w:val="Heading3"/>
      </w:pPr>
      <w:bookmarkStart w:id="10" w:name="continuous-vendor-clean-scores"/>
      <w:bookmarkEnd w:id="9"/>
      <w:r>
        <w:t>2.5 Continuous vendor-clean scores</w:t>
      </w:r>
    </w:p>
    <w:p w14:paraId="28D37903" w14:textId="77777777" w:rsidR="003054B1" w:rsidRDefault="00000000">
      <w:pPr>
        <w:pStyle w:val="FirstParagraph"/>
      </w:pPr>
      <w:r>
        <w:t>Four PC1 scores from the 120 enhancement-kinetic features: raw (z-scored only); residualized (linear residualization on manufacturer + field strength + slice thickness); ComBat (pyComBat, manufacturer batch); within-vendor (pct-rank-normalized within each manufacturer).</w:t>
      </w:r>
    </w:p>
    <w:p w14:paraId="53D63DF5" w14:textId="77777777" w:rsidR="003054B1" w:rsidRDefault="00000000">
      <w:pPr>
        <w:pStyle w:val="Heading3"/>
      </w:pPr>
      <w:bookmarkStart w:id="11" w:name="outcome-modeling"/>
      <w:bookmarkEnd w:id="10"/>
      <w:r>
        <w:t>2.6 Outcome modeling</w:t>
      </w:r>
    </w:p>
    <w:p w14:paraId="5D13CB7D" w14:textId="77777777" w:rsidR="003054B1" w:rsidRDefault="00000000">
      <w:pPr>
        <w:pStyle w:val="FirstParagraph"/>
      </w:pPr>
      <w:r>
        <w:t xml:space="preserve">Cox regression (lifelines </w:t>
      </w:r>
      <w:r>
        <w:rPr>
          <w:rStyle w:val="VerbatimChar"/>
        </w:rPr>
        <w:t>CoxPHFitter</w:t>
      </w:r>
      <w:r>
        <w:t>, penalizer 0.01, Harrell’s C). Log-rank tertile tests as secondary. For binary recurrence, 5-fold nested CV with within-fold standardization (and within-fold residualization where applicable) computed AUC and Brier across 14 feature blocks. A within-vendor (GE-only) Cox sanity check tested whether the expected TripleNeg-vs-rest recurrence signal was recovered.</w:t>
      </w:r>
    </w:p>
    <w:p w14:paraId="5B7256B8" w14:textId="77777777" w:rsidR="003054B1" w:rsidRDefault="00000000">
      <w:pPr>
        <w:pStyle w:val="Heading3"/>
      </w:pPr>
      <w:bookmarkStart w:id="12" w:name="Xc555c77d03c101e99e88c22af57853939493bea"/>
      <w:bookmarkEnd w:id="11"/>
      <w:r>
        <w:t>2.7 Prespecified biomarker criteria for the residual structure</w:t>
      </w:r>
    </w:p>
    <w:p w14:paraId="4C75C8A7" w14:textId="77777777" w:rsidR="003054B1" w:rsidRDefault="00000000">
      <w:pPr>
        <w:pStyle w:val="FirstParagraph"/>
      </w:pPr>
      <w:r>
        <w:t>We prespecified three minimum criteria for any radiomic candidate to be reported as a biological or clinical signal in this cohort:</w:t>
      </w:r>
    </w:p>
    <w:p w14:paraId="5D9F9984" w14:textId="77777777" w:rsidR="003054B1" w:rsidRDefault="00000000">
      <w:pPr>
        <w:pStyle w:val="Compact"/>
        <w:numPr>
          <w:ilvl w:val="0"/>
          <w:numId w:val="2"/>
        </w:numPr>
      </w:pPr>
      <w:r>
        <w:t xml:space="preserve">statistically significant association with the clinical endpoint at </w:t>
      </w:r>
      <w:r>
        <w:rPr>
          <w:i/>
          <w:iCs/>
        </w:rPr>
        <w:t>p</w:t>
      </w:r>
      <w:r>
        <w:t xml:space="preserve"> &lt; 0.05;</w:t>
      </w:r>
    </w:p>
    <w:p w14:paraId="4ED1378A" w14:textId="77777777" w:rsidR="003054B1" w:rsidRDefault="00000000">
      <w:pPr>
        <w:pStyle w:val="Compact"/>
        <w:numPr>
          <w:ilvl w:val="0"/>
          <w:numId w:val="2"/>
        </w:numPr>
      </w:pPr>
      <w:r>
        <w:t>incremental predictive value over clinical covariates (age, box-volume, subtype) under nested cross-validation;</w:t>
      </w:r>
    </w:p>
    <w:p w14:paraId="4B4C9A20" w14:textId="77777777" w:rsidR="003054B1" w:rsidRDefault="00000000">
      <w:pPr>
        <w:pStyle w:val="Compact"/>
        <w:numPr>
          <w:ilvl w:val="0"/>
          <w:numId w:val="2"/>
        </w:numPr>
      </w:pPr>
      <w:r>
        <w:t>directionally consistent within-vendor effect under stratified analysis.</w:t>
      </w:r>
    </w:p>
    <w:p w14:paraId="54C1942B" w14:textId="77777777" w:rsidR="003054B1" w:rsidRDefault="00000000">
      <w:pPr>
        <w:pStyle w:val="FirstParagraph"/>
      </w:pPr>
      <w:r>
        <w:t>These criteria are minimum, not sufficient, and are bounded to this 922-patient sample.</w:t>
      </w:r>
    </w:p>
    <w:p w14:paraId="215E0798" w14:textId="77777777" w:rsidR="003054B1" w:rsidRDefault="00000000">
      <w:pPr>
        <w:pStyle w:val="Heading3"/>
      </w:pPr>
      <w:bookmarkStart w:id="13" w:name="subtype-prediction"/>
      <w:bookmarkEnd w:id="12"/>
      <w:r>
        <w:t>2.8 Subtype prediction</w:t>
      </w:r>
    </w:p>
    <w:p w14:paraId="2F56211F" w14:textId="77777777" w:rsidR="003054B1" w:rsidRDefault="00000000">
      <w:pPr>
        <w:pStyle w:val="FirstParagraph"/>
      </w:pPr>
      <w:r>
        <w:t xml:space="preserve">5-fold stratified CV with class-balanced loss: majority baseline; multinomial L2 LR; random forest (300 trees); gradient boosting (200 estimators); elastic net (L1 LR, </w:t>
      </w:r>
      <w:r>
        <w:rPr>
          <w:i/>
          <w:iCs/>
        </w:rPr>
        <w:t>C</w:t>
      </w:r>
      <w:r>
        <w:t xml:space="preserve"> = 0.5).</w:t>
      </w:r>
    </w:p>
    <w:p w14:paraId="16416001" w14:textId="77777777" w:rsidR="003054B1" w:rsidRDefault="00000000">
      <w:pPr>
        <w:pStyle w:val="Heading3"/>
      </w:pPr>
      <w:bookmarkStart w:id="14" w:name="reproducibility"/>
      <w:bookmarkEnd w:id="13"/>
      <w:r>
        <w:t>2.9 Reproducibility</w:t>
      </w:r>
    </w:p>
    <w:p w14:paraId="650CD39D" w14:textId="77777777" w:rsidR="003054B1" w:rsidRDefault="00000000">
      <w:pPr>
        <w:pStyle w:val="FirstParagraph"/>
      </w:pPr>
      <w:r>
        <w:t>Random seed 42. Python 3.12, scikit-learn 1.4, statsmodels, lifelines 0.27, pycombat 0.3.</w:t>
      </w:r>
    </w:p>
    <w:p w14:paraId="381F124A" w14:textId="77777777" w:rsidR="003054B1" w:rsidRDefault="00000000">
      <w:r>
        <w:pict w14:anchorId="62391844">
          <v:rect id="_x0000_i1030" style="width:0;height:1.5pt" o:hralign="center" o:hrstd="t" o:hr="t"/>
        </w:pict>
      </w:r>
    </w:p>
    <w:p w14:paraId="1B0D7C13" w14:textId="77777777" w:rsidR="003054B1" w:rsidRDefault="00000000">
      <w:pPr>
        <w:pStyle w:val="Heading2"/>
      </w:pPr>
      <w:bookmarkStart w:id="15" w:name="results"/>
      <w:bookmarkEnd w:id="5"/>
      <w:bookmarkEnd w:id="14"/>
      <w:r>
        <w:lastRenderedPageBreak/>
        <w:t>3. Results</w:t>
      </w:r>
    </w:p>
    <w:p w14:paraId="6F5D9A8C" w14:textId="77777777" w:rsidR="003054B1" w:rsidRDefault="00000000">
      <w:pPr>
        <w:pStyle w:val="Heading3"/>
      </w:pPr>
      <w:bookmarkStart w:id="16" w:name="X51bbed2135a7d0075f26796be9a958a363f537c"/>
      <w:r>
        <w:t>3.1 Phase 1 — A standard pipeline produces a stable, vascularity-like, prognostically suggestive phenotype</w:t>
      </w:r>
    </w:p>
    <w:p w14:paraId="74FEEF28" w14:textId="77777777" w:rsidR="003054B1" w:rsidRDefault="00000000">
      <w:pPr>
        <w:pStyle w:val="FirstParagraph"/>
      </w:pPr>
      <w:r>
        <w:t>The 922-patient cohort was 64.5% Luminal-like, 11.3% HR+/HER2+, 6.4% HER2-only, 17.8% TNBC; 87 / 920 evaluable recurrence events (9.4%); 628 GE / 290 Siemens / 4 Other; 1.5 T 632 / 3.0 T 290.</w:t>
      </w:r>
    </w:p>
    <w:p w14:paraId="7329CCEF" w14:textId="77777777" w:rsidR="003054B1" w:rsidRDefault="00000000">
      <w:pPr>
        <w:pStyle w:val="BodyText"/>
      </w:pPr>
      <w:r>
        <w:t xml:space="preserve">Under Condition A (all 531 radiomic features, z-scored, PCA, KMeans), silhouette and Calinski-Harabasz peaked at </w:t>
      </w:r>
      <w:r>
        <w:rPr>
          <w:i/>
          <w:iCs/>
        </w:rPr>
        <w:t>k</w:t>
      </w:r>
      <w:r>
        <w:t xml:space="preserve"> = 2, with 20-bootstrap </w:t>
      </w:r>
      <w:r>
        <w:rPr>
          <w:i/>
          <w:iCs/>
        </w:rPr>
        <w:t>k</w:t>
      </w:r>
      <w:r>
        <w:t xml:space="preserve"> = 2 ARI 0.88 ± 0.10. The top features distinguishing the two clusters were dominated by peak-enhancement slope, wash-in slope, and SER variants. By every standard readout, this is a stable vascularity-like phenotype.</w:t>
      </w:r>
    </w:p>
    <w:p w14:paraId="25A7F353" w14:textId="77777777" w:rsidR="003054B1" w:rsidRDefault="00000000">
      <w:pPr>
        <w:pStyle w:val="BodyText"/>
      </w:pPr>
      <w:r>
        <w:t xml:space="preserve">In HR+/HER2+ (n = 101, 10 events), Cox regression on raw vasc-PC1 (PC1 of z-scored enhancement-only features) gave </w:t>
      </w:r>
      <w:r>
        <w:rPr>
          <w:b/>
          <w:bCs/>
        </w:rPr>
        <w:t xml:space="preserve">age-adjusted HR 0.87 (95% CI 0.78–0.97, </w:t>
      </w:r>
      <w:r>
        <w:rPr>
          <w:b/>
          <w:bCs/>
          <w:i/>
          <w:iCs/>
        </w:rPr>
        <w:t>p</w:t>
      </w:r>
      <w:r>
        <w:rPr>
          <w:b/>
          <w:bCs/>
        </w:rPr>
        <w:t xml:space="preserve"> = 0.016, C-index 0.78)</w:t>
      </w:r>
      <w:r>
        <w:t xml:space="preserve">. A directionally consistent TNBC tertile log-rank gave </w:t>
      </w:r>
      <w:r>
        <w:rPr>
          <w:i/>
          <w:iCs/>
        </w:rPr>
        <w:t>p</w:t>
      </w:r>
      <w:r>
        <w:t xml:space="preserve"> = 0.047. Under standard methodology, this would be reported as a subtype-specific radiomic prognostic refinement.</w:t>
      </w:r>
    </w:p>
    <w:p w14:paraId="372E6C6D" w14:textId="77777777" w:rsidR="003054B1" w:rsidRDefault="00000000">
      <w:pPr>
        <w:pStyle w:val="BodyText"/>
      </w:pPr>
      <w:r>
        <w:rPr>
          <w:i/>
          <w:iCs/>
        </w:rPr>
        <w:t>Section takeaway.</w:t>
      </w:r>
      <w:r>
        <w:t xml:space="preserve"> The standard pipeline produces a stable, biologically-interpretable phenotype with a candidate prognostic signal in HR+/HER2+ disease.</w:t>
      </w:r>
    </w:p>
    <w:p w14:paraId="0B02710F" w14:textId="77777777" w:rsidR="003054B1" w:rsidRDefault="00000000">
      <w:pPr>
        <w:pStyle w:val="Heading3"/>
      </w:pPr>
      <w:bookmarkStart w:id="17" w:name="Xe4b96dcda477b9a7b7da4eb4a1dbae5e83d65f7"/>
      <w:bookmarkEnd w:id="16"/>
      <w:r>
        <w:t>3.2 Phase 2 — In this cohort, pulse-sequence parameters are the variables most strongly associated with leading PCs</w:t>
      </w:r>
    </w:p>
    <w:p w14:paraId="77B80FA8" w14:textId="77777777" w:rsidR="003054B1" w:rsidRDefault="00000000">
      <w:pPr>
        <w:pStyle w:val="FirstParagraph"/>
      </w:pPr>
      <w:r>
        <w:t>η² of each technical variable per top-10 PC (Figure 1, Table 8): TR was associated with PC1 at η² = 0.76, TE at 0.63, Acquisition Matrix 0.57, Manufacturer 0.49. Field Strength was 0.09; Slice Thickness 0.07. Molecular subtype was ≤ 0.04 on every top-10 PC. Across PCs 2–10, TR remained the strongest single technical variable (η² 0.42–0.57 per PC).</w:t>
      </w:r>
    </w:p>
    <w:p w14:paraId="6B3D9D9C" w14:textId="77777777" w:rsidR="003054B1" w:rsidRDefault="00000000">
      <w:pPr>
        <w:pStyle w:val="BodyText"/>
      </w:pPr>
      <w:r>
        <w:t>Because TR, TE, manufacturer, and acquisition matrix co-vary in this cohort, η² reports the strength of apparent association rather than independent causal contribution. The robust statement available from these data is therefore: in this cohort, the leading axes of the radiomic feature space are more strongly associated with pulse-sequence and manufacturer variables than with molecular subtype, by approximately an order of magnitude in η².</w:t>
      </w:r>
    </w:p>
    <w:p w14:paraId="35D453FF" w14:textId="77777777" w:rsidR="003054B1" w:rsidRDefault="00000000">
      <w:pPr>
        <w:pStyle w:val="BodyText"/>
      </w:pPr>
      <w:r>
        <w:t xml:space="preserve">The Phase 1 cluster reflects this. Cross-tabulation of the Condition A </w:t>
      </w:r>
      <w:r>
        <w:rPr>
          <w:i/>
          <w:iCs/>
        </w:rPr>
        <w:t>k</w:t>
      </w:r>
      <w:r>
        <w:t xml:space="preserve"> = 2 cluster against manufacturer gave chi-square </w:t>
      </w:r>
      <w:r>
        <w:rPr>
          <w:i/>
          <w:iCs/>
        </w:rPr>
        <w:t>p</w:t>
      </w:r>
      <w:r>
        <w:t xml:space="preserve"> = 1.1×10⁻⁹⁶; against molecular subtype, </w:t>
      </w:r>
      <w:r>
        <w:rPr>
          <w:i/>
          <w:iCs/>
        </w:rPr>
        <w:t>p</w:t>
      </w:r>
      <w:r>
        <w:t xml:space="preserve"> = 0.27. When size features were removed (Condition C) the partition was unchanged (ARI vs. A = 1.00); when restricted to enhancement-kinetic features (Condition D), manufacturer association remained at </w:t>
      </w:r>
      <w:r>
        <w:rPr>
          <w:i/>
          <w:iCs/>
        </w:rPr>
        <w:t>p</w:t>
      </w:r>
      <w:r>
        <w:t xml:space="preserve"> = 2.1×10⁻⁶⁰.</w:t>
      </w:r>
    </w:p>
    <w:p w14:paraId="2DA72DE3" w14:textId="77777777" w:rsidR="003054B1" w:rsidRDefault="00000000">
      <w:pPr>
        <w:pStyle w:val="BodyText"/>
      </w:pPr>
      <w:r>
        <w:rPr>
          <w:i/>
          <w:iCs/>
        </w:rPr>
        <w:t>Section takeaway.</w:t>
      </w:r>
      <w:r>
        <w:t xml:space="preserve"> The Phase 1 cluster is more strongly associated with manufacturer than with subtype, and the dominant variance axis of the feature space in this cohort reflects pulse-sequence and acquisition variables.</w:t>
      </w:r>
    </w:p>
    <w:p w14:paraId="0198258D" w14:textId="77777777" w:rsidR="003054B1" w:rsidRDefault="00000000">
      <w:pPr>
        <w:pStyle w:val="Heading3"/>
      </w:pPr>
      <w:bookmarkStart w:id="18" w:name="X4c3d2e639c4af210af52fbe5d83081587b79a8e"/>
      <w:bookmarkEnd w:id="17"/>
      <w:r>
        <w:lastRenderedPageBreak/>
        <w:t>3.3 Phase 2 — The HR+/HER2+ point estimate is not stable across harmonization (Figure 2)</w:t>
      </w:r>
    </w:p>
    <w:p w14:paraId="44E53BA8" w14:textId="77777777" w:rsidR="003054B1" w:rsidRDefault="00000000">
      <w:pPr>
        <w:pStyle w:val="FirstParagraph"/>
      </w:pPr>
      <w:r>
        <w:t>In HR+/HER2+ (n = 101, 10 events), every plausible combination of vascularity score and adjustment was tested:</w:t>
      </w:r>
    </w:p>
    <w:tbl>
      <w:tblPr>
        <w:tblStyle w:val="Table"/>
        <w:tblW w:w="5000" w:type="pct"/>
        <w:tblLook w:val="0020" w:firstRow="1" w:lastRow="0" w:firstColumn="0" w:lastColumn="0" w:noHBand="0" w:noVBand="0"/>
      </w:tblPr>
      <w:tblGrid>
        <w:gridCol w:w="2537"/>
        <w:gridCol w:w="2755"/>
        <w:gridCol w:w="811"/>
        <w:gridCol w:w="1510"/>
        <w:gridCol w:w="976"/>
        <w:gridCol w:w="771"/>
      </w:tblGrid>
      <w:tr w:rsidR="003054B1" w14:paraId="323D552C"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292E8708" w14:textId="77777777" w:rsidR="003054B1" w:rsidRDefault="00000000">
            <w:pPr>
              <w:pStyle w:val="Compact"/>
            </w:pPr>
            <w:r>
              <w:t>Score</w:t>
            </w:r>
          </w:p>
        </w:tc>
        <w:tc>
          <w:tcPr>
            <w:tcW w:w="0" w:type="auto"/>
          </w:tcPr>
          <w:p w14:paraId="78FF0B87" w14:textId="77777777" w:rsidR="003054B1" w:rsidRDefault="00000000">
            <w:pPr>
              <w:pStyle w:val="Compact"/>
            </w:pPr>
            <w:r>
              <w:t>Adjustment</w:t>
            </w:r>
          </w:p>
        </w:tc>
        <w:tc>
          <w:tcPr>
            <w:tcW w:w="0" w:type="auto"/>
          </w:tcPr>
          <w:p w14:paraId="6B6A4123" w14:textId="77777777" w:rsidR="003054B1" w:rsidRDefault="00000000">
            <w:pPr>
              <w:pStyle w:val="Compact"/>
            </w:pPr>
            <w:r>
              <w:t>HR</w:t>
            </w:r>
          </w:p>
        </w:tc>
        <w:tc>
          <w:tcPr>
            <w:tcW w:w="0" w:type="auto"/>
          </w:tcPr>
          <w:p w14:paraId="6651C8BC" w14:textId="77777777" w:rsidR="003054B1" w:rsidRDefault="00000000">
            <w:pPr>
              <w:pStyle w:val="Compact"/>
            </w:pPr>
            <w:r>
              <w:t>95% CI</w:t>
            </w:r>
          </w:p>
        </w:tc>
        <w:tc>
          <w:tcPr>
            <w:tcW w:w="0" w:type="auto"/>
          </w:tcPr>
          <w:p w14:paraId="6A8EB939" w14:textId="77777777" w:rsidR="003054B1" w:rsidRDefault="00000000">
            <w:pPr>
              <w:pStyle w:val="Compact"/>
            </w:pPr>
            <w:r>
              <w:rPr>
                <w:i/>
                <w:iCs/>
              </w:rPr>
              <w:t>p</w:t>
            </w:r>
          </w:p>
        </w:tc>
        <w:tc>
          <w:tcPr>
            <w:tcW w:w="0" w:type="auto"/>
          </w:tcPr>
          <w:p w14:paraId="0064B340" w14:textId="77777777" w:rsidR="003054B1" w:rsidRDefault="00000000">
            <w:pPr>
              <w:pStyle w:val="Compact"/>
            </w:pPr>
            <w:r>
              <w:t>C</w:t>
            </w:r>
          </w:p>
        </w:tc>
      </w:tr>
      <w:tr w:rsidR="003054B1" w14:paraId="5FA0AFBC" w14:textId="77777777">
        <w:tc>
          <w:tcPr>
            <w:tcW w:w="0" w:type="auto"/>
          </w:tcPr>
          <w:p w14:paraId="75F9584B" w14:textId="77777777" w:rsidR="003054B1" w:rsidRDefault="00000000">
            <w:pPr>
              <w:pStyle w:val="Compact"/>
            </w:pPr>
            <w:r>
              <w:t>Raw PC1</w:t>
            </w:r>
          </w:p>
        </w:tc>
        <w:tc>
          <w:tcPr>
            <w:tcW w:w="0" w:type="auto"/>
          </w:tcPr>
          <w:p w14:paraId="79BD1F44" w14:textId="77777777" w:rsidR="003054B1" w:rsidRDefault="00000000">
            <w:pPr>
              <w:pStyle w:val="Compact"/>
            </w:pPr>
            <w:r>
              <w:t>age</w:t>
            </w:r>
          </w:p>
        </w:tc>
        <w:tc>
          <w:tcPr>
            <w:tcW w:w="0" w:type="auto"/>
          </w:tcPr>
          <w:p w14:paraId="676574CD" w14:textId="77777777" w:rsidR="003054B1" w:rsidRDefault="00000000">
            <w:pPr>
              <w:pStyle w:val="Compact"/>
            </w:pPr>
            <w:r>
              <w:t>0.87</w:t>
            </w:r>
          </w:p>
        </w:tc>
        <w:tc>
          <w:tcPr>
            <w:tcW w:w="0" w:type="auto"/>
          </w:tcPr>
          <w:p w14:paraId="3A3EDB7A" w14:textId="77777777" w:rsidR="003054B1" w:rsidRDefault="00000000">
            <w:pPr>
              <w:pStyle w:val="Compact"/>
            </w:pPr>
            <w:r>
              <w:t>0.78–0.97</w:t>
            </w:r>
          </w:p>
        </w:tc>
        <w:tc>
          <w:tcPr>
            <w:tcW w:w="0" w:type="auto"/>
          </w:tcPr>
          <w:p w14:paraId="1876AC97" w14:textId="77777777" w:rsidR="003054B1" w:rsidRDefault="00000000">
            <w:pPr>
              <w:pStyle w:val="Compact"/>
            </w:pPr>
            <w:r>
              <w:rPr>
                <w:b/>
                <w:bCs/>
              </w:rPr>
              <w:t>0.016</w:t>
            </w:r>
          </w:p>
        </w:tc>
        <w:tc>
          <w:tcPr>
            <w:tcW w:w="0" w:type="auto"/>
          </w:tcPr>
          <w:p w14:paraId="1BC7EB75" w14:textId="77777777" w:rsidR="003054B1" w:rsidRDefault="00000000">
            <w:pPr>
              <w:pStyle w:val="Compact"/>
            </w:pPr>
            <w:r>
              <w:t>0.78</w:t>
            </w:r>
          </w:p>
        </w:tc>
      </w:tr>
      <w:tr w:rsidR="003054B1" w14:paraId="2A6674B2" w14:textId="77777777">
        <w:tc>
          <w:tcPr>
            <w:tcW w:w="0" w:type="auto"/>
          </w:tcPr>
          <w:p w14:paraId="32829D09" w14:textId="77777777" w:rsidR="003054B1" w:rsidRDefault="00000000">
            <w:pPr>
              <w:pStyle w:val="Compact"/>
            </w:pPr>
            <w:r>
              <w:t>Raw PC1</w:t>
            </w:r>
          </w:p>
        </w:tc>
        <w:tc>
          <w:tcPr>
            <w:tcW w:w="0" w:type="auto"/>
          </w:tcPr>
          <w:p w14:paraId="57CF1EA9" w14:textId="77777777" w:rsidR="003054B1" w:rsidRDefault="00000000">
            <w:pPr>
              <w:pStyle w:val="Compact"/>
            </w:pPr>
            <w:r>
              <w:t>age + manufacturer</w:t>
            </w:r>
          </w:p>
        </w:tc>
        <w:tc>
          <w:tcPr>
            <w:tcW w:w="0" w:type="auto"/>
          </w:tcPr>
          <w:p w14:paraId="3FD822AB" w14:textId="77777777" w:rsidR="003054B1" w:rsidRDefault="00000000">
            <w:pPr>
              <w:pStyle w:val="Compact"/>
            </w:pPr>
            <w:r>
              <w:t>0.92</w:t>
            </w:r>
          </w:p>
        </w:tc>
        <w:tc>
          <w:tcPr>
            <w:tcW w:w="0" w:type="auto"/>
          </w:tcPr>
          <w:p w14:paraId="61B6DBD3" w14:textId="77777777" w:rsidR="003054B1" w:rsidRDefault="00000000">
            <w:pPr>
              <w:pStyle w:val="Compact"/>
            </w:pPr>
            <w:r>
              <w:t>0.80–1.06</w:t>
            </w:r>
          </w:p>
        </w:tc>
        <w:tc>
          <w:tcPr>
            <w:tcW w:w="0" w:type="auto"/>
          </w:tcPr>
          <w:p w14:paraId="3F1C2876" w14:textId="77777777" w:rsidR="003054B1" w:rsidRDefault="00000000">
            <w:pPr>
              <w:pStyle w:val="Compact"/>
            </w:pPr>
            <w:r>
              <w:t>0.24</w:t>
            </w:r>
          </w:p>
        </w:tc>
        <w:tc>
          <w:tcPr>
            <w:tcW w:w="0" w:type="auto"/>
          </w:tcPr>
          <w:p w14:paraId="3649058B" w14:textId="77777777" w:rsidR="003054B1" w:rsidRDefault="00000000">
            <w:pPr>
              <w:pStyle w:val="Compact"/>
            </w:pPr>
            <w:r>
              <w:t>0.81</w:t>
            </w:r>
          </w:p>
        </w:tc>
      </w:tr>
      <w:tr w:rsidR="003054B1" w14:paraId="43F23E61" w14:textId="77777777">
        <w:tc>
          <w:tcPr>
            <w:tcW w:w="0" w:type="auto"/>
          </w:tcPr>
          <w:p w14:paraId="3797AA47" w14:textId="77777777" w:rsidR="003054B1" w:rsidRDefault="00000000">
            <w:pPr>
              <w:pStyle w:val="Compact"/>
            </w:pPr>
            <w:r>
              <w:t>Resid PC1</w:t>
            </w:r>
          </w:p>
        </w:tc>
        <w:tc>
          <w:tcPr>
            <w:tcW w:w="0" w:type="auto"/>
          </w:tcPr>
          <w:p w14:paraId="506C48EC" w14:textId="77777777" w:rsidR="003054B1" w:rsidRDefault="00000000">
            <w:pPr>
              <w:pStyle w:val="Compact"/>
            </w:pPr>
            <w:r>
              <w:t>age</w:t>
            </w:r>
          </w:p>
        </w:tc>
        <w:tc>
          <w:tcPr>
            <w:tcW w:w="0" w:type="auto"/>
          </w:tcPr>
          <w:p w14:paraId="65366B7C" w14:textId="77777777" w:rsidR="003054B1" w:rsidRDefault="00000000">
            <w:pPr>
              <w:pStyle w:val="Compact"/>
            </w:pPr>
            <w:r>
              <w:t>0.87</w:t>
            </w:r>
          </w:p>
        </w:tc>
        <w:tc>
          <w:tcPr>
            <w:tcW w:w="0" w:type="auto"/>
          </w:tcPr>
          <w:p w14:paraId="73C66782" w14:textId="77777777" w:rsidR="003054B1" w:rsidRDefault="00000000">
            <w:pPr>
              <w:pStyle w:val="Compact"/>
            </w:pPr>
            <w:r>
              <w:t>0.75–1.02</w:t>
            </w:r>
          </w:p>
        </w:tc>
        <w:tc>
          <w:tcPr>
            <w:tcW w:w="0" w:type="auto"/>
          </w:tcPr>
          <w:p w14:paraId="1D7DE2E9" w14:textId="77777777" w:rsidR="003054B1" w:rsidRDefault="00000000">
            <w:pPr>
              <w:pStyle w:val="Compact"/>
            </w:pPr>
            <w:r>
              <w:t>0.089</w:t>
            </w:r>
          </w:p>
        </w:tc>
        <w:tc>
          <w:tcPr>
            <w:tcW w:w="0" w:type="auto"/>
          </w:tcPr>
          <w:p w14:paraId="0176C1B7" w14:textId="77777777" w:rsidR="003054B1" w:rsidRDefault="00000000">
            <w:pPr>
              <w:pStyle w:val="Compact"/>
            </w:pPr>
            <w:r>
              <w:t>0.65</w:t>
            </w:r>
          </w:p>
        </w:tc>
      </w:tr>
      <w:tr w:rsidR="003054B1" w14:paraId="3C669ABA" w14:textId="77777777">
        <w:tc>
          <w:tcPr>
            <w:tcW w:w="0" w:type="auto"/>
          </w:tcPr>
          <w:p w14:paraId="3F4FF238" w14:textId="77777777" w:rsidR="003054B1" w:rsidRDefault="00000000">
            <w:pPr>
              <w:pStyle w:val="Compact"/>
            </w:pPr>
            <w:r>
              <w:t>Resid PC1</w:t>
            </w:r>
          </w:p>
        </w:tc>
        <w:tc>
          <w:tcPr>
            <w:tcW w:w="0" w:type="auto"/>
          </w:tcPr>
          <w:p w14:paraId="790C319F" w14:textId="77777777" w:rsidR="003054B1" w:rsidRDefault="00000000">
            <w:pPr>
              <w:pStyle w:val="Compact"/>
            </w:pPr>
            <w:r>
              <w:t>age + manufacturer</w:t>
            </w:r>
          </w:p>
        </w:tc>
        <w:tc>
          <w:tcPr>
            <w:tcW w:w="0" w:type="auto"/>
          </w:tcPr>
          <w:p w14:paraId="63D89473" w14:textId="77777777" w:rsidR="003054B1" w:rsidRDefault="00000000">
            <w:pPr>
              <w:pStyle w:val="Compact"/>
            </w:pPr>
            <w:r>
              <w:t>0.87</w:t>
            </w:r>
          </w:p>
        </w:tc>
        <w:tc>
          <w:tcPr>
            <w:tcW w:w="0" w:type="auto"/>
          </w:tcPr>
          <w:p w14:paraId="06C3EB01" w14:textId="77777777" w:rsidR="003054B1" w:rsidRDefault="00000000">
            <w:pPr>
              <w:pStyle w:val="Compact"/>
            </w:pPr>
            <w:r>
              <w:t>0.74–1.02</w:t>
            </w:r>
          </w:p>
        </w:tc>
        <w:tc>
          <w:tcPr>
            <w:tcW w:w="0" w:type="auto"/>
          </w:tcPr>
          <w:p w14:paraId="251B3612" w14:textId="77777777" w:rsidR="003054B1" w:rsidRDefault="00000000">
            <w:pPr>
              <w:pStyle w:val="Compact"/>
            </w:pPr>
            <w:r>
              <w:t>0.082</w:t>
            </w:r>
          </w:p>
        </w:tc>
        <w:tc>
          <w:tcPr>
            <w:tcW w:w="0" w:type="auto"/>
          </w:tcPr>
          <w:p w14:paraId="1FF60691" w14:textId="77777777" w:rsidR="003054B1" w:rsidRDefault="00000000">
            <w:pPr>
              <w:pStyle w:val="Compact"/>
            </w:pPr>
            <w:r>
              <w:t>0.79</w:t>
            </w:r>
          </w:p>
        </w:tc>
      </w:tr>
      <w:tr w:rsidR="003054B1" w14:paraId="38E40FF0" w14:textId="77777777">
        <w:tc>
          <w:tcPr>
            <w:tcW w:w="0" w:type="auto"/>
          </w:tcPr>
          <w:p w14:paraId="474AB84C" w14:textId="77777777" w:rsidR="003054B1" w:rsidRDefault="00000000">
            <w:pPr>
              <w:pStyle w:val="Compact"/>
            </w:pPr>
            <w:r>
              <w:t>ComBat PC1</w:t>
            </w:r>
          </w:p>
        </w:tc>
        <w:tc>
          <w:tcPr>
            <w:tcW w:w="0" w:type="auto"/>
          </w:tcPr>
          <w:p w14:paraId="188D1693" w14:textId="77777777" w:rsidR="003054B1" w:rsidRDefault="00000000">
            <w:pPr>
              <w:pStyle w:val="Compact"/>
            </w:pPr>
            <w:r>
              <w:t>age</w:t>
            </w:r>
          </w:p>
        </w:tc>
        <w:tc>
          <w:tcPr>
            <w:tcW w:w="0" w:type="auto"/>
          </w:tcPr>
          <w:p w14:paraId="77A7CC82" w14:textId="77777777" w:rsidR="003054B1" w:rsidRDefault="00000000">
            <w:pPr>
              <w:pStyle w:val="Compact"/>
            </w:pPr>
            <w:r>
              <w:t>1.16</w:t>
            </w:r>
          </w:p>
        </w:tc>
        <w:tc>
          <w:tcPr>
            <w:tcW w:w="0" w:type="auto"/>
          </w:tcPr>
          <w:p w14:paraId="7B5D7F86" w14:textId="77777777" w:rsidR="003054B1" w:rsidRDefault="00000000">
            <w:pPr>
              <w:pStyle w:val="Compact"/>
            </w:pPr>
            <w:r>
              <w:t>1.00–1.36</w:t>
            </w:r>
          </w:p>
        </w:tc>
        <w:tc>
          <w:tcPr>
            <w:tcW w:w="0" w:type="auto"/>
          </w:tcPr>
          <w:p w14:paraId="4CF231E3" w14:textId="77777777" w:rsidR="003054B1" w:rsidRDefault="00000000">
            <w:pPr>
              <w:pStyle w:val="Compact"/>
            </w:pPr>
            <w:r>
              <w:t>0.051</w:t>
            </w:r>
          </w:p>
        </w:tc>
        <w:tc>
          <w:tcPr>
            <w:tcW w:w="0" w:type="auto"/>
          </w:tcPr>
          <w:p w14:paraId="0270B533" w14:textId="77777777" w:rsidR="003054B1" w:rsidRDefault="00000000">
            <w:pPr>
              <w:pStyle w:val="Compact"/>
            </w:pPr>
            <w:r>
              <w:t>0.71</w:t>
            </w:r>
          </w:p>
        </w:tc>
      </w:tr>
      <w:tr w:rsidR="003054B1" w14:paraId="70AFAA79" w14:textId="77777777">
        <w:tc>
          <w:tcPr>
            <w:tcW w:w="0" w:type="auto"/>
          </w:tcPr>
          <w:p w14:paraId="20443CB0" w14:textId="77777777" w:rsidR="003054B1" w:rsidRDefault="00000000">
            <w:pPr>
              <w:pStyle w:val="Compact"/>
            </w:pPr>
            <w:r>
              <w:rPr>
                <w:b/>
                <w:bCs/>
              </w:rPr>
              <w:t>ComBat PC1</w:t>
            </w:r>
          </w:p>
        </w:tc>
        <w:tc>
          <w:tcPr>
            <w:tcW w:w="0" w:type="auto"/>
          </w:tcPr>
          <w:p w14:paraId="74D8F5E4" w14:textId="77777777" w:rsidR="003054B1" w:rsidRDefault="00000000">
            <w:pPr>
              <w:pStyle w:val="Compact"/>
            </w:pPr>
            <w:r>
              <w:rPr>
                <w:b/>
                <w:bCs/>
              </w:rPr>
              <w:t>age + manufacturer</w:t>
            </w:r>
          </w:p>
        </w:tc>
        <w:tc>
          <w:tcPr>
            <w:tcW w:w="0" w:type="auto"/>
          </w:tcPr>
          <w:p w14:paraId="425E1062" w14:textId="77777777" w:rsidR="003054B1" w:rsidRDefault="00000000">
            <w:pPr>
              <w:pStyle w:val="Compact"/>
            </w:pPr>
            <w:r>
              <w:rPr>
                <w:b/>
                <w:bCs/>
              </w:rPr>
              <w:t>1.19</w:t>
            </w:r>
          </w:p>
        </w:tc>
        <w:tc>
          <w:tcPr>
            <w:tcW w:w="0" w:type="auto"/>
          </w:tcPr>
          <w:p w14:paraId="2DA75073" w14:textId="77777777" w:rsidR="003054B1" w:rsidRDefault="00000000">
            <w:pPr>
              <w:pStyle w:val="Compact"/>
            </w:pPr>
            <w:r>
              <w:rPr>
                <w:b/>
                <w:bCs/>
              </w:rPr>
              <w:t>1.01–1.41</w:t>
            </w:r>
          </w:p>
        </w:tc>
        <w:tc>
          <w:tcPr>
            <w:tcW w:w="0" w:type="auto"/>
          </w:tcPr>
          <w:p w14:paraId="06C6253F" w14:textId="77777777" w:rsidR="003054B1" w:rsidRDefault="00000000">
            <w:pPr>
              <w:pStyle w:val="Compact"/>
            </w:pPr>
            <w:r>
              <w:rPr>
                <w:b/>
                <w:bCs/>
              </w:rPr>
              <w:t>0.039</w:t>
            </w:r>
          </w:p>
        </w:tc>
        <w:tc>
          <w:tcPr>
            <w:tcW w:w="0" w:type="auto"/>
          </w:tcPr>
          <w:p w14:paraId="7A8F90B7" w14:textId="77777777" w:rsidR="003054B1" w:rsidRDefault="00000000">
            <w:pPr>
              <w:pStyle w:val="Compact"/>
            </w:pPr>
            <w:r>
              <w:t>0.82</w:t>
            </w:r>
          </w:p>
        </w:tc>
      </w:tr>
      <w:tr w:rsidR="003054B1" w14:paraId="28E0313F" w14:textId="77777777">
        <w:tc>
          <w:tcPr>
            <w:tcW w:w="0" w:type="auto"/>
          </w:tcPr>
          <w:p w14:paraId="1E2BD6AD" w14:textId="77777777" w:rsidR="003054B1" w:rsidRDefault="00000000">
            <w:pPr>
              <w:pStyle w:val="Compact"/>
            </w:pPr>
            <w:r>
              <w:t>Within-vendor PC1</w:t>
            </w:r>
          </w:p>
        </w:tc>
        <w:tc>
          <w:tcPr>
            <w:tcW w:w="0" w:type="auto"/>
          </w:tcPr>
          <w:p w14:paraId="12D761EC" w14:textId="77777777" w:rsidR="003054B1" w:rsidRDefault="00000000">
            <w:pPr>
              <w:pStyle w:val="Compact"/>
            </w:pPr>
            <w:r>
              <w:t>age</w:t>
            </w:r>
          </w:p>
        </w:tc>
        <w:tc>
          <w:tcPr>
            <w:tcW w:w="0" w:type="auto"/>
          </w:tcPr>
          <w:p w14:paraId="6BD4619D" w14:textId="77777777" w:rsidR="003054B1" w:rsidRDefault="00000000">
            <w:pPr>
              <w:pStyle w:val="Compact"/>
            </w:pPr>
            <w:r>
              <w:t>0.70</w:t>
            </w:r>
          </w:p>
        </w:tc>
        <w:tc>
          <w:tcPr>
            <w:tcW w:w="0" w:type="auto"/>
          </w:tcPr>
          <w:p w14:paraId="4DB1BDCB" w14:textId="77777777" w:rsidR="003054B1" w:rsidRDefault="00000000">
            <w:pPr>
              <w:pStyle w:val="Compact"/>
            </w:pPr>
            <w:r>
              <w:t>0.46–1.05</w:t>
            </w:r>
          </w:p>
        </w:tc>
        <w:tc>
          <w:tcPr>
            <w:tcW w:w="0" w:type="auto"/>
          </w:tcPr>
          <w:p w14:paraId="36CAF508" w14:textId="77777777" w:rsidR="003054B1" w:rsidRDefault="00000000">
            <w:pPr>
              <w:pStyle w:val="Compact"/>
            </w:pPr>
            <w:r>
              <w:t>0.084</w:t>
            </w:r>
          </w:p>
        </w:tc>
        <w:tc>
          <w:tcPr>
            <w:tcW w:w="0" w:type="auto"/>
          </w:tcPr>
          <w:p w14:paraId="2326F70B" w14:textId="77777777" w:rsidR="003054B1" w:rsidRDefault="00000000">
            <w:pPr>
              <w:pStyle w:val="Compact"/>
            </w:pPr>
            <w:r>
              <w:t>0.69</w:t>
            </w:r>
          </w:p>
        </w:tc>
      </w:tr>
      <w:tr w:rsidR="003054B1" w14:paraId="0FA694CF" w14:textId="77777777">
        <w:tc>
          <w:tcPr>
            <w:tcW w:w="0" w:type="auto"/>
          </w:tcPr>
          <w:p w14:paraId="3BCE05F8" w14:textId="77777777" w:rsidR="003054B1" w:rsidRDefault="00000000">
            <w:pPr>
              <w:pStyle w:val="Compact"/>
            </w:pPr>
            <w:r>
              <w:t>Within-vendor PC1</w:t>
            </w:r>
          </w:p>
        </w:tc>
        <w:tc>
          <w:tcPr>
            <w:tcW w:w="0" w:type="auto"/>
          </w:tcPr>
          <w:p w14:paraId="69C7CAE4" w14:textId="77777777" w:rsidR="003054B1" w:rsidRDefault="00000000">
            <w:pPr>
              <w:pStyle w:val="Compact"/>
            </w:pPr>
            <w:r>
              <w:t>age + manufacturer</w:t>
            </w:r>
          </w:p>
        </w:tc>
        <w:tc>
          <w:tcPr>
            <w:tcW w:w="0" w:type="auto"/>
          </w:tcPr>
          <w:p w14:paraId="30BF77D4" w14:textId="77777777" w:rsidR="003054B1" w:rsidRDefault="00000000">
            <w:pPr>
              <w:pStyle w:val="Compact"/>
            </w:pPr>
            <w:r>
              <w:t>0.69</w:t>
            </w:r>
          </w:p>
        </w:tc>
        <w:tc>
          <w:tcPr>
            <w:tcW w:w="0" w:type="auto"/>
          </w:tcPr>
          <w:p w14:paraId="3C64C22E" w14:textId="77777777" w:rsidR="003054B1" w:rsidRDefault="00000000">
            <w:pPr>
              <w:pStyle w:val="Compact"/>
            </w:pPr>
            <w:r>
              <w:t>0.45–1.05</w:t>
            </w:r>
          </w:p>
        </w:tc>
        <w:tc>
          <w:tcPr>
            <w:tcW w:w="0" w:type="auto"/>
          </w:tcPr>
          <w:p w14:paraId="007A211A" w14:textId="77777777" w:rsidR="003054B1" w:rsidRDefault="00000000">
            <w:pPr>
              <w:pStyle w:val="Compact"/>
            </w:pPr>
            <w:r>
              <w:t>0.083</w:t>
            </w:r>
          </w:p>
        </w:tc>
        <w:tc>
          <w:tcPr>
            <w:tcW w:w="0" w:type="auto"/>
          </w:tcPr>
          <w:p w14:paraId="6854935F" w14:textId="77777777" w:rsidR="003054B1" w:rsidRDefault="00000000">
            <w:pPr>
              <w:pStyle w:val="Compact"/>
            </w:pPr>
            <w:r>
              <w:t>0.82</w:t>
            </w:r>
          </w:p>
        </w:tc>
      </w:tr>
    </w:tbl>
    <w:p w14:paraId="04A77A5B" w14:textId="77777777" w:rsidR="003054B1" w:rsidRDefault="00000000">
      <w:pPr>
        <w:pStyle w:val="BodyText"/>
      </w:pPr>
      <w:r>
        <w:t xml:space="preserve">The unadjusted raw signal (HR 0.87, </w:t>
      </w:r>
      <w:r>
        <w:rPr>
          <w:i/>
          <w:iCs/>
        </w:rPr>
        <w:t>p</w:t>
      </w:r>
      <w:r>
        <w:t xml:space="preserve"> = 0.016) did not survive manufacturer adjustment (HR 0.92, </w:t>
      </w:r>
      <w:r>
        <w:rPr>
          <w:i/>
          <w:iCs/>
        </w:rPr>
        <w:t>p</w:t>
      </w:r>
      <w:r>
        <w:t xml:space="preserve"> = 0.24). Across the four harmonization methods, age + manufacturer-adjusted point estimates spanned </w:t>
      </w:r>
      <w:r>
        <w:rPr>
          <w:b/>
          <w:bCs/>
        </w:rPr>
        <w:t xml:space="preserve">HR 0.69 (within-vendor, </w:t>
      </w:r>
      <w:r>
        <w:rPr>
          <w:b/>
          <w:bCs/>
          <w:i/>
          <w:iCs/>
        </w:rPr>
        <w:t>p</w:t>
      </w:r>
      <w:r>
        <w:rPr>
          <w:b/>
          <w:bCs/>
        </w:rPr>
        <w:t xml:space="preserve"> = 0.083) to HR 1.19 (ComBat, </w:t>
      </w:r>
      <w:r>
        <w:rPr>
          <w:b/>
          <w:bCs/>
          <w:i/>
          <w:iCs/>
        </w:rPr>
        <w:t>p</w:t>
      </w:r>
      <w:r>
        <w:rPr>
          <w:b/>
          <w:bCs/>
        </w:rPr>
        <w:t xml:space="preserve"> = 0.039)</w:t>
      </w:r>
      <w:r>
        <w:t xml:space="preserve"> — opposite signs at similar nominal significance. Within HR+/HER2+, manufacturer alone log-rank </w:t>
      </w:r>
      <w:r>
        <w:rPr>
          <w:i/>
          <w:iCs/>
        </w:rPr>
        <w:t>p</w:t>
      </w:r>
      <w:r>
        <w:t xml:space="preserve"> = 0.0065.</w:t>
      </w:r>
    </w:p>
    <w:p w14:paraId="280DAE88" w14:textId="77777777" w:rsidR="003054B1" w:rsidRDefault="00000000">
      <w:pPr>
        <w:pStyle w:val="BodyText"/>
      </w:pPr>
      <w:r>
        <w:t xml:space="preserve">A single biological mechanism cannot generate opposite-sign effects across harmonization variants at similar significance. With 10 events and four covariate degrees of freedom, the data cannot resolve whether any of these point estimates represents a small biological effect, a small artifactual effect, or a combination. A pipeline-correctness check showed that biology </w:t>
      </w:r>
      <w:r>
        <w:rPr>
          <w:i/>
          <w:iCs/>
        </w:rPr>
        <w:t>is</w:t>
      </w:r>
      <w:r>
        <w:t xml:space="preserve"> recoverable when acquisition is removed by restriction rather than transformation: GE-only Cox for TripleNeg-vs-rest gave HR 2.30 (1.33–3.99), </w:t>
      </w:r>
      <w:r>
        <w:rPr>
          <w:i/>
          <w:iCs/>
        </w:rPr>
        <w:t>p</w:t>
      </w:r>
      <w:r>
        <w:t xml:space="preserve"> = 0.003, C-index 0.64.</w:t>
      </w:r>
    </w:p>
    <w:p w14:paraId="2FED5719" w14:textId="77777777" w:rsidR="003054B1" w:rsidRDefault="00000000">
      <w:pPr>
        <w:pStyle w:val="BodyText"/>
      </w:pPr>
      <w:r>
        <w:rPr>
          <w:i/>
          <w:iCs/>
        </w:rPr>
        <w:t>Section takeaway.</w:t>
      </w:r>
      <w:r>
        <w:t xml:space="preserve"> The Phase 1 HR+/HER2+ signal does not replicate under standard harmonization sensitivity in this cohort and is consistent with acquisition confounding.</w:t>
      </w:r>
    </w:p>
    <w:p w14:paraId="3F331CB2" w14:textId="77777777" w:rsidR="003054B1" w:rsidRDefault="00000000">
      <w:pPr>
        <w:pStyle w:val="Heading3"/>
      </w:pPr>
      <w:bookmarkStart w:id="19" w:name="Xcc12dd90ccf364b17c592f08cc53266156b5ead"/>
      <w:bookmarkEnd w:id="18"/>
      <w:r>
        <w:t>3.4 Phase 2 — Cluster stability is preserved across all conditions; the partition is not (Figure 3)</w:t>
      </w:r>
    </w:p>
    <w:p w14:paraId="26E09E80" w14:textId="77777777" w:rsidR="003054B1" w:rsidRDefault="00000000">
      <w:pPr>
        <w:pStyle w:val="FirstParagraph"/>
      </w:pPr>
      <w:r>
        <w:t xml:space="preserve">The two-cluster solution was bootstrap-stable in every condition. </w:t>
      </w:r>
      <w:r>
        <w:rPr>
          <w:i/>
          <w:iCs/>
        </w:rPr>
        <w:t>k</w:t>
      </w:r>
      <w:r>
        <w:t xml:space="preserve"> = 2 bootstrap ARI was 0.88–0.96 across A, B, C, D, E, F, G, H, I (Table 2).</w:t>
      </w:r>
    </w:p>
    <w:p w14:paraId="122D5311" w14:textId="77777777" w:rsidR="003054B1" w:rsidRDefault="00000000">
      <w:pPr>
        <w:pStyle w:val="BodyText"/>
      </w:pPr>
      <w:r>
        <w:t>Partition consistency vs. Condition A:</w:t>
      </w:r>
    </w:p>
    <w:tbl>
      <w:tblPr>
        <w:tblStyle w:val="Table"/>
        <w:tblW w:w="0" w:type="auto"/>
        <w:tblLook w:val="0020" w:firstRow="1" w:lastRow="0" w:firstColumn="0" w:lastColumn="0" w:noHBand="0" w:noVBand="0"/>
      </w:tblPr>
      <w:tblGrid>
        <w:gridCol w:w="2624"/>
        <w:gridCol w:w="1121"/>
        <w:gridCol w:w="1182"/>
        <w:gridCol w:w="1663"/>
      </w:tblGrid>
      <w:tr w:rsidR="003054B1" w14:paraId="2174477F"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6FD88059" w14:textId="77777777" w:rsidR="003054B1" w:rsidRDefault="00000000">
            <w:pPr>
              <w:pStyle w:val="Compact"/>
            </w:pPr>
            <w:r>
              <w:t>Condition</w:t>
            </w:r>
          </w:p>
        </w:tc>
        <w:tc>
          <w:tcPr>
            <w:tcW w:w="0" w:type="auto"/>
          </w:tcPr>
          <w:p w14:paraId="5FC0D9FB" w14:textId="77777777" w:rsidR="003054B1" w:rsidRDefault="00000000">
            <w:pPr>
              <w:pStyle w:val="Compact"/>
            </w:pPr>
            <w:r>
              <w:t>ARI vs. A</w:t>
            </w:r>
          </w:p>
        </w:tc>
        <w:tc>
          <w:tcPr>
            <w:tcW w:w="0" w:type="auto"/>
          </w:tcPr>
          <w:p w14:paraId="04775192" w14:textId="77777777" w:rsidR="003054B1" w:rsidRDefault="00000000">
            <w:pPr>
              <w:pStyle w:val="Compact"/>
            </w:pPr>
            <w:r>
              <w:t>NMI vs. A</w:t>
            </w:r>
          </w:p>
        </w:tc>
        <w:tc>
          <w:tcPr>
            <w:tcW w:w="0" w:type="auto"/>
          </w:tcPr>
          <w:p w14:paraId="70810A47" w14:textId="77777777" w:rsidR="003054B1" w:rsidRDefault="00000000">
            <w:pPr>
              <w:pStyle w:val="Compact"/>
            </w:pPr>
            <w:r>
              <w:t>Bootstrap ARI</w:t>
            </w:r>
          </w:p>
        </w:tc>
      </w:tr>
      <w:tr w:rsidR="003054B1" w14:paraId="3A581794" w14:textId="77777777">
        <w:tc>
          <w:tcPr>
            <w:tcW w:w="0" w:type="auto"/>
          </w:tcPr>
          <w:p w14:paraId="04E796CD" w14:textId="77777777" w:rsidR="003054B1" w:rsidRDefault="00000000">
            <w:pPr>
              <w:pStyle w:val="Compact"/>
            </w:pPr>
            <w:r>
              <w:t>A: raw</w:t>
            </w:r>
          </w:p>
        </w:tc>
        <w:tc>
          <w:tcPr>
            <w:tcW w:w="0" w:type="auto"/>
          </w:tcPr>
          <w:p w14:paraId="4390EAC6" w14:textId="77777777" w:rsidR="003054B1" w:rsidRDefault="00000000">
            <w:pPr>
              <w:pStyle w:val="Compact"/>
            </w:pPr>
            <w:r>
              <w:t>1.000</w:t>
            </w:r>
          </w:p>
        </w:tc>
        <w:tc>
          <w:tcPr>
            <w:tcW w:w="0" w:type="auto"/>
          </w:tcPr>
          <w:p w14:paraId="298B7F87" w14:textId="77777777" w:rsidR="003054B1" w:rsidRDefault="00000000">
            <w:pPr>
              <w:pStyle w:val="Compact"/>
            </w:pPr>
            <w:r>
              <w:t>1.000</w:t>
            </w:r>
          </w:p>
        </w:tc>
        <w:tc>
          <w:tcPr>
            <w:tcW w:w="0" w:type="auto"/>
          </w:tcPr>
          <w:p w14:paraId="67A83076" w14:textId="77777777" w:rsidR="003054B1" w:rsidRDefault="00000000">
            <w:pPr>
              <w:pStyle w:val="Compact"/>
            </w:pPr>
            <w:r>
              <w:t>0.88 ± 0.10</w:t>
            </w:r>
          </w:p>
        </w:tc>
      </w:tr>
      <w:tr w:rsidR="003054B1" w14:paraId="000BCE1B" w14:textId="77777777">
        <w:tc>
          <w:tcPr>
            <w:tcW w:w="0" w:type="auto"/>
          </w:tcPr>
          <w:p w14:paraId="608D5424" w14:textId="77777777" w:rsidR="003054B1" w:rsidRDefault="00000000">
            <w:pPr>
              <w:pStyle w:val="Compact"/>
            </w:pPr>
            <w:r>
              <w:t>B: redundancy-reduced</w:t>
            </w:r>
          </w:p>
        </w:tc>
        <w:tc>
          <w:tcPr>
            <w:tcW w:w="0" w:type="auto"/>
          </w:tcPr>
          <w:p w14:paraId="28E1DEF1" w14:textId="77777777" w:rsidR="003054B1" w:rsidRDefault="00000000">
            <w:pPr>
              <w:pStyle w:val="Compact"/>
            </w:pPr>
            <w:r>
              <w:t>0.810</w:t>
            </w:r>
          </w:p>
        </w:tc>
        <w:tc>
          <w:tcPr>
            <w:tcW w:w="0" w:type="auto"/>
          </w:tcPr>
          <w:p w14:paraId="7C3292AC" w14:textId="77777777" w:rsidR="003054B1" w:rsidRDefault="00000000">
            <w:pPr>
              <w:pStyle w:val="Compact"/>
            </w:pPr>
            <w:r>
              <w:t>0.739</w:t>
            </w:r>
          </w:p>
        </w:tc>
        <w:tc>
          <w:tcPr>
            <w:tcW w:w="0" w:type="auto"/>
          </w:tcPr>
          <w:p w14:paraId="3B31C97F" w14:textId="77777777" w:rsidR="003054B1" w:rsidRDefault="00000000">
            <w:pPr>
              <w:pStyle w:val="Compact"/>
            </w:pPr>
            <w:r>
              <w:t>0.96 ± 0.06</w:t>
            </w:r>
          </w:p>
        </w:tc>
      </w:tr>
      <w:tr w:rsidR="003054B1" w14:paraId="1F5CE5B1" w14:textId="77777777">
        <w:tc>
          <w:tcPr>
            <w:tcW w:w="0" w:type="auto"/>
          </w:tcPr>
          <w:p w14:paraId="5FEE816D" w14:textId="77777777" w:rsidR="003054B1" w:rsidRDefault="00000000">
            <w:pPr>
              <w:pStyle w:val="Compact"/>
            </w:pPr>
            <w:r>
              <w:t>C: size-removed</w:t>
            </w:r>
          </w:p>
        </w:tc>
        <w:tc>
          <w:tcPr>
            <w:tcW w:w="0" w:type="auto"/>
          </w:tcPr>
          <w:p w14:paraId="5BE82576" w14:textId="77777777" w:rsidR="003054B1" w:rsidRDefault="00000000">
            <w:pPr>
              <w:pStyle w:val="Compact"/>
            </w:pPr>
            <w:r>
              <w:t>1.000</w:t>
            </w:r>
          </w:p>
        </w:tc>
        <w:tc>
          <w:tcPr>
            <w:tcW w:w="0" w:type="auto"/>
          </w:tcPr>
          <w:p w14:paraId="73F218CC" w14:textId="77777777" w:rsidR="003054B1" w:rsidRDefault="00000000">
            <w:pPr>
              <w:pStyle w:val="Compact"/>
            </w:pPr>
            <w:r>
              <w:t>1.000</w:t>
            </w:r>
          </w:p>
        </w:tc>
        <w:tc>
          <w:tcPr>
            <w:tcW w:w="0" w:type="auto"/>
          </w:tcPr>
          <w:p w14:paraId="29AE50C2" w14:textId="77777777" w:rsidR="003054B1" w:rsidRDefault="00000000">
            <w:pPr>
              <w:pStyle w:val="Compact"/>
            </w:pPr>
            <w:r>
              <w:t>0.88 ± 0.10</w:t>
            </w:r>
          </w:p>
        </w:tc>
      </w:tr>
      <w:tr w:rsidR="003054B1" w14:paraId="57281A52" w14:textId="77777777">
        <w:tc>
          <w:tcPr>
            <w:tcW w:w="0" w:type="auto"/>
          </w:tcPr>
          <w:p w14:paraId="49E46827" w14:textId="77777777" w:rsidR="003054B1" w:rsidRDefault="00000000">
            <w:pPr>
              <w:pStyle w:val="Compact"/>
            </w:pPr>
            <w:r>
              <w:t>D: enhancement-only</w:t>
            </w:r>
          </w:p>
        </w:tc>
        <w:tc>
          <w:tcPr>
            <w:tcW w:w="0" w:type="auto"/>
          </w:tcPr>
          <w:p w14:paraId="5A7C8A7D" w14:textId="77777777" w:rsidR="003054B1" w:rsidRDefault="00000000">
            <w:pPr>
              <w:pStyle w:val="Compact"/>
            </w:pPr>
            <w:r>
              <w:t>0.518</w:t>
            </w:r>
          </w:p>
        </w:tc>
        <w:tc>
          <w:tcPr>
            <w:tcW w:w="0" w:type="auto"/>
          </w:tcPr>
          <w:p w14:paraId="76D9D3F2" w14:textId="77777777" w:rsidR="003054B1" w:rsidRDefault="00000000">
            <w:pPr>
              <w:pStyle w:val="Compact"/>
            </w:pPr>
            <w:r>
              <w:t>0.439</w:t>
            </w:r>
          </w:p>
        </w:tc>
        <w:tc>
          <w:tcPr>
            <w:tcW w:w="0" w:type="auto"/>
          </w:tcPr>
          <w:p w14:paraId="1DA4D264" w14:textId="77777777" w:rsidR="003054B1" w:rsidRDefault="00000000">
            <w:pPr>
              <w:pStyle w:val="Compact"/>
            </w:pPr>
            <w:r>
              <w:t>0.94 ± 0.05</w:t>
            </w:r>
          </w:p>
        </w:tc>
      </w:tr>
      <w:tr w:rsidR="003054B1" w14:paraId="3E32EE1C" w14:textId="77777777">
        <w:tc>
          <w:tcPr>
            <w:tcW w:w="0" w:type="auto"/>
          </w:tcPr>
          <w:p w14:paraId="3886AD62" w14:textId="77777777" w:rsidR="003054B1" w:rsidRDefault="00000000">
            <w:pPr>
              <w:pStyle w:val="Compact"/>
            </w:pPr>
            <w:r>
              <w:rPr>
                <w:b/>
                <w:bCs/>
              </w:rPr>
              <w:t>E: linear-residualized</w:t>
            </w:r>
          </w:p>
        </w:tc>
        <w:tc>
          <w:tcPr>
            <w:tcW w:w="0" w:type="auto"/>
          </w:tcPr>
          <w:p w14:paraId="21B64A2A" w14:textId="77777777" w:rsidR="003054B1" w:rsidRDefault="00000000">
            <w:pPr>
              <w:pStyle w:val="Compact"/>
            </w:pPr>
            <w:r>
              <w:rPr>
                <w:b/>
                <w:bCs/>
              </w:rPr>
              <w:t>0.057</w:t>
            </w:r>
          </w:p>
        </w:tc>
        <w:tc>
          <w:tcPr>
            <w:tcW w:w="0" w:type="auto"/>
          </w:tcPr>
          <w:p w14:paraId="6948049F" w14:textId="77777777" w:rsidR="003054B1" w:rsidRDefault="00000000">
            <w:pPr>
              <w:pStyle w:val="Compact"/>
            </w:pPr>
            <w:r>
              <w:rPr>
                <w:b/>
                <w:bCs/>
              </w:rPr>
              <w:t>0.053</w:t>
            </w:r>
          </w:p>
        </w:tc>
        <w:tc>
          <w:tcPr>
            <w:tcW w:w="0" w:type="auto"/>
          </w:tcPr>
          <w:p w14:paraId="0AE64006" w14:textId="77777777" w:rsidR="003054B1" w:rsidRDefault="00000000">
            <w:pPr>
              <w:pStyle w:val="Compact"/>
            </w:pPr>
            <w:r>
              <w:rPr>
                <w:b/>
                <w:bCs/>
              </w:rPr>
              <w:t>0.89 ± 0.05</w:t>
            </w:r>
          </w:p>
        </w:tc>
      </w:tr>
      <w:tr w:rsidR="003054B1" w14:paraId="17870EDE" w14:textId="77777777">
        <w:tc>
          <w:tcPr>
            <w:tcW w:w="0" w:type="auto"/>
          </w:tcPr>
          <w:p w14:paraId="42E59066" w14:textId="77777777" w:rsidR="003054B1" w:rsidRDefault="00000000">
            <w:pPr>
              <w:pStyle w:val="Compact"/>
            </w:pPr>
            <w:r>
              <w:rPr>
                <w:b/>
                <w:bCs/>
              </w:rPr>
              <w:lastRenderedPageBreak/>
              <w:t>F: ComBat</w:t>
            </w:r>
          </w:p>
        </w:tc>
        <w:tc>
          <w:tcPr>
            <w:tcW w:w="0" w:type="auto"/>
          </w:tcPr>
          <w:p w14:paraId="7BE165EE" w14:textId="77777777" w:rsidR="003054B1" w:rsidRDefault="00000000">
            <w:pPr>
              <w:pStyle w:val="Compact"/>
            </w:pPr>
            <w:r>
              <w:rPr>
                <w:b/>
                <w:bCs/>
              </w:rPr>
              <w:t>0.070</w:t>
            </w:r>
          </w:p>
        </w:tc>
        <w:tc>
          <w:tcPr>
            <w:tcW w:w="0" w:type="auto"/>
          </w:tcPr>
          <w:p w14:paraId="1110433D" w14:textId="77777777" w:rsidR="003054B1" w:rsidRDefault="00000000">
            <w:pPr>
              <w:pStyle w:val="Compact"/>
            </w:pPr>
            <w:r>
              <w:rPr>
                <w:b/>
                <w:bCs/>
              </w:rPr>
              <w:t>0.054</w:t>
            </w:r>
          </w:p>
        </w:tc>
        <w:tc>
          <w:tcPr>
            <w:tcW w:w="0" w:type="auto"/>
          </w:tcPr>
          <w:p w14:paraId="37F044AA" w14:textId="77777777" w:rsidR="003054B1" w:rsidRDefault="00000000">
            <w:pPr>
              <w:pStyle w:val="Compact"/>
            </w:pPr>
            <w:r>
              <w:rPr>
                <w:b/>
                <w:bCs/>
              </w:rPr>
              <w:t>0.90 ± 0.07</w:t>
            </w:r>
          </w:p>
        </w:tc>
      </w:tr>
    </w:tbl>
    <w:p w14:paraId="33521DB6" w14:textId="77777777" w:rsidR="003054B1" w:rsidRDefault="00000000">
      <w:pPr>
        <w:pStyle w:val="BodyText"/>
      </w:pPr>
      <w:r>
        <w:t>Linear residualization and ComBat each produced a partition with ARI ≈ 0.06–0.07 against the raw partition, while remaining bootstrap-stable on its own.</w:t>
      </w:r>
    </w:p>
    <w:p w14:paraId="704A9865" w14:textId="77777777" w:rsidR="003054B1" w:rsidRDefault="00000000">
      <w:pPr>
        <w:pStyle w:val="BodyText"/>
      </w:pPr>
      <w:r>
        <w:rPr>
          <w:i/>
          <w:iCs/>
        </w:rPr>
        <w:t>Section takeaway.</w:t>
      </w:r>
      <w:r>
        <w:t xml:space="preserve"> Cluster </w:t>
      </w:r>
      <w:r>
        <w:rPr>
          <w:i/>
          <w:iCs/>
        </w:rPr>
        <w:t>stability</w:t>
      </w:r>
      <w:r>
        <w:t xml:space="preserve"> and cluster </w:t>
      </w:r>
      <w:r>
        <w:rPr>
          <w:i/>
          <w:iCs/>
        </w:rPr>
        <w:t>partition identity</w:t>
      </w:r>
      <w:r>
        <w:t xml:space="preserve"> are independent properties; the standard validation set (silhouette, bootstrap ARI) tests the former but not the latter.</w:t>
      </w:r>
    </w:p>
    <w:p w14:paraId="78C54D41" w14:textId="77777777" w:rsidR="003054B1" w:rsidRDefault="00000000">
      <w:pPr>
        <w:pStyle w:val="Heading3"/>
      </w:pPr>
      <w:bookmarkStart w:id="20" w:name="X428decc4d48e6d231925d94d836a50b6b84bf49"/>
      <w:bookmarkEnd w:id="19"/>
      <w:r>
        <w:t>3.5 Phase 3 — A residual size-correlated structure emerges after harmonization but does not meet prespecified biomarker criteria (Figures 4–6)</w:t>
      </w:r>
    </w:p>
    <w:p w14:paraId="4431AC7A" w14:textId="77777777" w:rsidR="003054B1" w:rsidRDefault="00000000">
      <w:pPr>
        <w:pStyle w:val="FirstParagraph"/>
      </w:pPr>
      <w:r>
        <w:t>Cluster characterization across conditions (Table 3, Figure 4):</w:t>
      </w:r>
    </w:p>
    <w:tbl>
      <w:tblPr>
        <w:tblStyle w:val="Table"/>
        <w:tblW w:w="5000" w:type="pct"/>
        <w:tblLook w:val="0020" w:firstRow="1" w:lastRow="0" w:firstColumn="0" w:lastColumn="0" w:noHBand="0" w:noVBand="0"/>
      </w:tblPr>
      <w:tblGrid>
        <w:gridCol w:w="2415"/>
        <w:gridCol w:w="1912"/>
        <w:gridCol w:w="1699"/>
        <w:gridCol w:w="1699"/>
        <w:gridCol w:w="1635"/>
      </w:tblGrid>
      <w:tr w:rsidR="003054B1" w14:paraId="2F036040"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40B29385" w14:textId="77777777" w:rsidR="003054B1" w:rsidRDefault="00000000">
            <w:pPr>
              <w:pStyle w:val="Compact"/>
            </w:pPr>
            <w:r>
              <w:t>Condition</w:t>
            </w:r>
          </w:p>
        </w:tc>
        <w:tc>
          <w:tcPr>
            <w:tcW w:w="0" w:type="auto"/>
          </w:tcPr>
          <w:p w14:paraId="1DD22EEF" w14:textId="77777777" w:rsidR="003054B1" w:rsidRDefault="00000000">
            <w:pPr>
              <w:pStyle w:val="Compact"/>
            </w:pPr>
            <w:r>
              <w:t>Manufacturer (</w:t>
            </w:r>
            <w:r>
              <w:rPr>
                <w:i/>
                <w:iCs/>
              </w:rPr>
              <w:t>p</w:t>
            </w:r>
            <w:r>
              <w:t>)</w:t>
            </w:r>
          </w:p>
        </w:tc>
        <w:tc>
          <w:tcPr>
            <w:tcW w:w="0" w:type="auto"/>
          </w:tcPr>
          <w:p w14:paraId="235F4398" w14:textId="77777777" w:rsidR="003054B1" w:rsidRDefault="00000000">
            <w:pPr>
              <w:pStyle w:val="Compact"/>
            </w:pPr>
            <w:r>
              <w:t>Mol Subtype (</w:t>
            </w:r>
            <w:r>
              <w:rPr>
                <w:i/>
                <w:iCs/>
              </w:rPr>
              <w:t>p</w:t>
            </w:r>
            <w:r>
              <w:t>)</w:t>
            </w:r>
          </w:p>
        </w:tc>
        <w:tc>
          <w:tcPr>
            <w:tcW w:w="0" w:type="auto"/>
          </w:tcPr>
          <w:p w14:paraId="18B0DD9C" w14:textId="77777777" w:rsidR="003054B1" w:rsidRDefault="00000000">
            <w:pPr>
              <w:pStyle w:val="Compact"/>
            </w:pPr>
            <w:r>
              <w:t>box-volume (</w:t>
            </w:r>
            <w:r>
              <w:rPr>
                <w:i/>
                <w:iCs/>
              </w:rPr>
              <w:t>p</w:t>
            </w:r>
            <w:r>
              <w:t>)</w:t>
            </w:r>
          </w:p>
        </w:tc>
        <w:tc>
          <w:tcPr>
            <w:tcW w:w="0" w:type="auto"/>
          </w:tcPr>
          <w:p w14:paraId="543276C6" w14:textId="77777777" w:rsidR="003054B1" w:rsidRDefault="00000000">
            <w:pPr>
              <w:pStyle w:val="Compact"/>
            </w:pPr>
            <w:r>
              <w:t>recurrence (</w:t>
            </w:r>
            <w:r>
              <w:rPr>
                <w:i/>
                <w:iCs/>
              </w:rPr>
              <w:t>p</w:t>
            </w:r>
            <w:r>
              <w:t>)</w:t>
            </w:r>
          </w:p>
        </w:tc>
      </w:tr>
      <w:tr w:rsidR="003054B1" w14:paraId="3CC18F4D" w14:textId="77777777">
        <w:tc>
          <w:tcPr>
            <w:tcW w:w="0" w:type="auto"/>
          </w:tcPr>
          <w:p w14:paraId="2F903451" w14:textId="77777777" w:rsidR="003054B1" w:rsidRDefault="00000000">
            <w:pPr>
              <w:pStyle w:val="Compact"/>
            </w:pPr>
            <w:r>
              <w:t>A: raw</w:t>
            </w:r>
          </w:p>
        </w:tc>
        <w:tc>
          <w:tcPr>
            <w:tcW w:w="0" w:type="auto"/>
          </w:tcPr>
          <w:p w14:paraId="4A33E2B0" w14:textId="77777777" w:rsidR="003054B1" w:rsidRDefault="00000000">
            <w:pPr>
              <w:pStyle w:val="Compact"/>
            </w:pPr>
            <w:r>
              <w:rPr>
                <w:b/>
                <w:bCs/>
              </w:rPr>
              <w:t>1.1×10⁻⁹⁶</w:t>
            </w:r>
          </w:p>
        </w:tc>
        <w:tc>
          <w:tcPr>
            <w:tcW w:w="0" w:type="auto"/>
          </w:tcPr>
          <w:p w14:paraId="438C5CEB" w14:textId="77777777" w:rsidR="003054B1" w:rsidRDefault="00000000">
            <w:pPr>
              <w:pStyle w:val="Compact"/>
            </w:pPr>
            <w:r>
              <w:t>0.272</w:t>
            </w:r>
          </w:p>
        </w:tc>
        <w:tc>
          <w:tcPr>
            <w:tcW w:w="0" w:type="auto"/>
          </w:tcPr>
          <w:p w14:paraId="7AD57B2F" w14:textId="77777777" w:rsidR="003054B1" w:rsidRDefault="00000000">
            <w:pPr>
              <w:pStyle w:val="Compact"/>
            </w:pPr>
            <w:r>
              <w:t>1.0×10⁻⁶</w:t>
            </w:r>
          </w:p>
        </w:tc>
        <w:tc>
          <w:tcPr>
            <w:tcW w:w="0" w:type="auto"/>
          </w:tcPr>
          <w:p w14:paraId="6AE3B5C7" w14:textId="77777777" w:rsidR="003054B1" w:rsidRDefault="00000000">
            <w:pPr>
              <w:pStyle w:val="Compact"/>
            </w:pPr>
            <w:r>
              <w:t>0.562</w:t>
            </w:r>
          </w:p>
        </w:tc>
      </w:tr>
      <w:tr w:rsidR="003054B1" w14:paraId="1368D9E8" w14:textId="77777777">
        <w:tc>
          <w:tcPr>
            <w:tcW w:w="0" w:type="auto"/>
          </w:tcPr>
          <w:p w14:paraId="68A34820" w14:textId="77777777" w:rsidR="003054B1" w:rsidRDefault="00000000">
            <w:pPr>
              <w:pStyle w:val="Compact"/>
            </w:pPr>
            <w:r>
              <w:t>D: enhancement-only</w:t>
            </w:r>
          </w:p>
        </w:tc>
        <w:tc>
          <w:tcPr>
            <w:tcW w:w="0" w:type="auto"/>
          </w:tcPr>
          <w:p w14:paraId="5B12D495" w14:textId="77777777" w:rsidR="003054B1" w:rsidRDefault="00000000">
            <w:pPr>
              <w:pStyle w:val="Compact"/>
            </w:pPr>
            <w:r>
              <w:rPr>
                <w:b/>
                <w:bCs/>
              </w:rPr>
              <w:t>2.1×10⁻⁶⁰</w:t>
            </w:r>
          </w:p>
        </w:tc>
        <w:tc>
          <w:tcPr>
            <w:tcW w:w="0" w:type="auto"/>
          </w:tcPr>
          <w:p w14:paraId="7C72339D" w14:textId="77777777" w:rsidR="003054B1" w:rsidRDefault="00000000">
            <w:pPr>
              <w:pStyle w:val="Compact"/>
            </w:pPr>
            <w:r>
              <w:t>0.128</w:t>
            </w:r>
          </w:p>
        </w:tc>
        <w:tc>
          <w:tcPr>
            <w:tcW w:w="0" w:type="auto"/>
          </w:tcPr>
          <w:p w14:paraId="443305EC" w14:textId="77777777" w:rsidR="003054B1" w:rsidRDefault="00000000">
            <w:pPr>
              <w:pStyle w:val="Compact"/>
            </w:pPr>
            <w:r>
              <w:t>0.029</w:t>
            </w:r>
          </w:p>
        </w:tc>
        <w:tc>
          <w:tcPr>
            <w:tcW w:w="0" w:type="auto"/>
          </w:tcPr>
          <w:p w14:paraId="7476FA2F" w14:textId="77777777" w:rsidR="003054B1" w:rsidRDefault="00000000">
            <w:pPr>
              <w:pStyle w:val="Compact"/>
            </w:pPr>
            <w:r>
              <w:t>0.499</w:t>
            </w:r>
          </w:p>
        </w:tc>
      </w:tr>
      <w:tr w:rsidR="003054B1" w14:paraId="3CE4131E" w14:textId="77777777">
        <w:tc>
          <w:tcPr>
            <w:tcW w:w="0" w:type="auto"/>
          </w:tcPr>
          <w:p w14:paraId="387C646F" w14:textId="77777777" w:rsidR="003054B1" w:rsidRDefault="00000000">
            <w:pPr>
              <w:pStyle w:val="Compact"/>
            </w:pPr>
            <w:r>
              <w:rPr>
                <w:b/>
                <w:bCs/>
              </w:rPr>
              <w:t>E: linear-residualized</w:t>
            </w:r>
          </w:p>
        </w:tc>
        <w:tc>
          <w:tcPr>
            <w:tcW w:w="0" w:type="auto"/>
          </w:tcPr>
          <w:p w14:paraId="1725D749" w14:textId="77777777" w:rsidR="003054B1" w:rsidRDefault="00000000">
            <w:pPr>
              <w:pStyle w:val="Compact"/>
            </w:pPr>
            <w:r>
              <w:t>0.613</w:t>
            </w:r>
          </w:p>
        </w:tc>
        <w:tc>
          <w:tcPr>
            <w:tcW w:w="0" w:type="auto"/>
          </w:tcPr>
          <w:p w14:paraId="21C0C0A5" w14:textId="77777777" w:rsidR="003054B1" w:rsidRDefault="00000000">
            <w:pPr>
              <w:pStyle w:val="Compact"/>
            </w:pPr>
            <w:r>
              <w:t>0.145</w:t>
            </w:r>
          </w:p>
        </w:tc>
        <w:tc>
          <w:tcPr>
            <w:tcW w:w="0" w:type="auto"/>
          </w:tcPr>
          <w:p w14:paraId="7AAB4B76" w14:textId="77777777" w:rsidR="003054B1" w:rsidRDefault="00000000">
            <w:pPr>
              <w:pStyle w:val="Compact"/>
            </w:pPr>
            <w:r>
              <w:rPr>
                <w:b/>
                <w:bCs/>
              </w:rPr>
              <w:t>1.4×10⁻²⁶</w:t>
            </w:r>
          </w:p>
        </w:tc>
        <w:tc>
          <w:tcPr>
            <w:tcW w:w="0" w:type="auto"/>
          </w:tcPr>
          <w:p w14:paraId="187ADFB0" w14:textId="77777777" w:rsidR="003054B1" w:rsidRDefault="00000000">
            <w:pPr>
              <w:pStyle w:val="Compact"/>
            </w:pPr>
            <w:r>
              <w:t>0.071</w:t>
            </w:r>
          </w:p>
        </w:tc>
      </w:tr>
      <w:tr w:rsidR="003054B1" w14:paraId="65D051CD" w14:textId="77777777">
        <w:tc>
          <w:tcPr>
            <w:tcW w:w="0" w:type="auto"/>
          </w:tcPr>
          <w:p w14:paraId="14BE37DF" w14:textId="77777777" w:rsidR="003054B1" w:rsidRDefault="00000000">
            <w:pPr>
              <w:pStyle w:val="Compact"/>
            </w:pPr>
            <w:r>
              <w:rPr>
                <w:b/>
                <w:bCs/>
              </w:rPr>
              <w:t>F: ComBat</w:t>
            </w:r>
          </w:p>
        </w:tc>
        <w:tc>
          <w:tcPr>
            <w:tcW w:w="0" w:type="auto"/>
          </w:tcPr>
          <w:p w14:paraId="607234E9" w14:textId="77777777" w:rsidR="003054B1" w:rsidRDefault="00000000">
            <w:pPr>
              <w:pStyle w:val="Compact"/>
            </w:pPr>
            <w:r>
              <w:t>0.604</w:t>
            </w:r>
          </w:p>
        </w:tc>
        <w:tc>
          <w:tcPr>
            <w:tcW w:w="0" w:type="auto"/>
          </w:tcPr>
          <w:p w14:paraId="1864B2C0" w14:textId="77777777" w:rsidR="003054B1" w:rsidRDefault="00000000">
            <w:pPr>
              <w:pStyle w:val="Compact"/>
            </w:pPr>
            <w:r>
              <w:t>0.074</w:t>
            </w:r>
          </w:p>
        </w:tc>
        <w:tc>
          <w:tcPr>
            <w:tcW w:w="0" w:type="auto"/>
          </w:tcPr>
          <w:p w14:paraId="6A2A3D00" w14:textId="77777777" w:rsidR="003054B1" w:rsidRDefault="00000000">
            <w:pPr>
              <w:pStyle w:val="Compact"/>
            </w:pPr>
            <w:r>
              <w:rPr>
                <w:b/>
                <w:bCs/>
              </w:rPr>
              <w:t>1.0×10⁻²⁶</w:t>
            </w:r>
          </w:p>
        </w:tc>
        <w:tc>
          <w:tcPr>
            <w:tcW w:w="0" w:type="auto"/>
          </w:tcPr>
          <w:p w14:paraId="71730D40" w14:textId="77777777" w:rsidR="003054B1" w:rsidRDefault="00000000">
            <w:pPr>
              <w:pStyle w:val="Compact"/>
            </w:pPr>
            <w:r>
              <w:t>0.114</w:t>
            </w:r>
          </w:p>
        </w:tc>
      </w:tr>
    </w:tbl>
    <w:p w14:paraId="03DF0190" w14:textId="77777777" w:rsidR="003054B1" w:rsidRDefault="00000000">
      <w:pPr>
        <w:pStyle w:val="BodyText"/>
      </w:pPr>
      <w:r>
        <w:t>In conditions E and F, manufacturer association of the cluster is no longer detectable (</w:t>
      </w:r>
      <w:r>
        <w:rPr>
          <w:i/>
          <w:iCs/>
        </w:rPr>
        <w:t>p</w:t>
      </w:r>
      <w:r>
        <w:t xml:space="preserve"> ≈ 0.6) and tumor box-volume is the strongest correlate (</w:t>
      </w:r>
      <w:r>
        <w:rPr>
          <w:i/>
          <w:iCs/>
        </w:rPr>
        <w:t>p</w:t>
      </w:r>
      <w:r>
        <w:t xml:space="preserve"> = 10⁻²⁶). At the continuous-score level (Figure 5, Table 4), the three harmonized PC1 scores are statistically uncoupled from manufacturer (Spearman </w:t>
      </w:r>
      <w:r>
        <w:rPr>
          <w:i/>
          <w:iCs/>
        </w:rPr>
        <w:t>p</w:t>
      </w:r>
      <w:r>
        <w:t xml:space="preserve"> = 0.48–0.81; raw </w:t>
      </w:r>
      <w:r>
        <w:rPr>
          <w:i/>
          <w:iCs/>
        </w:rPr>
        <w:t>p</w:t>
      </w:r>
      <w:r>
        <w:t xml:space="preserve"> = 2×10⁻⁷⁴) and from molecular subtype (Kruskal </w:t>
      </w:r>
      <w:r>
        <w:rPr>
          <w:i/>
          <w:iCs/>
        </w:rPr>
        <w:t>p</w:t>
      </w:r>
      <w:r>
        <w:t xml:space="preserve"> &gt; 0.92).</w:t>
      </w:r>
    </w:p>
    <w:p w14:paraId="1D4BADDB" w14:textId="77777777" w:rsidR="003054B1" w:rsidRDefault="00000000">
      <w:pPr>
        <w:pStyle w:val="BodyText"/>
      </w:pPr>
      <w:r>
        <w:t>We tested the residual structure against the three prespecified criteria (§2.7).</w:t>
      </w:r>
    </w:p>
    <w:p w14:paraId="7B597B67" w14:textId="77777777" w:rsidR="003054B1" w:rsidRDefault="00000000">
      <w:pPr>
        <w:pStyle w:val="BodyText"/>
      </w:pPr>
      <w:r>
        <w:rPr>
          <w:b/>
          <w:bCs/>
        </w:rPr>
        <w:t>Significance for the clinical endpoint.</w:t>
      </w:r>
      <w:r>
        <w:t xml:space="preserve"> Cluster Fisher’s exact test for recurrence: residualized </w:t>
      </w:r>
      <w:r>
        <w:rPr>
          <w:i/>
          <w:iCs/>
        </w:rPr>
        <w:t>p</w:t>
      </w:r>
      <w:r>
        <w:t xml:space="preserve"> = 0.071, ComBat </w:t>
      </w:r>
      <w:r>
        <w:rPr>
          <w:i/>
          <w:iCs/>
        </w:rPr>
        <w:t>p</w:t>
      </w:r>
      <w:r>
        <w:t xml:space="preserve"> = 0.114. Whole-cohort age + manufacturer + subtype-adjusted Cox: HR 1.00–1.03 across all four scores, all </w:t>
      </w:r>
      <w:r>
        <w:rPr>
          <w:i/>
          <w:iCs/>
        </w:rPr>
        <w:t>p</w:t>
      </w:r>
      <w:r>
        <w:t xml:space="preserve"> &gt; 0.70.</w:t>
      </w:r>
    </w:p>
    <w:p w14:paraId="32E01E3F" w14:textId="77777777" w:rsidR="003054B1" w:rsidRDefault="00000000">
      <w:pPr>
        <w:pStyle w:val="BodyText"/>
      </w:pPr>
      <w:r>
        <w:rPr>
          <w:b/>
          <w:bCs/>
        </w:rPr>
        <w:t>Incremental predictive value.</w:t>
      </w:r>
      <w:r>
        <w:t xml:space="preserve"> 5-fold nested-CV AUC for binary recurrence (Figure 6, Table 5):</w:t>
      </w:r>
    </w:p>
    <w:tbl>
      <w:tblPr>
        <w:tblStyle w:val="Table"/>
        <w:tblW w:w="0" w:type="auto"/>
        <w:tblLook w:val="0020" w:firstRow="1" w:lastRow="0" w:firstColumn="0" w:lastColumn="0" w:noHBand="0" w:noVBand="0"/>
      </w:tblPr>
      <w:tblGrid>
        <w:gridCol w:w="4128"/>
        <w:gridCol w:w="1243"/>
        <w:gridCol w:w="1617"/>
      </w:tblGrid>
      <w:tr w:rsidR="003054B1" w14:paraId="4673B311"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5AF52C3B" w14:textId="77777777" w:rsidR="003054B1" w:rsidRDefault="00000000">
            <w:pPr>
              <w:pStyle w:val="Compact"/>
            </w:pPr>
            <w:r>
              <w:t>Block</w:t>
            </w:r>
          </w:p>
        </w:tc>
        <w:tc>
          <w:tcPr>
            <w:tcW w:w="0" w:type="auto"/>
          </w:tcPr>
          <w:p w14:paraId="0AAEA901" w14:textId="77777777" w:rsidR="003054B1" w:rsidRDefault="00000000">
            <w:pPr>
              <w:pStyle w:val="Compact"/>
            </w:pPr>
            <w:r>
              <w:t>n features</w:t>
            </w:r>
          </w:p>
        </w:tc>
        <w:tc>
          <w:tcPr>
            <w:tcW w:w="0" w:type="auto"/>
          </w:tcPr>
          <w:p w14:paraId="69964F79" w14:textId="77777777" w:rsidR="003054B1" w:rsidRDefault="00000000">
            <w:pPr>
              <w:pStyle w:val="Compact"/>
            </w:pPr>
            <w:r>
              <w:t>AUC ± SD</w:t>
            </w:r>
          </w:p>
        </w:tc>
      </w:tr>
      <w:tr w:rsidR="003054B1" w14:paraId="096A0B49" w14:textId="77777777">
        <w:tc>
          <w:tcPr>
            <w:tcW w:w="0" w:type="auto"/>
          </w:tcPr>
          <w:p w14:paraId="5FA97268" w14:textId="77777777" w:rsidR="003054B1" w:rsidRDefault="00000000">
            <w:pPr>
              <w:pStyle w:val="Compact"/>
            </w:pPr>
            <w:r>
              <w:t>Clinical + subtype</w:t>
            </w:r>
          </w:p>
        </w:tc>
        <w:tc>
          <w:tcPr>
            <w:tcW w:w="0" w:type="auto"/>
          </w:tcPr>
          <w:p w14:paraId="0296FAD1" w14:textId="77777777" w:rsidR="003054B1" w:rsidRDefault="00000000">
            <w:pPr>
              <w:pStyle w:val="Compact"/>
            </w:pPr>
            <w:r>
              <w:t>5</w:t>
            </w:r>
          </w:p>
        </w:tc>
        <w:tc>
          <w:tcPr>
            <w:tcW w:w="0" w:type="auto"/>
          </w:tcPr>
          <w:p w14:paraId="7520E124" w14:textId="77777777" w:rsidR="003054B1" w:rsidRDefault="00000000">
            <w:pPr>
              <w:pStyle w:val="Compact"/>
            </w:pPr>
            <w:r>
              <w:t>0.610 ± 0.040</w:t>
            </w:r>
          </w:p>
        </w:tc>
      </w:tr>
      <w:tr w:rsidR="003054B1" w14:paraId="35B37BA7" w14:textId="77777777">
        <w:tc>
          <w:tcPr>
            <w:tcW w:w="0" w:type="auto"/>
          </w:tcPr>
          <w:p w14:paraId="443F949C" w14:textId="77777777" w:rsidR="003054B1" w:rsidRDefault="00000000">
            <w:pPr>
              <w:pStyle w:val="Compact"/>
            </w:pPr>
            <w:r>
              <w:t>Clinical + subtype + ComBat-vasc</w:t>
            </w:r>
          </w:p>
        </w:tc>
        <w:tc>
          <w:tcPr>
            <w:tcW w:w="0" w:type="auto"/>
          </w:tcPr>
          <w:p w14:paraId="5634FB23" w14:textId="77777777" w:rsidR="003054B1" w:rsidRDefault="00000000">
            <w:pPr>
              <w:pStyle w:val="Compact"/>
            </w:pPr>
            <w:r>
              <w:t>6</w:t>
            </w:r>
          </w:p>
        </w:tc>
        <w:tc>
          <w:tcPr>
            <w:tcW w:w="0" w:type="auto"/>
          </w:tcPr>
          <w:p w14:paraId="49935F15" w14:textId="77777777" w:rsidR="003054B1" w:rsidRDefault="00000000">
            <w:pPr>
              <w:pStyle w:val="Compact"/>
            </w:pPr>
            <w:r>
              <w:t>0.604 ± 0.048</w:t>
            </w:r>
          </w:p>
        </w:tc>
      </w:tr>
      <w:tr w:rsidR="003054B1" w14:paraId="21338C17" w14:textId="77777777">
        <w:tc>
          <w:tcPr>
            <w:tcW w:w="0" w:type="auto"/>
          </w:tcPr>
          <w:p w14:paraId="419B7309" w14:textId="77777777" w:rsidR="003054B1" w:rsidRDefault="00000000">
            <w:pPr>
              <w:pStyle w:val="Compact"/>
            </w:pPr>
            <w:r>
              <w:t>Clinical only (age + box-volume)</w:t>
            </w:r>
          </w:p>
        </w:tc>
        <w:tc>
          <w:tcPr>
            <w:tcW w:w="0" w:type="auto"/>
          </w:tcPr>
          <w:p w14:paraId="0398F10C" w14:textId="77777777" w:rsidR="003054B1" w:rsidRDefault="00000000">
            <w:pPr>
              <w:pStyle w:val="Compact"/>
            </w:pPr>
            <w:r>
              <w:t>2</w:t>
            </w:r>
          </w:p>
        </w:tc>
        <w:tc>
          <w:tcPr>
            <w:tcW w:w="0" w:type="auto"/>
          </w:tcPr>
          <w:p w14:paraId="1D64057F" w14:textId="77777777" w:rsidR="003054B1" w:rsidRDefault="00000000">
            <w:pPr>
              <w:pStyle w:val="Compact"/>
            </w:pPr>
            <w:r>
              <w:t>0.603 ± 0.053</w:t>
            </w:r>
          </w:p>
        </w:tc>
      </w:tr>
      <w:tr w:rsidR="003054B1" w14:paraId="64B7625D" w14:textId="77777777">
        <w:tc>
          <w:tcPr>
            <w:tcW w:w="0" w:type="auto"/>
          </w:tcPr>
          <w:p w14:paraId="5192159D" w14:textId="77777777" w:rsidR="003054B1" w:rsidRDefault="00000000">
            <w:pPr>
              <w:pStyle w:val="Compact"/>
            </w:pPr>
            <w:r>
              <w:t>Clinical + subtype + scanner</w:t>
            </w:r>
          </w:p>
        </w:tc>
        <w:tc>
          <w:tcPr>
            <w:tcW w:w="0" w:type="auto"/>
          </w:tcPr>
          <w:p w14:paraId="6C53F7E8" w14:textId="77777777" w:rsidR="003054B1" w:rsidRDefault="00000000">
            <w:pPr>
              <w:pStyle w:val="Compact"/>
            </w:pPr>
            <w:r>
              <w:t>8</w:t>
            </w:r>
          </w:p>
        </w:tc>
        <w:tc>
          <w:tcPr>
            <w:tcW w:w="0" w:type="auto"/>
          </w:tcPr>
          <w:p w14:paraId="6C5A713F" w14:textId="77777777" w:rsidR="003054B1" w:rsidRDefault="00000000">
            <w:pPr>
              <w:pStyle w:val="Compact"/>
            </w:pPr>
            <w:r>
              <w:t>0.600 ± 0.032</w:t>
            </w:r>
          </w:p>
        </w:tc>
      </w:tr>
      <w:tr w:rsidR="003054B1" w14:paraId="13128A27" w14:textId="77777777">
        <w:tc>
          <w:tcPr>
            <w:tcW w:w="0" w:type="auto"/>
          </w:tcPr>
          <w:p w14:paraId="6A4579F3" w14:textId="77777777" w:rsidR="003054B1" w:rsidRDefault="00000000">
            <w:pPr>
              <w:pStyle w:val="Compact"/>
            </w:pPr>
            <w:r>
              <w:t>Clinical + subtype + resid-vasc</w:t>
            </w:r>
          </w:p>
        </w:tc>
        <w:tc>
          <w:tcPr>
            <w:tcW w:w="0" w:type="auto"/>
          </w:tcPr>
          <w:p w14:paraId="06645C43" w14:textId="77777777" w:rsidR="003054B1" w:rsidRDefault="00000000">
            <w:pPr>
              <w:pStyle w:val="Compact"/>
            </w:pPr>
            <w:r>
              <w:t>6</w:t>
            </w:r>
          </w:p>
        </w:tc>
        <w:tc>
          <w:tcPr>
            <w:tcW w:w="0" w:type="auto"/>
          </w:tcPr>
          <w:p w14:paraId="533428EA" w14:textId="77777777" w:rsidR="003054B1" w:rsidRDefault="00000000">
            <w:pPr>
              <w:pStyle w:val="Compact"/>
            </w:pPr>
            <w:r>
              <w:t>0.599 ± 0.051</w:t>
            </w:r>
          </w:p>
        </w:tc>
      </w:tr>
      <w:tr w:rsidR="003054B1" w14:paraId="4B9F049E" w14:textId="77777777">
        <w:tc>
          <w:tcPr>
            <w:tcW w:w="0" w:type="auto"/>
          </w:tcPr>
          <w:p w14:paraId="494AB849" w14:textId="77777777" w:rsidR="003054B1" w:rsidRDefault="00000000">
            <w:pPr>
              <w:pStyle w:val="Compact"/>
            </w:pPr>
            <w:r>
              <w:t>All radiomics, raw (280 feats)</w:t>
            </w:r>
          </w:p>
        </w:tc>
        <w:tc>
          <w:tcPr>
            <w:tcW w:w="0" w:type="auto"/>
          </w:tcPr>
          <w:p w14:paraId="528C9240" w14:textId="77777777" w:rsidR="003054B1" w:rsidRDefault="00000000">
            <w:pPr>
              <w:pStyle w:val="Compact"/>
            </w:pPr>
            <w:r>
              <w:t>280</w:t>
            </w:r>
          </w:p>
        </w:tc>
        <w:tc>
          <w:tcPr>
            <w:tcW w:w="0" w:type="auto"/>
          </w:tcPr>
          <w:p w14:paraId="75D370E5" w14:textId="77777777" w:rsidR="003054B1" w:rsidRDefault="00000000">
            <w:pPr>
              <w:pStyle w:val="Compact"/>
            </w:pPr>
            <w:r>
              <w:t>0.597 ± 0.063</w:t>
            </w:r>
          </w:p>
        </w:tc>
      </w:tr>
      <w:tr w:rsidR="003054B1" w14:paraId="5170E26D" w14:textId="77777777">
        <w:tc>
          <w:tcPr>
            <w:tcW w:w="0" w:type="auto"/>
          </w:tcPr>
          <w:p w14:paraId="2E80EBF4" w14:textId="77777777" w:rsidR="003054B1" w:rsidRDefault="00000000">
            <w:pPr>
              <w:pStyle w:val="Compact"/>
            </w:pPr>
            <w:r>
              <w:t>All radiomics, within-fold residualized</w:t>
            </w:r>
          </w:p>
        </w:tc>
        <w:tc>
          <w:tcPr>
            <w:tcW w:w="0" w:type="auto"/>
          </w:tcPr>
          <w:p w14:paraId="22E8BF37" w14:textId="77777777" w:rsidR="003054B1" w:rsidRDefault="00000000">
            <w:pPr>
              <w:pStyle w:val="Compact"/>
            </w:pPr>
            <w:r>
              <w:t>280</w:t>
            </w:r>
          </w:p>
        </w:tc>
        <w:tc>
          <w:tcPr>
            <w:tcW w:w="0" w:type="auto"/>
          </w:tcPr>
          <w:p w14:paraId="55FC7712" w14:textId="77777777" w:rsidR="003054B1" w:rsidRDefault="00000000">
            <w:pPr>
              <w:pStyle w:val="Compact"/>
            </w:pPr>
            <w:r>
              <w:t>0.595 ± 0.063</w:t>
            </w:r>
          </w:p>
        </w:tc>
      </w:tr>
      <w:tr w:rsidR="003054B1" w14:paraId="0B148FD7" w14:textId="77777777">
        <w:tc>
          <w:tcPr>
            <w:tcW w:w="0" w:type="auto"/>
          </w:tcPr>
          <w:p w14:paraId="72AB5739" w14:textId="77777777" w:rsidR="003054B1" w:rsidRDefault="00000000">
            <w:pPr>
              <w:pStyle w:val="Compact"/>
            </w:pPr>
            <w:r>
              <w:lastRenderedPageBreak/>
              <w:t>Subtype only</w:t>
            </w:r>
          </w:p>
        </w:tc>
        <w:tc>
          <w:tcPr>
            <w:tcW w:w="0" w:type="auto"/>
          </w:tcPr>
          <w:p w14:paraId="323E0791" w14:textId="77777777" w:rsidR="003054B1" w:rsidRDefault="00000000">
            <w:pPr>
              <w:pStyle w:val="Compact"/>
            </w:pPr>
            <w:r>
              <w:t>3</w:t>
            </w:r>
          </w:p>
        </w:tc>
        <w:tc>
          <w:tcPr>
            <w:tcW w:w="0" w:type="auto"/>
          </w:tcPr>
          <w:p w14:paraId="10B501D9" w14:textId="77777777" w:rsidR="003054B1" w:rsidRDefault="00000000">
            <w:pPr>
              <w:pStyle w:val="Compact"/>
            </w:pPr>
            <w:r>
              <w:t>0.572 ± 0.014</w:t>
            </w:r>
          </w:p>
        </w:tc>
      </w:tr>
      <w:tr w:rsidR="003054B1" w14:paraId="49B79342" w14:textId="77777777">
        <w:tc>
          <w:tcPr>
            <w:tcW w:w="0" w:type="auto"/>
          </w:tcPr>
          <w:p w14:paraId="2EDEF2D0" w14:textId="77777777" w:rsidR="003054B1" w:rsidRDefault="00000000">
            <w:pPr>
              <w:pStyle w:val="Compact"/>
            </w:pPr>
            <w:r>
              <w:t>ComBat-vasc only</w:t>
            </w:r>
          </w:p>
        </w:tc>
        <w:tc>
          <w:tcPr>
            <w:tcW w:w="0" w:type="auto"/>
          </w:tcPr>
          <w:p w14:paraId="3A15E8E2" w14:textId="77777777" w:rsidR="003054B1" w:rsidRDefault="00000000">
            <w:pPr>
              <w:pStyle w:val="Compact"/>
            </w:pPr>
            <w:r>
              <w:t>1</w:t>
            </w:r>
          </w:p>
        </w:tc>
        <w:tc>
          <w:tcPr>
            <w:tcW w:w="0" w:type="auto"/>
          </w:tcPr>
          <w:p w14:paraId="7593FF57" w14:textId="77777777" w:rsidR="003054B1" w:rsidRDefault="00000000">
            <w:pPr>
              <w:pStyle w:val="Compact"/>
            </w:pPr>
            <w:r>
              <w:t>0.452 ± 0.055</w:t>
            </w:r>
          </w:p>
        </w:tc>
      </w:tr>
      <w:tr w:rsidR="003054B1" w14:paraId="51896C45" w14:textId="77777777">
        <w:tc>
          <w:tcPr>
            <w:tcW w:w="0" w:type="auto"/>
          </w:tcPr>
          <w:p w14:paraId="22991F20" w14:textId="77777777" w:rsidR="003054B1" w:rsidRDefault="00000000">
            <w:pPr>
              <w:pStyle w:val="Compact"/>
            </w:pPr>
            <w:r>
              <w:t>Resid-vasc only</w:t>
            </w:r>
          </w:p>
        </w:tc>
        <w:tc>
          <w:tcPr>
            <w:tcW w:w="0" w:type="auto"/>
          </w:tcPr>
          <w:p w14:paraId="674BC16D" w14:textId="77777777" w:rsidR="003054B1" w:rsidRDefault="00000000">
            <w:pPr>
              <w:pStyle w:val="Compact"/>
            </w:pPr>
            <w:r>
              <w:t>1</w:t>
            </w:r>
          </w:p>
        </w:tc>
        <w:tc>
          <w:tcPr>
            <w:tcW w:w="0" w:type="auto"/>
          </w:tcPr>
          <w:p w14:paraId="60485248" w14:textId="77777777" w:rsidR="003054B1" w:rsidRDefault="00000000">
            <w:pPr>
              <w:pStyle w:val="Compact"/>
            </w:pPr>
            <w:r>
              <w:t>0.452 ± 0.047</w:t>
            </w:r>
          </w:p>
        </w:tc>
      </w:tr>
      <w:tr w:rsidR="003054B1" w14:paraId="0BB55B79" w14:textId="77777777">
        <w:tc>
          <w:tcPr>
            <w:tcW w:w="0" w:type="auto"/>
          </w:tcPr>
          <w:p w14:paraId="200B8449" w14:textId="77777777" w:rsidR="003054B1" w:rsidRDefault="00000000">
            <w:pPr>
              <w:pStyle w:val="Compact"/>
            </w:pPr>
            <w:r>
              <w:t>Raw vasc only</w:t>
            </w:r>
          </w:p>
        </w:tc>
        <w:tc>
          <w:tcPr>
            <w:tcW w:w="0" w:type="auto"/>
          </w:tcPr>
          <w:p w14:paraId="74DEA99A" w14:textId="77777777" w:rsidR="003054B1" w:rsidRDefault="00000000">
            <w:pPr>
              <w:pStyle w:val="Compact"/>
            </w:pPr>
            <w:r>
              <w:t>1</w:t>
            </w:r>
          </w:p>
        </w:tc>
        <w:tc>
          <w:tcPr>
            <w:tcW w:w="0" w:type="auto"/>
          </w:tcPr>
          <w:p w14:paraId="1D1D64EB" w14:textId="77777777" w:rsidR="003054B1" w:rsidRDefault="00000000">
            <w:pPr>
              <w:pStyle w:val="Compact"/>
            </w:pPr>
            <w:r>
              <w:t>0.448 ± 0.036</w:t>
            </w:r>
          </w:p>
        </w:tc>
      </w:tr>
    </w:tbl>
    <w:p w14:paraId="4782EB1A" w14:textId="77777777" w:rsidR="003054B1" w:rsidRDefault="00000000">
      <w:pPr>
        <w:pStyle w:val="BodyText"/>
      </w:pPr>
      <w:r>
        <w:t>No radiomic representation improved on clinical features alone in this cohort.</w:t>
      </w:r>
    </w:p>
    <w:p w14:paraId="04821C7D" w14:textId="77777777" w:rsidR="003054B1" w:rsidRDefault="00000000">
      <w:pPr>
        <w:pStyle w:val="BodyText"/>
      </w:pPr>
      <w:r>
        <w:rPr>
          <w:b/>
          <w:bCs/>
        </w:rPr>
        <w:t>Within-vendor direction consistency.</w:t>
      </w:r>
      <w:r>
        <w:t xml:space="preserve"> For each harmonized score, mean score in event vs. non-event patients:</w:t>
      </w:r>
    </w:p>
    <w:tbl>
      <w:tblPr>
        <w:tblStyle w:val="Table"/>
        <w:tblW w:w="0" w:type="auto"/>
        <w:tblLook w:val="0020" w:firstRow="1" w:lastRow="0" w:firstColumn="0" w:lastColumn="0" w:noHBand="0" w:noVBand="0"/>
      </w:tblPr>
      <w:tblGrid>
        <w:gridCol w:w="1695"/>
        <w:gridCol w:w="1124"/>
        <w:gridCol w:w="1599"/>
        <w:gridCol w:w="1696"/>
        <w:gridCol w:w="2171"/>
      </w:tblGrid>
      <w:tr w:rsidR="003054B1" w14:paraId="331E49AB"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0E8BAB4C" w14:textId="77777777" w:rsidR="003054B1" w:rsidRDefault="00000000">
            <w:pPr>
              <w:pStyle w:val="Compact"/>
            </w:pPr>
            <w:r>
              <w:t>Score</w:t>
            </w:r>
          </w:p>
        </w:tc>
        <w:tc>
          <w:tcPr>
            <w:tcW w:w="0" w:type="auto"/>
          </w:tcPr>
          <w:p w14:paraId="1F374BD1" w14:textId="77777777" w:rsidR="003054B1" w:rsidRDefault="00000000">
            <w:pPr>
              <w:pStyle w:val="Compact"/>
            </w:pPr>
            <w:r>
              <w:t>GE event</w:t>
            </w:r>
          </w:p>
        </w:tc>
        <w:tc>
          <w:tcPr>
            <w:tcW w:w="0" w:type="auto"/>
          </w:tcPr>
          <w:p w14:paraId="27645629" w14:textId="77777777" w:rsidR="003054B1" w:rsidRDefault="00000000">
            <w:pPr>
              <w:pStyle w:val="Compact"/>
            </w:pPr>
            <w:r>
              <w:t>GE non-event</w:t>
            </w:r>
          </w:p>
        </w:tc>
        <w:tc>
          <w:tcPr>
            <w:tcW w:w="0" w:type="auto"/>
          </w:tcPr>
          <w:p w14:paraId="4F4A3670" w14:textId="77777777" w:rsidR="003054B1" w:rsidRDefault="00000000">
            <w:pPr>
              <w:pStyle w:val="Compact"/>
            </w:pPr>
            <w:r>
              <w:t>Siemens event</w:t>
            </w:r>
          </w:p>
        </w:tc>
        <w:tc>
          <w:tcPr>
            <w:tcW w:w="0" w:type="auto"/>
          </w:tcPr>
          <w:p w14:paraId="6D1754D4" w14:textId="77777777" w:rsidR="003054B1" w:rsidRDefault="00000000">
            <w:pPr>
              <w:pStyle w:val="Compact"/>
            </w:pPr>
            <w:r>
              <w:t>Siemens non-event</w:t>
            </w:r>
          </w:p>
        </w:tc>
      </w:tr>
      <w:tr w:rsidR="003054B1" w14:paraId="1A46324B" w14:textId="77777777">
        <w:tc>
          <w:tcPr>
            <w:tcW w:w="0" w:type="auto"/>
          </w:tcPr>
          <w:p w14:paraId="2BFCFA51" w14:textId="77777777" w:rsidR="003054B1" w:rsidRDefault="00000000">
            <w:pPr>
              <w:pStyle w:val="Compact"/>
            </w:pPr>
            <w:r>
              <w:t>residualized</w:t>
            </w:r>
          </w:p>
        </w:tc>
        <w:tc>
          <w:tcPr>
            <w:tcW w:w="0" w:type="auto"/>
          </w:tcPr>
          <w:p w14:paraId="231BBD0F" w14:textId="77777777" w:rsidR="003054B1" w:rsidRDefault="00000000">
            <w:pPr>
              <w:pStyle w:val="Compact"/>
            </w:pPr>
            <w:r>
              <w:t>+0.63</w:t>
            </w:r>
          </w:p>
        </w:tc>
        <w:tc>
          <w:tcPr>
            <w:tcW w:w="0" w:type="auto"/>
          </w:tcPr>
          <w:p w14:paraId="7A30B4CC" w14:textId="77777777" w:rsidR="003054B1" w:rsidRDefault="00000000">
            <w:pPr>
              <w:pStyle w:val="Compact"/>
            </w:pPr>
            <w:r>
              <w:t>−0.07</w:t>
            </w:r>
          </w:p>
        </w:tc>
        <w:tc>
          <w:tcPr>
            <w:tcW w:w="0" w:type="auto"/>
          </w:tcPr>
          <w:p w14:paraId="3994F9D6" w14:textId="77777777" w:rsidR="003054B1" w:rsidRDefault="00000000">
            <w:pPr>
              <w:pStyle w:val="Compact"/>
            </w:pPr>
            <w:r>
              <w:t>−0.95</w:t>
            </w:r>
          </w:p>
        </w:tc>
        <w:tc>
          <w:tcPr>
            <w:tcW w:w="0" w:type="auto"/>
          </w:tcPr>
          <w:p w14:paraId="234146CF" w14:textId="77777777" w:rsidR="003054B1" w:rsidRDefault="00000000">
            <w:pPr>
              <w:pStyle w:val="Compact"/>
            </w:pPr>
            <w:r>
              <w:t>+0.10</w:t>
            </w:r>
          </w:p>
        </w:tc>
      </w:tr>
      <w:tr w:rsidR="003054B1" w14:paraId="358AB715" w14:textId="77777777">
        <w:tc>
          <w:tcPr>
            <w:tcW w:w="0" w:type="auto"/>
          </w:tcPr>
          <w:p w14:paraId="1204187A" w14:textId="77777777" w:rsidR="003054B1" w:rsidRDefault="00000000">
            <w:pPr>
              <w:pStyle w:val="Compact"/>
            </w:pPr>
            <w:r>
              <w:t>ComBat</w:t>
            </w:r>
          </w:p>
        </w:tc>
        <w:tc>
          <w:tcPr>
            <w:tcW w:w="0" w:type="auto"/>
          </w:tcPr>
          <w:p w14:paraId="422BC0C2" w14:textId="77777777" w:rsidR="003054B1" w:rsidRDefault="00000000">
            <w:pPr>
              <w:pStyle w:val="Compact"/>
            </w:pPr>
            <w:r>
              <w:t>−0.49</w:t>
            </w:r>
          </w:p>
        </w:tc>
        <w:tc>
          <w:tcPr>
            <w:tcW w:w="0" w:type="auto"/>
          </w:tcPr>
          <w:p w14:paraId="238EB469" w14:textId="77777777" w:rsidR="003054B1" w:rsidRDefault="00000000">
            <w:pPr>
              <w:pStyle w:val="Compact"/>
            </w:pPr>
            <w:r>
              <w:t>+0.04</w:t>
            </w:r>
          </w:p>
        </w:tc>
        <w:tc>
          <w:tcPr>
            <w:tcW w:w="0" w:type="auto"/>
          </w:tcPr>
          <w:p w14:paraId="34ABE322" w14:textId="77777777" w:rsidR="003054B1" w:rsidRDefault="00000000">
            <w:pPr>
              <w:pStyle w:val="Compact"/>
            </w:pPr>
            <w:r>
              <w:t>+0.68</w:t>
            </w:r>
          </w:p>
        </w:tc>
        <w:tc>
          <w:tcPr>
            <w:tcW w:w="0" w:type="auto"/>
          </w:tcPr>
          <w:p w14:paraId="413551AA" w14:textId="77777777" w:rsidR="003054B1" w:rsidRDefault="00000000">
            <w:pPr>
              <w:pStyle w:val="Compact"/>
            </w:pPr>
            <w:r>
              <w:t>−0.04</w:t>
            </w:r>
          </w:p>
        </w:tc>
      </w:tr>
      <w:tr w:rsidR="003054B1" w14:paraId="0F0DD393" w14:textId="77777777">
        <w:tc>
          <w:tcPr>
            <w:tcW w:w="0" w:type="auto"/>
          </w:tcPr>
          <w:p w14:paraId="259E6FAE" w14:textId="77777777" w:rsidR="003054B1" w:rsidRDefault="00000000">
            <w:pPr>
              <w:pStyle w:val="Compact"/>
            </w:pPr>
            <w:r>
              <w:t>within-vendor</w:t>
            </w:r>
          </w:p>
        </w:tc>
        <w:tc>
          <w:tcPr>
            <w:tcW w:w="0" w:type="auto"/>
          </w:tcPr>
          <w:p w14:paraId="4A2F31E3" w14:textId="77777777" w:rsidR="003054B1" w:rsidRDefault="00000000">
            <w:pPr>
              <w:pStyle w:val="Compact"/>
            </w:pPr>
            <w:r>
              <w:t>+0.17</w:t>
            </w:r>
          </w:p>
        </w:tc>
        <w:tc>
          <w:tcPr>
            <w:tcW w:w="0" w:type="auto"/>
          </w:tcPr>
          <w:p w14:paraId="0F99BCD7" w14:textId="77777777" w:rsidR="003054B1" w:rsidRDefault="00000000">
            <w:pPr>
              <w:pStyle w:val="Compact"/>
            </w:pPr>
            <w:r>
              <w:t>−0.02</w:t>
            </w:r>
          </w:p>
        </w:tc>
        <w:tc>
          <w:tcPr>
            <w:tcW w:w="0" w:type="auto"/>
          </w:tcPr>
          <w:p w14:paraId="17EE42C0" w14:textId="77777777" w:rsidR="003054B1" w:rsidRDefault="00000000">
            <w:pPr>
              <w:pStyle w:val="Compact"/>
            </w:pPr>
            <w:r>
              <w:t>−0.12</w:t>
            </w:r>
          </w:p>
        </w:tc>
        <w:tc>
          <w:tcPr>
            <w:tcW w:w="0" w:type="auto"/>
          </w:tcPr>
          <w:p w14:paraId="2A836D88" w14:textId="77777777" w:rsidR="003054B1" w:rsidRDefault="00000000">
            <w:pPr>
              <w:pStyle w:val="Compact"/>
            </w:pPr>
            <w:r>
              <w:t>+0.01</w:t>
            </w:r>
          </w:p>
        </w:tc>
      </w:tr>
    </w:tbl>
    <w:p w14:paraId="207A67BA" w14:textId="77777777" w:rsidR="003054B1" w:rsidRDefault="00000000">
      <w:pPr>
        <w:pStyle w:val="BodyText"/>
      </w:pPr>
      <w:r>
        <w:t xml:space="preserve">Direction was opposite between GE and Siemens for every harmonized variant. None reached Mann–Whitney </w:t>
      </w:r>
      <w:r>
        <w:rPr>
          <w:i/>
          <w:iCs/>
        </w:rPr>
        <w:t>p</w:t>
      </w:r>
      <w:r>
        <w:t xml:space="preserve"> &lt; 0.05 within either vendor (range 0.19–0.84).</w:t>
      </w:r>
    </w:p>
    <w:p w14:paraId="12E9FC53" w14:textId="77777777" w:rsidR="003054B1" w:rsidRDefault="00000000">
      <w:pPr>
        <w:pStyle w:val="BodyText"/>
      </w:pPr>
      <w:r>
        <w:t>By all three criteria, the residual structure did not meet biomarker thresholds in this cohort.</w:t>
      </w:r>
    </w:p>
    <w:p w14:paraId="3581C702" w14:textId="77777777" w:rsidR="003054B1" w:rsidRDefault="00000000">
      <w:pPr>
        <w:pStyle w:val="BodyText"/>
      </w:pPr>
      <w:r>
        <w:rPr>
          <w:i/>
          <w:iCs/>
        </w:rPr>
        <w:t>Section takeaway.</w:t>
      </w:r>
      <w:r>
        <w:t xml:space="preserve"> The post-harmonization structure is size-correlated, vendor-clean, and orthogonal to molecular subtype, but does not reach our prespecified biomarker criteria in this 922-patient sample.</w:t>
      </w:r>
    </w:p>
    <w:p w14:paraId="4EBC5CCF" w14:textId="77777777" w:rsidR="003054B1" w:rsidRDefault="00000000">
      <w:pPr>
        <w:pStyle w:val="Heading3"/>
      </w:pPr>
      <w:bookmarkStart w:id="21" w:name="subtype-prediction-1"/>
      <w:bookmarkEnd w:id="20"/>
      <w:r>
        <w:t>3.6 Subtype prediction</w:t>
      </w:r>
    </w:p>
    <w:p w14:paraId="2B415D2C" w14:textId="77777777" w:rsidR="003054B1" w:rsidRDefault="00000000">
      <w:pPr>
        <w:pStyle w:val="FirstParagraph"/>
      </w:pPr>
      <w:r>
        <w:t>5-fold CV balanced accuracy: majority baseline 0.250; multinomial LR 0.304; random forest 0.250 (collapses); gradient boosting 0.287; elastic net (L1 LR) 0.344. Best macro-F1: multinomial LR 0.306. Per-class recall for HER2-only and HR+/HER2+ remained near zero across models.</w:t>
      </w:r>
    </w:p>
    <w:p w14:paraId="05A03103" w14:textId="77777777" w:rsidR="003054B1" w:rsidRDefault="00000000">
      <w:pPr>
        <w:pStyle w:val="BodyText"/>
      </w:pPr>
      <w:r>
        <w:rPr>
          <w:i/>
          <w:iCs/>
        </w:rPr>
        <w:t>Section takeaway.</w:t>
      </w:r>
      <w:r>
        <w:t xml:space="preserve"> In this cohort, the radiomic feature space encodes molecular subtype only modestly above baseline.</w:t>
      </w:r>
    </w:p>
    <w:p w14:paraId="6D84F343" w14:textId="77777777" w:rsidR="003054B1" w:rsidRDefault="00000000">
      <w:r>
        <w:pict w14:anchorId="4364C22B">
          <v:rect id="_x0000_i1031" style="width:0;height:1.5pt" o:hralign="center" o:hrstd="t" o:hr="t"/>
        </w:pict>
      </w:r>
    </w:p>
    <w:p w14:paraId="207553DE" w14:textId="77777777" w:rsidR="003054B1" w:rsidRDefault="00000000">
      <w:pPr>
        <w:pStyle w:val="Heading2"/>
      </w:pPr>
      <w:bookmarkStart w:id="22" w:name="discussion"/>
      <w:bookmarkEnd w:id="15"/>
      <w:bookmarkEnd w:id="21"/>
      <w:r>
        <w:t>4. Discussion</w:t>
      </w:r>
    </w:p>
    <w:p w14:paraId="501F2F4F" w14:textId="77777777" w:rsidR="003054B1" w:rsidRDefault="00000000">
      <w:pPr>
        <w:pStyle w:val="Heading3"/>
      </w:pPr>
      <w:bookmarkStart w:id="23" w:name="what-the-data-show-and-what-they-do-not"/>
      <w:r>
        <w:t>4.1 What the data show, and what they do not</w:t>
      </w:r>
    </w:p>
    <w:p w14:paraId="5766C45D" w14:textId="77777777" w:rsidR="003054B1" w:rsidRDefault="00000000">
      <w:pPr>
        <w:pStyle w:val="FirstParagraph"/>
      </w:pPr>
      <w:r>
        <w:t xml:space="preserve">We have shown that, in this 922-patient cohort and under a standard unsupervised pipeline, an apparent latent vascularity phenotype with a candidate HR+/HER2+ prognostic refinement (i) is dominated, in the η² sense, by pulse-sequence and manufacturer variance on the leading PCs, (ii) corresponds to a partition that does not survive ComBat or linear residualization, and (iii) gives a Cox point estimate that does not </w:t>
      </w:r>
      <w:r>
        <w:lastRenderedPageBreak/>
        <w:t>retain its sign across harmonization variants at similar nominal significance. These are observational facts about this cohort and pipeline.</w:t>
      </w:r>
    </w:p>
    <w:p w14:paraId="1C87F562" w14:textId="77777777" w:rsidR="003054B1" w:rsidRDefault="00000000">
      <w:pPr>
        <w:pStyle w:val="BodyText"/>
      </w:pPr>
      <w:r>
        <w:t xml:space="preserve">We have not shown that pulse-sequence variables </w:t>
      </w:r>
      <w:r>
        <w:rPr>
          <w:i/>
          <w:iCs/>
        </w:rPr>
        <w:t>cause</w:t>
      </w:r>
      <w:r>
        <w:t xml:space="preserve"> the radiomic feature variance, because TR, TE, manufacturer, and acquisition matrix co-vary; we have shown that they are the variables most strongly associated with the leading PCs. We have not shown that the HR+/HER2+ prognostic signal is “false,” because 10 events cannot statistically distinguish a small biological effect from a small artifactual one; we have shown that the point estimate is not stable across plausible harmonization choices in this cohort. We have not shown that radiomic phenotype discovery in general is unreliable; we have shown that, in this cohort and under this pipeline, conventional stability metrics did not detect a partition change of magnitude ARI ≈ 0.06 induced by harmonization.</w:t>
      </w:r>
    </w:p>
    <w:p w14:paraId="26DD8306" w14:textId="77777777" w:rsidR="003054B1" w:rsidRDefault="00000000">
      <w:pPr>
        <w:pStyle w:val="Heading3"/>
      </w:pPr>
      <w:bookmarkStart w:id="24" w:name="Xe093d51b7ae471781ee51beaf85e8d022fd4528"/>
      <w:bookmarkEnd w:id="23"/>
      <w:r>
        <w:t>4.2 Stability, partition identity, and a four-component minimum standard</w:t>
      </w:r>
    </w:p>
    <w:p w14:paraId="1AF84F87" w14:textId="77777777" w:rsidR="003054B1" w:rsidRDefault="00000000">
      <w:pPr>
        <w:pStyle w:val="FirstParagraph"/>
      </w:pPr>
      <w:r>
        <w:t xml:space="preserve">The most exportable methodological observation is that </w:t>
      </w:r>
      <w:r>
        <w:rPr>
          <w:i/>
          <w:iCs/>
        </w:rPr>
        <w:t>k</w:t>
      </w:r>
      <w:r>
        <w:t xml:space="preserve"> = 2 bootstrap ARI was 0.88–0.96 in every condition we tried, while ARI between the raw and harmonized partitions was 0.06–0.07. Stability is preserved; partition identity is not. A pipeline reporting only stability metrics cannot, on these data, distinguish the two.</w:t>
      </w:r>
    </w:p>
    <w:p w14:paraId="430FB96C" w14:textId="77777777" w:rsidR="003054B1" w:rsidRDefault="00000000">
      <w:pPr>
        <w:pStyle w:val="BodyText"/>
      </w:pPr>
      <w:r>
        <w:t>We propose four routine checks for radiomic phenotype claims in multi-vendor cohorts:</w:t>
      </w:r>
    </w:p>
    <w:p w14:paraId="4D4933BC" w14:textId="77777777" w:rsidR="003054B1" w:rsidRDefault="00000000">
      <w:pPr>
        <w:pStyle w:val="Compact"/>
        <w:numPr>
          <w:ilvl w:val="0"/>
          <w:numId w:val="3"/>
        </w:numPr>
      </w:pPr>
      <w:r>
        <w:rPr>
          <w:b/>
          <w:bCs/>
        </w:rPr>
        <w:t>Multi-condition discovery.</w:t>
      </w:r>
      <w:r>
        <w:t xml:space="preserve"> Repeat the unsupervised pipeline under at least raw, redundancy-reduced, harmonized, and within-vendor conditions; report ARI of each partition against the raw one.</w:t>
      </w:r>
    </w:p>
    <w:p w14:paraId="0C52826D" w14:textId="77777777" w:rsidR="003054B1" w:rsidRDefault="00000000">
      <w:pPr>
        <w:pStyle w:val="Compact"/>
        <w:numPr>
          <w:ilvl w:val="0"/>
          <w:numId w:val="3"/>
        </w:numPr>
      </w:pPr>
      <w:r>
        <w:rPr>
          <w:b/>
          <w:bCs/>
        </w:rPr>
        <w:t>Harmonization sensitivity.</w:t>
      </w:r>
      <w:r>
        <w:t xml:space="preserve"> Repeat the headline statistical test (Cox HR, AUC) under at least three harmonization variants. Report direction inconsistency as a primary finding.</w:t>
      </w:r>
    </w:p>
    <w:p w14:paraId="54623BE1" w14:textId="77777777" w:rsidR="003054B1" w:rsidRDefault="00000000">
      <w:pPr>
        <w:pStyle w:val="Compact"/>
        <w:numPr>
          <w:ilvl w:val="0"/>
          <w:numId w:val="3"/>
        </w:numPr>
      </w:pPr>
      <w:r>
        <w:rPr>
          <w:b/>
          <w:bCs/>
        </w:rPr>
        <w:t>Within-vendor sanity check.</w:t>
      </w:r>
      <w:r>
        <w:t xml:space="preserve"> Verify that a known biological effect is recoverable within a single vendor at expected effect size.</w:t>
      </w:r>
    </w:p>
    <w:p w14:paraId="57A00DFD" w14:textId="77777777" w:rsidR="003054B1" w:rsidRDefault="00000000">
      <w:pPr>
        <w:pStyle w:val="Compact"/>
        <w:numPr>
          <w:ilvl w:val="0"/>
          <w:numId w:val="3"/>
        </w:numPr>
      </w:pPr>
      <w:r>
        <w:rPr>
          <w:b/>
          <w:bCs/>
        </w:rPr>
        <w:t>Continuous vendor-clean score.</w:t>
      </w:r>
      <w:r>
        <w:t xml:space="preserve"> Build a continuous PC1 score from the candidate biological feature subset under residualization or ComBat. Verify orthogonality to manufacturer and to the dominant pulse-sequence parameter.</w:t>
      </w:r>
    </w:p>
    <w:p w14:paraId="3245884A" w14:textId="77777777" w:rsidR="003054B1" w:rsidRDefault="00000000">
      <w:pPr>
        <w:pStyle w:val="FirstParagraph"/>
      </w:pPr>
      <w:r>
        <w:t>These are minimum, not sufficient. The four checks would, on the data presented here, have surfaced the harmonization-sensitivity failure of the HR+/HER2+ result before submission.</w:t>
      </w:r>
    </w:p>
    <w:p w14:paraId="308A4F82" w14:textId="77777777" w:rsidR="003054B1" w:rsidRDefault="00000000">
      <w:pPr>
        <w:pStyle w:val="Heading3"/>
      </w:pPr>
      <w:bookmarkStart w:id="25" w:name="interpretation-of-the-residual-structure"/>
      <w:bookmarkEnd w:id="24"/>
      <w:r>
        <w:t>4.3 Interpretation of the residual structure</w:t>
      </w:r>
    </w:p>
    <w:p w14:paraId="4518F2C9" w14:textId="77777777" w:rsidR="003054B1" w:rsidRDefault="00000000">
      <w:pPr>
        <w:pStyle w:val="FirstParagraph"/>
      </w:pPr>
      <w:r>
        <w:t xml:space="preserve">The residual structure that emerges under harmonization correlates with annotation-rectangle volume at </w:t>
      </w:r>
      <w:r>
        <w:rPr>
          <w:i/>
          <w:iCs/>
        </w:rPr>
        <w:t>p</w:t>
      </w:r>
      <w:r>
        <w:t xml:space="preserve"> = 10⁻²⁶, an order of magnitude more strongly than with any other variable we tested. The most parsimonious reading is that ComBat preferentially retains the variance most weakly coupled to manufacturer, which in this cohort is size-coupled because size is the dominant non-acquisition source of variation. A less parsimonious but possible reading is that the residual structure carries an enhancement signal beyond what bounding-box dimensions encode. The data presented here cannot adjudicate between the </w:t>
      </w:r>
      <w:r>
        <w:lastRenderedPageBreak/>
        <w:t>two, and the residual structure does not meet our prespecified biomarker criteria. We do not advance it as a biological claim.</w:t>
      </w:r>
    </w:p>
    <w:p w14:paraId="6926EA93" w14:textId="77777777" w:rsidR="003054B1" w:rsidRDefault="00000000">
      <w:pPr>
        <w:pStyle w:val="Heading3"/>
      </w:pPr>
      <w:bookmarkStart w:id="26" w:name="the-hrher2-result"/>
      <w:bookmarkEnd w:id="25"/>
      <w:r>
        <w:t>4.4 The HR+/HER2+ result</w:t>
      </w:r>
    </w:p>
    <w:p w14:paraId="1501F647" w14:textId="77777777" w:rsidR="003054B1" w:rsidRDefault="00000000">
      <w:pPr>
        <w:pStyle w:val="FirstParagraph"/>
      </w:pPr>
      <w:r>
        <w:t xml:space="preserve">The unadjusted HR+/HER2+ finding (HR 0.87, </w:t>
      </w:r>
      <w:r>
        <w:rPr>
          <w:i/>
          <w:iCs/>
        </w:rPr>
        <w:t>p</w:t>
      </w:r>
      <w:r>
        <w:t xml:space="preserve"> = 0.016) is the kind of result that would, under standard methodology, be reported as a subtype-specific prognostic refinement. The harmonization-sensitivity panel shows that its point estimate is not stable across plausible analytic choices. This is consistent with acquisition confounding, but the small event count means the data cannot positively rule out a small biological effect superimposed on a larger acquisition effect. The methodological lesson is that the cheapest available diagnostic — repeating the headline Cox under three harmonization variants — would, on these data, have flipped the sign and the conclusion.</w:t>
      </w:r>
    </w:p>
    <w:p w14:paraId="0751B25A" w14:textId="77777777" w:rsidR="003054B1" w:rsidRDefault="00000000">
      <w:pPr>
        <w:pStyle w:val="Heading3"/>
      </w:pPr>
      <w:bookmarkStart w:id="27" w:name="limitations"/>
      <w:bookmarkEnd w:id="26"/>
      <w:r>
        <w:t>4.5 Limitations</w:t>
      </w:r>
    </w:p>
    <w:p w14:paraId="6433CEC8" w14:textId="77777777" w:rsidR="003054B1" w:rsidRDefault="00000000">
      <w:pPr>
        <w:pStyle w:val="FirstParagraph"/>
      </w:pPr>
      <w:r>
        <w:t xml:space="preserve">The most important limitations are external. (i) </w:t>
      </w:r>
      <w:r>
        <w:rPr>
          <w:b/>
          <w:bCs/>
        </w:rPr>
        <w:t>No external validation.</w:t>
      </w:r>
      <w:r>
        <w:t xml:space="preserve"> Every conclusion here is bounded to this 922-patient cohort and to the pipeline applied; replication in I-SPY-2 or MAMA-MIA is necessary before any of these statements can be generalized. (ii) </w:t>
      </w:r>
      <w:r>
        <w:rPr>
          <w:b/>
          <w:bCs/>
        </w:rPr>
        <w:t>No image-domain harmonization.</w:t>
      </w:r>
      <w:r>
        <w:t xml:space="preserve"> Resampling to common voxel size and reconstruction normalization before feature extraction is the strongest counterfactual; it is not possible from the provided extracted features. (iii) </w:t>
      </w:r>
      <w:r>
        <w:rPr>
          <w:b/>
          <w:bCs/>
        </w:rPr>
        <w:t>ComBat-with-covariates was not tested.</w:t>
      </w:r>
      <w:r>
        <w:t xml:space="preserve"> Vanilla ComBat strips manufacturer-coupled variance without preserving size or subtype as covariates; ComBat-with-size-covariate could in principle preserve a biological signal that vanilla ComBat removes. We have not performed that analysis here.</w:t>
      </w:r>
    </w:p>
    <w:p w14:paraId="3290AF51" w14:textId="77777777" w:rsidR="003054B1" w:rsidRDefault="00000000">
      <w:pPr>
        <w:pStyle w:val="BodyText"/>
      </w:pPr>
      <w:r>
        <w:t xml:space="preserve">Additional limitations: bounding-box volume is not segmented tumor volume; sparse outcomes (87 / 920 events; 10 in HR+/HER2+; 25 in TNBC) place subgroup Cox at or beyond the model-degree-of-freedom limit; recurrence is treated as binary; treatment heterogeneity is not adjusted for; the choice of </w:t>
      </w:r>
      <w:r>
        <w:rPr>
          <w:i/>
          <w:iCs/>
        </w:rPr>
        <w:t>k</w:t>
      </w:r>
      <w:r>
        <w:t xml:space="preserve"> = 2 and the pre-specification of vasc-PC1 are not multiple-testing corrected.</w:t>
      </w:r>
    </w:p>
    <w:p w14:paraId="73A27609" w14:textId="77777777" w:rsidR="003054B1" w:rsidRDefault="00000000">
      <w:r>
        <w:pict w14:anchorId="0B79C0D1">
          <v:rect id="_x0000_i1032" style="width:0;height:1.5pt" o:hralign="center" o:hrstd="t" o:hr="t"/>
        </w:pict>
      </w:r>
    </w:p>
    <w:p w14:paraId="3A973FA4" w14:textId="77777777" w:rsidR="003054B1" w:rsidRDefault="00000000">
      <w:pPr>
        <w:pStyle w:val="Heading2"/>
      </w:pPr>
      <w:bookmarkStart w:id="28" w:name="conclusion"/>
      <w:bookmarkEnd w:id="22"/>
      <w:bookmarkEnd w:id="27"/>
      <w:r>
        <w:t>5. Conclusion</w:t>
      </w:r>
    </w:p>
    <w:p w14:paraId="57714088" w14:textId="77777777" w:rsidR="003054B1" w:rsidRDefault="00000000">
      <w:pPr>
        <w:pStyle w:val="FirstParagraph"/>
      </w:pPr>
      <w:r>
        <w:t xml:space="preserve">In this 922-patient cohort, a standard unsupervised radiomics pipeline produced a stable two-cluster phenotype with a candidate HR+/HER2+ prognostic signal at </w:t>
      </w:r>
      <w:r>
        <w:rPr>
          <w:i/>
          <w:iCs/>
        </w:rPr>
        <w:t>p</w:t>
      </w:r>
      <w:r>
        <w:t xml:space="preserve"> = 0.016. The leading variance axes of the feature space were more strongly associated with pulse-sequence and manufacturer variables than with biology, the cluster partition did not survive harmonization, and the HR+/HER2+ point estimate did not retain its sign across harmonization variants. The residual structure that remained after harmonization did not meet our prespecified biomarker criteria. We do not claim these conclusions generalize to other cohorts; we claim that, where standard pipelines are applied to multi-vendor data, the four-component minimum standard proposed here is the additional cost of distinguishing cluster stability from cluster biological identity.</w:t>
      </w:r>
    </w:p>
    <w:p w14:paraId="2EC585F6" w14:textId="77777777" w:rsidR="003054B1" w:rsidRDefault="00000000">
      <w:r>
        <w:pict w14:anchorId="58E6D98E">
          <v:rect id="_x0000_i1033" style="width:0;height:1.5pt" o:hralign="center" o:hrstd="t" o:hr="t"/>
        </w:pict>
      </w:r>
    </w:p>
    <w:p w14:paraId="6AB0FF10" w14:textId="77777777" w:rsidR="003054B1" w:rsidRDefault="00000000">
      <w:pPr>
        <w:pStyle w:val="Heading2"/>
      </w:pPr>
      <w:bookmarkStart w:id="29" w:name="figures"/>
      <w:bookmarkEnd w:id="28"/>
      <w:r>
        <w:lastRenderedPageBreak/>
        <w:t>6. Figures</w:t>
      </w:r>
    </w:p>
    <w:p w14:paraId="2335FAB5" w14:textId="77777777" w:rsidR="003054B1" w:rsidRDefault="00000000">
      <w:pPr>
        <w:pStyle w:val="FirstParagraph"/>
      </w:pPr>
      <w:r>
        <w:rPr>
          <w:b/>
          <w:bCs/>
        </w:rPr>
        <w:t>Figure 1.</w:t>
      </w:r>
      <w:r>
        <w:t xml:space="preserve"> η² of each MRI technical variable on top-10 PCs of the all-radiomic z-scored matrix (n = 922, p = 531). TR is associated with PC1 at η² = 0.76, TE 0.63, Acquisition Matrix 0.57, Manufacturer 0.49; molecular subtype is ≤ 0.04 on every top-10 PC. [</w:t>
      </w:r>
      <w:r>
        <w:rPr>
          <w:rStyle w:val="VerbatimChar"/>
        </w:rPr>
        <w:t>fig_eta_squared_technical</w:t>
      </w:r>
      <w:r>
        <w:t>]</w:t>
      </w:r>
    </w:p>
    <w:p w14:paraId="68DFA8D3" w14:textId="77777777" w:rsidR="003054B1" w:rsidRDefault="00000000">
      <w:pPr>
        <w:pStyle w:val="BodyText"/>
      </w:pPr>
      <w:r>
        <w:rPr>
          <w:b/>
          <w:bCs/>
        </w:rPr>
        <w:t>Figure 2.</w:t>
      </w:r>
      <w:r>
        <w:t xml:space="preserve"> Cox hazard ratios with 95% CIs in HR+/HER2+ (n = 101, 10 events) for four candidate vascularity scores under two adjustment specifications. Age + manufacturer-adjusted point estimates span HR 0.69 (within-vendor) to HR 1.19 (ComBat) across harmonization methods. [</w:t>
      </w:r>
      <w:r>
        <w:rPr>
          <w:rStyle w:val="VerbatimChar"/>
        </w:rPr>
        <w:t>fig_forest_hrher2_extended</w:t>
      </w:r>
      <w:r>
        <w:t>]</w:t>
      </w:r>
    </w:p>
    <w:p w14:paraId="675C93E5" w14:textId="77777777" w:rsidR="003054B1" w:rsidRDefault="00000000">
      <w:pPr>
        <w:pStyle w:val="BodyText"/>
      </w:pPr>
      <w:r>
        <w:rPr>
          <w:b/>
          <w:bCs/>
        </w:rPr>
        <w:t>Figure 3.</w:t>
      </w:r>
      <w:r>
        <w:t xml:space="preserve"> Left: ARI of each condition’s </w:t>
      </w:r>
      <w:r>
        <w:rPr>
          <w:i/>
          <w:iCs/>
        </w:rPr>
        <w:t>k</w:t>
      </w:r>
      <w:r>
        <w:t xml:space="preserve"> = 2 partition vs. the raw partition. Linear residualization (E) and ComBat (F) yield ARI 0.06–0.07. Right: bootstrap ARI for </w:t>
      </w:r>
      <w:r>
        <w:rPr>
          <w:i/>
          <w:iCs/>
        </w:rPr>
        <w:t>k</w:t>
      </w:r>
      <w:r>
        <w:t xml:space="preserve"> = 2 stability remains 0.88–0.96 in every condition. [</w:t>
      </w:r>
      <w:r>
        <w:rPr>
          <w:rStyle w:val="VerbatimChar"/>
        </w:rPr>
        <w:t>fig_ari_across_conditions</w:t>
      </w:r>
      <w:r>
        <w:t>]</w:t>
      </w:r>
    </w:p>
    <w:p w14:paraId="65A2B1F3" w14:textId="77777777" w:rsidR="003054B1" w:rsidRDefault="00000000">
      <w:pPr>
        <w:pStyle w:val="BodyText"/>
      </w:pPr>
      <w:r>
        <w:rPr>
          <w:b/>
          <w:bCs/>
        </w:rPr>
        <w:t>Figure 4.</w:t>
      </w:r>
      <w:r>
        <w:t xml:space="preserve"> −log₁₀(</w:t>
      </w:r>
      <w:r>
        <w:rPr>
          <w:i/>
          <w:iCs/>
        </w:rPr>
        <w:t>p</w:t>
      </w:r>
      <w:r>
        <w:t>) heatmap of cluster association with manufacturer, molecular subtype, tumor box-volume, and recurrence, by condition. Pre-harmonization clusters (A, B, D) are dominated by manufacturer (</w:t>
      </w:r>
      <w:r>
        <w:rPr>
          <w:i/>
          <w:iCs/>
        </w:rPr>
        <w:t>p</w:t>
      </w:r>
      <w:r>
        <w:t xml:space="preserve"> &lt; 10⁻⁶⁰); post-harmonization clusters (E, F) are dominated by tumor size (</w:t>
      </w:r>
      <w:r>
        <w:rPr>
          <w:i/>
          <w:iCs/>
        </w:rPr>
        <w:t>p</w:t>
      </w:r>
      <w:r>
        <w:t xml:space="preserve"> &lt; 10⁻²⁶) with non-significant recurrence association (</w:t>
      </w:r>
      <w:r>
        <w:rPr>
          <w:i/>
          <w:iCs/>
        </w:rPr>
        <w:t>p</w:t>
      </w:r>
      <w:r>
        <w:t xml:space="preserve"> = 0.07–0.11). [</w:t>
      </w:r>
      <w:r>
        <w:rPr>
          <w:rStyle w:val="VerbatimChar"/>
        </w:rPr>
        <w:t>fig_cluster_characterization_heatmap</w:t>
      </w:r>
      <w:r>
        <w:t>]</w:t>
      </w:r>
    </w:p>
    <w:p w14:paraId="2D91977D" w14:textId="77777777" w:rsidR="003054B1" w:rsidRDefault="00000000">
      <w:pPr>
        <w:pStyle w:val="BodyText"/>
      </w:pPr>
      <w:r>
        <w:rPr>
          <w:b/>
          <w:bCs/>
        </w:rPr>
        <w:t>Figure 5.</w:t>
      </w:r>
      <w:r>
        <w:t xml:space="preserve"> Boxplots of each candidate continuous score stratified by manufacturer (GE / Siemens). Raw PC1 differs by vendor at </w:t>
      </w:r>
      <w:r>
        <w:rPr>
          <w:i/>
          <w:iCs/>
        </w:rPr>
        <w:t>p</w:t>
      </w:r>
      <w:r>
        <w:t xml:space="preserve"> &lt; 10⁻⁷⁴; the three harmonized variants are statistically indistinguishable between vendors. [</w:t>
      </w:r>
      <w:r>
        <w:rPr>
          <w:rStyle w:val="VerbatimChar"/>
        </w:rPr>
        <w:t>fig_score_by_vendor</w:t>
      </w:r>
      <w:r>
        <w:t>]</w:t>
      </w:r>
    </w:p>
    <w:p w14:paraId="456D5294" w14:textId="77777777" w:rsidR="003054B1" w:rsidRDefault="00000000">
      <w:pPr>
        <w:pStyle w:val="BodyText"/>
      </w:pPr>
      <w:r>
        <w:rPr>
          <w:b/>
          <w:bCs/>
        </w:rPr>
        <w:t>Figure 6.</w:t>
      </w:r>
      <w:r>
        <w:t xml:space="preserve"> 5-fold nested-CV AUC ± SD for 14 feature blocks ranging from clinical alone to all-radiomic-residualized-within-fold. No radiomic representation improves on clinical features alone in this cohort. [</w:t>
      </w:r>
      <w:r>
        <w:rPr>
          <w:rStyle w:val="VerbatimChar"/>
        </w:rPr>
        <w:t>fig_nested_cv_auc</w:t>
      </w:r>
      <w:r>
        <w:t>]</w:t>
      </w:r>
    </w:p>
    <w:p w14:paraId="0E05CC23" w14:textId="77777777" w:rsidR="003054B1" w:rsidRDefault="00000000">
      <w:pPr>
        <w:pStyle w:val="BodyText"/>
      </w:pPr>
      <w:r>
        <w:rPr>
          <w:b/>
          <w:bCs/>
        </w:rPr>
        <w:t>Supplementary figures.</w:t>
      </w:r>
      <w:r>
        <w:t xml:space="preserve"> S1 cohort flow; S2 cluster validity </w:t>
      </w:r>
      <w:r>
        <w:rPr>
          <w:i/>
          <w:iCs/>
        </w:rPr>
        <w:t>k</w:t>
      </w:r>
      <w:r>
        <w:t xml:space="preserve"> = 2…6; S3 PCA / UMAP by subtype and phenotype; S4 top-30 phenotype-discriminating features heatmap; S5 alluvial subtype × phenotype; S6 Kaplan-Meier within HR+/HER2+ by phenotype; S7 sensitivity-residualized PCA.</w:t>
      </w:r>
    </w:p>
    <w:p w14:paraId="0F75226D" w14:textId="77777777" w:rsidR="003054B1" w:rsidRDefault="00000000">
      <w:r>
        <w:pict w14:anchorId="2B350F4E">
          <v:rect id="_x0000_i1034" style="width:0;height:1.5pt" o:hralign="center" o:hrstd="t" o:hr="t"/>
        </w:pict>
      </w:r>
    </w:p>
    <w:p w14:paraId="1BB65C8F" w14:textId="77777777" w:rsidR="003054B1" w:rsidRDefault="00000000">
      <w:pPr>
        <w:pStyle w:val="Heading2"/>
      </w:pPr>
      <w:bookmarkStart w:id="30" w:name="tables"/>
      <w:bookmarkEnd w:id="29"/>
      <w:r>
        <w:t>7. Tables</w:t>
      </w:r>
    </w:p>
    <w:p w14:paraId="3E098CD3" w14:textId="77777777" w:rsidR="003054B1" w:rsidRDefault="00000000">
      <w:pPr>
        <w:pStyle w:val="Compact"/>
        <w:numPr>
          <w:ilvl w:val="0"/>
          <w:numId w:val="4"/>
        </w:numPr>
      </w:pPr>
      <w:r>
        <w:rPr>
          <w:b/>
          <w:bCs/>
        </w:rPr>
        <w:t>Table 1.</w:t>
      </w:r>
      <w:r>
        <w:t xml:space="preserve"> Clinical characteristics overall and by molecular subtype.</w:t>
      </w:r>
    </w:p>
    <w:p w14:paraId="0F6C614F" w14:textId="77777777" w:rsidR="003054B1" w:rsidRDefault="00000000">
      <w:pPr>
        <w:pStyle w:val="Compact"/>
        <w:numPr>
          <w:ilvl w:val="0"/>
          <w:numId w:val="4"/>
        </w:numPr>
      </w:pPr>
      <w:r>
        <w:rPr>
          <w:b/>
          <w:bCs/>
        </w:rPr>
        <w:t>Table 2.</w:t>
      </w:r>
      <w:r>
        <w:t xml:space="preserve"> Cluster validity (silhouette, CH, DB, GMM BIC/AIC, bootstrap ARI) for </w:t>
      </w:r>
      <w:r>
        <w:rPr>
          <w:i/>
          <w:iCs/>
        </w:rPr>
        <w:t>k</w:t>
      </w:r>
      <w:r>
        <w:t xml:space="preserve"> = 2…6 across conditions A–I.</w:t>
      </w:r>
    </w:p>
    <w:p w14:paraId="4BDDC155" w14:textId="77777777" w:rsidR="003054B1" w:rsidRDefault="00000000">
      <w:pPr>
        <w:pStyle w:val="Compact"/>
        <w:numPr>
          <w:ilvl w:val="0"/>
          <w:numId w:val="4"/>
        </w:numPr>
      </w:pPr>
      <w:r>
        <w:rPr>
          <w:b/>
          <w:bCs/>
        </w:rPr>
        <w:t>Table 3.</w:t>
      </w:r>
      <w:r>
        <w:t xml:space="preserve"> ARI / NMI of each condition’s </w:t>
      </w:r>
      <w:r>
        <w:rPr>
          <w:i/>
          <w:iCs/>
        </w:rPr>
        <w:t>k</w:t>
      </w:r>
      <w:r>
        <w:t xml:space="preserve"> = 2 partition vs. Condition A.</w:t>
      </w:r>
    </w:p>
    <w:p w14:paraId="154EA51C" w14:textId="77777777" w:rsidR="003054B1" w:rsidRDefault="00000000">
      <w:pPr>
        <w:pStyle w:val="Compact"/>
        <w:numPr>
          <w:ilvl w:val="0"/>
          <w:numId w:val="4"/>
        </w:numPr>
      </w:pPr>
      <w:r>
        <w:rPr>
          <w:b/>
          <w:bCs/>
        </w:rPr>
        <w:t>Table 4.</w:t>
      </w:r>
      <w:r>
        <w:t xml:space="preserve"> Continuous score associations with each technical variable and with molecular subtype.</w:t>
      </w:r>
    </w:p>
    <w:p w14:paraId="0520E4BD" w14:textId="77777777" w:rsidR="003054B1" w:rsidRDefault="00000000">
      <w:pPr>
        <w:pStyle w:val="Compact"/>
        <w:numPr>
          <w:ilvl w:val="0"/>
          <w:numId w:val="4"/>
        </w:numPr>
      </w:pPr>
      <w:r>
        <w:rPr>
          <w:b/>
          <w:bCs/>
        </w:rPr>
        <w:t>Table 5.</w:t>
      </w:r>
      <w:r>
        <w:t xml:space="preserve"> Cox regression of each score on RFS, whole cohort and by subgroup, under three adjustment specifications.</w:t>
      </w:r>
    </w:p>
    <w:p w14:paraId="59F3D7A9" w14:textId="77777777" w:rsidR="003054B1" w:rsidRDefault="00000000">
      <w:pPr>
        <w:pStyle w:val="Compact"/>
        <w:numPr>
          <w:ilvl w:val="0"/>
          <w:numId w:val="4"/>
        </w:numPr>
      </w:pPr>
      <w:r>
        <w:rPr>
          <w:b/>
          <w:bCs/>
        </w:rPr>
        <w:lastRenderedPageBreak/>
        <w:t>Table 6.</w:t>
      </w:r>
      <w:r>
        <w:t xml:space="preserve"> Log-rank top vs. bottom-tertile by score within whole cohort and subgroups.</w:t>
      </w:r>
    </w:p>
    <w:p w14:paraId="7AA566A7" w14:textId="77777777" w:rsidR="003054B1" w:rsidRDefault="00000000">
      <w:pPr>
        <w:pStyle w:val="Compact"/>
        <w:numPr>
          <w:ilvl w:val="0"/>
          <w:numId w:val="4"/>
        </w:numPr>
      </w:pPr>
      <w:r>
        <w:rPr>
          <w:b/>
          <w:bCs/>
        </w:rPr>
        <w:t>Table 7.</w:t>
      </w:r>
      <w:r>
        <w:t xml:space="preserve"> 14-block nested-CV AUC and Brier for binary recurrence.</w:t>
      </w:r>
    </w:p>
    <w:p w14:paraId="366002F7" w14:textId="77777777" w:rsidR="003054B1" w:rsidRDefault="00000000">
      <w:pPr>
        <w:pStyle w:val="Compact"/>
        <w:numPr>
          <w:ilvl w:val="0"/>
          <w:numId w:val="4"/>
        </w:numPr>
      </w:pPr>
      <w:r>
        <w:rPr>
          <w:b/>
          <w:bCs/>
        </w:rPr>
        <w:t>Table 8.</w:t>
      </w:r>
      <w:r>
        <w:t xml:space="preserve"> η² per top-10 PC for each technical variable and for molecular subtype.</w:t>
      </w:r>
    </w:p>
    <w:p w14:paraId="1C5E7F98" w14:textId="77777777" w:rsidR="003054B1" w:rsidRDefault="00000000">
      <w:pPr>
        <w:pStyle w:val="Compact"/>
        <w:numPr>
          <w:ilvl w:val="0"/>
          <w:numId w:val="4"/>
        </w:numPr>
      </w:pPr>
      <w:r>
        <w:rPr>
          <w:b/>
          <w:bCs/>
        </w:rPr>
        <w:t>Table 9.</w:t>
      </w:r>
      <w:r>
        <w:t xml:space="preserve"> Cluster characterization across conditions.</w:t>
      </w:r>
    </w:p>
    <w:p w14:paraId="7051B718" w14:textId="77777777" w:rsidR="003054B1" w:rsidRDefault="00000000">
      <w:pPr>
        <w:pStyle w:val="Compact"/>
        <w:numPr>
          <w:ilvl w:val="0"/>
          <w:numId w:val="4"/>
        </w:numPr>
      </w:pPr>
      <w:r>
        <w:rPr>
          <w:b/>
          <w:bCs/>
        </w:rPr>
        <w:t>Table 10.</w:t>
      </w:r>
      <w:r>
        <w:t xml:space="preserve"> Subtype prediction across classifiers.</w:t>
      </w:r>
    </w:p>
    <w:p w14:paraId="09E9FB80" w14:textId="77777777" w:rsidR="003054B1" w:rsidRDefault="00000000">
      <w:r>
        <w:pict w14:anchorId="2D98DA56">
          <v:rect id="_x0000_i1035" style="width:0;height:1.5pt" o:hralign="center" o:hrstd="t" o:hr="t"/>
        </w:pict>
      </w:r>
    </w:p>
    <w:p w14:paraId="706200A4" w14:textId="77777777" w:rsidR="003054B1" w:rsidRDefault="00000000">
      <w:pPr>
        <w:pStyle w:val="Heading2"/>
      </w:pPr>
      <w:bookmarkStart w:id="31" w:name="claim-status-table"/>
      <w:bookmarkEnd w:id="30"/>
      <w:r>
        <w:t>8. Claim-status table</w:t>
      </w:r>
    </w:p>
    <w:tbl>
      <w:tblPr>
        <w:tblStyle w:val="Table"/>
        <w:tblW w:w="5000" w:type="pct"/>
        <w:tblLook w:val="0020" w:firstRow="1" w:lastRow="0" w:firstColumn="0" w:lastColumn="0" w:noHBand="0" w:noVBand="0"/>
      </w:tblPr>
      <w:tblGrid>
        <w:gridCol w:w="5642"/>
        <w:gridCol w:w="3718"/>
      </w:tblGrid>
      <w:tr w:rsidR="003054B1" w14:paraId="0C6C945C" w14:textId="77777777" w:rsidTr="003054B1">
        <w:trPr>
          <w:cnfStyle w:val="100000000000" w:firstRow="1" w:lastRow="0" w:firstColumn="0" w:lastColumn="0" w:oddVBand="0" w:evenVBand="0" w:oddHBand="0" w:evenHBand="0" w:firstRowFirstColumn="0" w:firstRowLastColumn="0" w:lastRowFirstColumn="0" w:lastRowLastColumn="0"/>
          <w:tblHeader/>
        </w:trPr>
        <w:tc>
          <w:tcPr>
            <w:tcW w:w="0" w:type="auto"/>
          </w:tcPr>
          <w:p w14:paraId="7ABF74AF" w14:textId="77777777" w:rsidR="003054B1" w:rsidRDefault="00000000">
            <w:pPr>
              <w:pStyle w:val="Compact"/>
            </w:pPr>
            <w:r>
              <w:t>Claim</w:t>
            </w:r>
          </w:p>
        </w:tc>
        <w:tc>
          <w:tcPr>
            <w:tcW w:w="0" w:type="auto"/>
          </w:tcPr>
          <w:p w14:paraId="1DEC4700" w14:textId="77777777" w:rsidR="003054B1" w:rsidRDefault="00000000">
            <w:pPr>
              <w:pStyle w:val="Compact"/>
            </w:pPr>
            <w:r>
              <w:t>Status</w:t>
            </w:r>
          </w:p>
        </w:tc>
      </w:tr>
      <w:tr w:rsidR="003054B1" w14:paraId="10B47F32" w14:textId="77777777">
        <w:tc>
          <w:tcPr>
            <w:tcW w:w="0" w:type="auto"/>
          </w:tcPr>
          <w:p w14:paraId="3C843A3B" w14:textId="77777777" w:rsidR="003054B1" w:rsidRDefault="00000000">
            <w:pPr>
              <w:pStyle w:val="Compact"/>
            </w:pPr>
            <w:r>
              <w:t>Two-cluster radiomic phenotype is bootstrap-stable in every transform tested</w:t>
            </w:r>
          </w:p>
        </w:tc>
        <w:tc>
          <w:tcPr>
            <w:tcW w:w="0" w:type="auto"/>
          </w:tcPr>
          <w:p w14:paraId="37BAB4BD" w14:textId="77777777" w:rsidR="003054B1" w:rsidRDefault="00000000">
            <w:pPr>
              <w:pStyle w:val="Compact"/>
            </w:pPr>
            <w:r>
              <w:t>Directly supported in this cohort</w:t>
            </w:r>
          </w:p>
        </w:tc>
      </w:tr>
      <w:tr w:rsidR="003054B1" w14:paraId="5A3BAF69" w14:textId="77777777">
        <w:tc>
          <w:tcPr>
            <w:tcW w:w="0" w:type="auto"/>
          </w:tcPr>
          <w:p w14:paraId="77804E0B" w14:textId="77777777" w:rsidR="003054B1" w:rsidRDefault="00000000">
            <w:pPr>
              <w:pStyle w:val="Compact"/>
            </w:pPr>
            <w:r>
              <w:t>Phase 1 cluster looks vascular and shows candidate HR+/HER2+ Cox signal under standard methodology</w:t>
            </w:r>
          </w:p>
        </w:tc>
        <w:tc>
          <w:tcPr>
            <w:tcW w:w="0" w:type="auto"/>
          </w:tcPr>
          <w:p w14:paraId="103EF4A2" w14:textId="77777777" w:rsidR="003054B1" w:rsidRDefault="00000000">
            <w:pPr>
              <w:pStyle w:val="Compact"/>
            </w:pPr>
            <w:r>
              <w:t>Directly supported in this cohort</w:t>
            </w:r>
          </w:p>
        </w:tc>
      </w:tr>
      <w:tr w:rsidR="003054B1" w14:paraId="0C3C617A" w14:textId="77777777">
        <w:tc>
          <w:tcPr>
            <w:tcW w:w="0" w:type="auto"/>
          </w:tcPr>
          <w:p w14:paraId="3EC530B4" w14:textId="77777777" w:rsidR="003054B1" w:rsidRDefault="00000000">
            <w:pPr>
              <w:pStyle w:val="Compact"/>
            </w:pPr>
            <w:r>
              <w:t>TR is the technical variable most strongly associated with PC1 (η² = 0.76)</w:t>
            </w:r>
          </w:p>
        </w:tc>
        <w:tc>
          <w:tcPr>
            <w:tcW w:w="0" w:type="auto"/>
          </w:tcPr>
          <w:p w14:paraId="2DEA2FE6" w14:textId="77777777" w:rsidR="003054B1" w:rsidRDefault="00000000">
            <w:pPr>
              <w:pStyle w:val="Compact"/>
            </w:pPr>
            <w:r>
              <w:t>Directly supported (association, not causation)</w:t>
            </w:r>
          </w:p>
        </w:tc>
      </w:tr>
      <w:tr w:rsidR="003054B1" w14:paraId="3C68E1AA" w14:textId="77777777">
        <w:tc>
          <w:tcPr>
            <w:tcW w:w="0" w:type="auto"/>
          </w:tcPr>
          <w:p w14:paraId="03742D69" w14:textId="77777777" w:rsidR="003054B1" w:rsidRDefault="00000000">
            <w:pPr>
              <w:pStyle w:val="Compact"/>
            </w:pPr>
            <w:r>
              <w:t>Phase 1 cluster is more strongly associated with manufacturer than with subtype</w:t>
            </w:r>
          </w:p>
        </w:tc>
        <w:tc>
          <w:tcPr>
            <w:tcW w:w="0" w:type="auto"/>
          </w:tcPr>
          <w:p w14:paraId="1AFECF71" w14:textId="77777777" w:rsidR="003054B1" w:rsidRDefault="00000000">
            <w:pPr>
              <w:pStyle w:val="Compact"/>
            </w:pPr>
            <w:r>
              <w:t>Directly supported</w:t>
            </w:r>
          </w:p>
        </w:tc>
      </w:tr>
      <w:tr w:rsidR="003054B1" w14:paraId="539AA016" w14:textId="77777777">
        <w:tc>
          <w:tcPr>
            <w:tcW w:w="0" w:type="auto"/>
          </w:tcPr>
          <w:p w14:paraId="1EA618C4" w14:textId="77777777" w:rsidR="003054B1" w:rsidRDefault="00000000">
            <w:pPr>
              <w:pStyle w:val="Compact"/>
            </w:pPr>
            <w:r>
              <w:t>HR+/HER2+ raw signal does not survive manufacturer adjustment in this cohort</w:t>
            </w:r>
          </w:p>
        </w:tc>
        <w:tc>
          <w:tcPr>
            <w:tcW w:w="0" w:type="auto"/>
          </w:tcPr>
          <w:p w14:paraId="6510E128" w14:textId="77777777" w:rsidR="003054B1" w:rsidRDefault="00000000">
            <w:pPr>
              <w:pStyle w:val="Compact"/>
            </w:pPr>
            <w:r>
              <w:t>Directly supported</w:t>
            </w:r>
          </w:p>
        </w:tc>
      </w:tr>
      <w:tr w:rsidR="003054B1" w14:paraId="25D22B74" w14:textId="77777777">
        <w:tc>
          <w:tcPr>
            <w:tcW w:w="0" w:type="auto"/>
          </w:tcPr>
          <w:p w14:paraId="6DFC3CB0" w14:textId="77777777" w:rsidR="003054B1" w:rsidRDefault="00000000">
            <w:pPr>
              <w:pStyle w:val="Compact"/>
            </w:pPr>
            <w:r>
              <w:t>Age + manufacturer-adjusted HR+/HER2+ point estimates span opposite signs across harmonization variants</w:t>
            </w:r>
          </w:p>
        </w:tc>
        <w:tc>
          <w:tcPr>
            <w:tcW w:w="0" w:type="auto"/>
          </w:tcPr>
          <w:p w14:paraId="00B11DD5" w14:textId="77777777" w:rsidR="003054B1" w:rsidRDefault="00000000">
            <w:pPr>
              <w:pStyle w:val="Compact"/>
            </w:pPr>
            <w:r>
              <w:t>Directly supported</w:t>
            </w:r>
          </w:p>
        </w:tc>
      </w:tr>
      <w:tr w:rsidR="003054B1" w14:paraId="7FF460C1" w14:textId="77777777">
        <w:tc>
          <w:tcPr>
            <w:tcW w:w="0" w:type="auto"/>
          </w:tcPr>
          <w:p w14:paraId="0AD9C807" w14:textId="77777777" w:rsidR="003054B1" w:rsidRDefault="00000000">
            <w:pPr>
              <w:pStyle w:val="Compact"/>
            </w:pPr>
            <w:r>
              <w:t>HR+/HER2+ vascularity score is biologically prognostic</w:t>
            </w:r>
          </w:p>
        </w:tc>
        <w:tc>
          <w:tcPr>
            <w:tcW w:w="0" w:type="auto"/>
          </w:tcPr>
          <w:p w14:paraId="5FDB6D13" w14:textId="77777777" w:rsidR="003054B1" w:rsidRDefault="00000000">
            <w:pPr>
              <w:pStyle w:val="Compact"/>
            </w:pPr>
            <w:r>
              <w:t>Not supported by these data</w:t>
            </w:r>
          </w:p>
        </w:tc>
      </w:tr>
      <w:tr w:rsidR="003054B1" w14:paraId="2CB3D23E" w14:textId="77777777">
        <w:tc>
          <w:tcPr>
            <w:tcW w:w="0" w:type="auto"/>
          </w:tcPr>
          <w:p w14:paraId="5D30D561" w14:textId="77777777" w:rsidR="003054B1" w:rsidRDefault="00000000">
            <w:pPr>
              <w:pStyle w:val="Compact"/>
            </w:pPr>
            <w:r>
              <w:rPr>
                <w:i/>
                <w:iCs/>
              </w:rPr>
              <w:t>k</w:t>
            </w:r>
            <w:r>
              <w:t xml:space="preserve"> = 2 partition is not preserved across harmonization (ARI 0.06–0.07)</w:t>
            </w:r>
          </w:p>
        </w:tc>
        <w:tc>
          <w:tcPr>
            <w:tcW w:w="0" w:type="auto"/>
          </w:tcPr>
          <w:p w14:paraId="3576E173" w14:textId="77777777" w:rsidR="003054B1" w:rsidRDefault="00000000">
            <w:pPr>
              <w:pStyle w:val="Compact"/>
            </w:pPr>
            <w:r>
              <w:t>Directly supported</w:t>
            </w:r>
          </w:p>
        </w:tc>
      </w:tr>
      <w:tr w:rsidR="003054B1" w14:paraId="21F837AD" w14:textId="77777777">
        <w:tc>
          <w:tcPr>
            <w:tcW w:w="0" w:type="auto"/>
          </w:tcPr>
          <w:p w14:paraId="099569B8" w14:textId="77777777" w:rsidR="003054B1" w:rsidRDefault="00000000">
            <w:pPr>
              <w:pStyle w:val="Compact"/>
            </w:pPr>
            <w:r>
              <w:t>Cluster stability and cluster partition identity are independent properties</w:t>
            </w:r>
          </w:p>
        </w:tc>
        <w:tc>
          <w:tcPr>
            <w:tcW w:w="0" w:type="auto"/>
          </w:tcPr>
          <w:p w14:paraId="44057F7A" w14:textId="77777777" w:rsidR="003054B1" w:rsidRDefault="00000000">
            <w:pPr>
              <w:pStyle w:val="Compact"/>
            </w:pPr>
            <w:r>
              <w:t>Directly supported (operationalized)</w:t>
            </w:r>
          </w:p>
        </w:tc>
      </w:tr>
      <w:tr w:rsidR="003054B1" w14:paraId="113138E8" w14:textId="77777777">
        <w:tc>
          <w:tcPr>
            <w:tcW w:w="0" w:type="auto"/>
          </w:tcPr>
          <w:p w14:paraId="4A7C9ED8" w14:textId="77777777" w:rsidR="003054B1" w:rsidRDefault="00000000">
            <w:pPr>
              <w:pStyle w:val="Compact"/>
            </w:pPr>
            <w:r>
              <w:t>Post-harmonization residual structure is most strongly associated with tumor box-volume</w:t>
            </w:r>
          </w:p>
        </w:tc>
        <w:tc>
          <w:tcPr>
            <w:tcW w:w="0" w:type="auto"/>
          </w:tcPr>
          <w:p w14:paraId="29E6AABF" w14:textId="77777777" w:rsidR="003054B1" w:rsidRDefault="00000000">
            <w:pPr>
              <w:pStyle w:val="Compact"/>
            </w:pPr>
            <w:r>
              <w:t>Directly supported</w:t>
            </w:r>
          </w:p>
        </w:tc>
      </w:tr>
      <w:tr w:rsidR="003054B1" w14:paraId="44F8FD72" w14:textId="77777777">
        <w:tc>
          <w:tcPr>
            <w:tcW w:w="0" w:type="auto"/>
          </w:tcPr>
          <w:p w14:paraId="2860D5C1" w14:textId="77777777" w:rsidR="003054B1" w:rsidRDefault="00000000">
            <w:pPr>
              <w:pStyle w:val="Compact"/>
            </w:pPr>
            <w:r>
              <w:t>Post-harmonization residual structure is uncoupled from manufacturer</w:t>
            </w:r>
          </w:p>
        </w:tc>
        <w:tc>
          <w:tcPr>
            <w:tcW w:w="0" w:type="auto"/>
          </w:tcPr>
          <w:p w14:paraId="25F50CCE" w14:textId="77777777" w:rsidR="003054B1" w:rsidRDefault="00000000">
            <w:pPr>
              <w:pStyle w:val="Compact"/>
            </w:pPr>
            <w:r>
              <w:t>Directly supported</w:t>
            </w:r>
          </w:p>
        </w:tc>
      </w:tr>
      <w:tr w:rsidR="003054B1" w14:paraId="6F5FAC1E" w14:textId="77777777">
        <w:tc>
          <w:tcPr>
            <w:tcW w:w="0" w:type="auto"/>
          </w:tcPr>
          <w:p w14:paraId="1F1FEA9D" w14:textId="77777777" w:rsidR="003054B1" w:rsidRDefault="00000000">
            <w:pPr>
              <w:pStyle w:val="Compact"/>
            </w:pPr>
            <w:r>
              <w:t>Post-harmonization residual structure is significantly associated with recurrence</w:t>
            </w:r>
          </w:p>
        </w:tc>
        <w:tc>
          <w:tcPr>
            <w:tcW w:w="0" w:type="auto"/>
          </w:tcPr>
          <w:p w14:paraId="2678479A" w14:textId="77777777" w:rsidR="003054B1" w:rsidRDefault="00000000">
            <w:pPr>
              <w:pStyle w:val="Compact"/>
            </w:pPr>
            <w:r>
              <w:t>Not supported (</w:t>
            </w:r>
            <w:r>
              <w:rPr>
                <w:i/>
                <w:iCs/>
              </w:rPr>
              <w:t>p</w:t>
            </w:r>
            <w:r>
              <w:t xml:space="preserve"> = 0.07–0.11)</w:t>
            </w:r>
          </w:p>
        </w:tc>
      </w:tr>
      <w:tr w:rsidR="003054B1" w14:paraId="57B5CD21" w14:textId="77777777">
        <w:tc>
          <w:tcPr>
            <w:tcW w:w="0" w:type="auto"/>
          </w:tcPr>
          <w:p w14:paraId="445AFE8C" w14:textId="77777777" w:rsidR="003054B1" w:rsidRDefault="00000000">
            <w:pPr>
              <w:pStyle w:val="Compact"/>
            </w:pPr>
            <w:r>
              <w:t>Post-harmonization residual structure improves recurrence prediction over clinical features</w:t>
            </w:r>
          </w:p>
        </w:tc>
        <w:tc>
          <w:tcPr>
            <w:tcW w:w="0" w:type="auto"/>
          </w:tcPr>
          <w:p w14:paraId="71E4203E" w14:textId="77777777" w:rsidR="003054B1" w:rsidRDefault="00000000">
            <w:pPr>
              <w:pStyle w:val="Compact"/>
            </w:pPr>
            <w:r>
              <w:t>Not supported (Δ AUC ≈ 0)</w:t>
            </w:r>
          </w:p>
        </w:tc>
      </w:tr>
      <w:tr w:rsidR="003054B1" w14:paraId="44AA614A" w14:textId="77777777">
        <w:tc>
          <w:tcPr>
            <w:tcW w:w="0" w:type="auto"/>
          </w:tcPr>
          <w:p w14:paraId="748B4653" w14:textId="77777777" w:rsidR="003054B1" w:rsidRDefault="00000000">
            <w:pPr>
              <w:pStyle w:val="Compact"/>
            </w:pPr>
            <w:r>
              <w:t>Post-harmonization residual structure shows consistent within-vendor direction</w:t>
            </w:r>
          </w:p>
        </w:tc>
        <w:tc>
          <w:tcPr>
            <w:tcW w:w="0" w:type="auto"/>
          </w:tcPr>
          <w:p w14:paraId="1E15C81A" w14:textId="77777777" w:rsidR="003054B1" w:rsidRDefault="00000000">
            <w:pPr>
              <w:pStyle w:val="Compact"/>
            </w:pPr>
            <w:r>
              <w:t>Not supported (direction flips)</w:t>
            </w:r>
          </w:p>
        </w:tc>
      </w:tr>
      <w:tr w:rsidR="003054B1" w14:paraId="538437CE" w14:textId="77777777">
        <w:tc>
          <w:tcPr>
            <w:tcW w:w="0" w:type="auto"/>
          </w:tcPr>
          <w:p w14:paraId="57633789" w14:textId="77777777" w:rsidR="003054B1" w:rsidRDefault="00000000">
            <w:pPr>
              <w:pStyle w:val="Compact"/>
            </w:pPr>
            <w:r>
              <w:t>Residual structure meets prespecified biomarker criteria</w:t>
            </w:r>
          </w:p>
        </w:tc>
        <w:tc>
          <w:tcPr>
            <w:tcW w:w="0" w:type="auto"/>
          </w:tcPr>
          <w:p w14:paraId="145672F1" w14:textId="77777777" w:rsidR="003054B1" w:rsidRDefault="00000000">
            <w:pPr>
              <w:pStyle w:val="Compact"/>
            </w:pPr>
            <w:r>
              <w:t>Not supported</w:t>
            </w:r>
          </w:p>
        </w:tc>
      </w:tr>
      <w:tr w:rsidR="003054B1" w14:paraId="32D36205" w14:textId="77777777">
        <w:tc>
          <w:tcPr>
            <w:tcW w:w="0" w:type="auto"/>
          </w:tcPr>
          <w:p w14:paraId="125DB2C7" w14:textId="77777777" w:rsidR="003054B1" w:rsidRDefault="00000000">
            <w:pPr>
              <w:pStyle w:val="Compact"/>
            </w:pPr>
            <w:r>
              <w:lastRenderedPageBreak/>
              <w:t>Vendor-clean continuous score is uncoupled from manufacturer</w:t>
            </w:r>
          </w:p>
        </w:tc>
        <w:tc>
          <w:tcPr>
            <w:tcW w:w="0" w:type="auto"/>
          </w:tcPr>
          <w:p w14:paraId="2FA04713" w14:textId="77777777" w:rsidR="003054B1" w:rsidRDefault="00000000">
            <w:pPr>
              <w:pStyle w:val="Compact"/>
            </w:pPr>
            <w:r>
              <w:t>Directly supported</w:t>
            </w:r>
          </w:p>
        </w:tc>
      </w:tr>
      <w:tr w:rsidR="003054B1" w14:paraId="55D9355D" w14:textId="77777777">
        <w:tc>
          <w:tcPr>
            <w:tcW w:w="0" w:type="auto"/>
          </w:tcPr>
          <w:p w14:paraId="7264238B" w14:textId="77777777" w:rsidR="003054B1" w:rsidRDefault="00000000">
            <w:pPr>
              <w:pStyle w:val="Compact"/>
            </w:pPr>
            <w:r>
              <w:t>Vendor-clean continuous score is fully orthogonal to molecular subtype (</w:t>
            </w:r>
            <w:r>
              <w:rPr>
                <w:i/>
                <w:iCs/>
              </w:rPr>
              <w:t>p</w:t>
            </w:r>
            <w:r>
              <w:t xml:space="preserve"> &gt; 0.92)</w:t>
            </w:r>
          </w:p>
        </w:tc>
        <w:tc>
          <w:tcPr>
            <w:tcW w:w="0" w:type="auto"/>
          </w:tcPr>
          <w:p w14:paraId="06B48183" w14:textId="77777777" w:rsidR="003054B1" w:rsidRDefault="00000000">
            <w:pPr>
              <w:pStyle w:val="Compact"/>
            </w:pPr>
            <w:r>
              <w:t>Directly supported</w:t>
            </w:r>
          </w:p>
        </w:tc>
      </w:tr>
      <w:tr w:rsidR="003054B1" w14:paraId="53A946DA" w14:textId="77777777">
        <w:tc>
          <w:tcPr>
            <w:tcW w:w="0" w:type="auto"/>
          </w:tcPr>
          <w:p w14:paraId="08E10229" w14:textId="77777777" w:rsidR="003054B1" w:rsidRDefault="00000000">
            <w:pPr>
              <w:pStyle w:val="Compact"/>
            </w:pPr>
            <w:r>
              <w:t xml:space="preserve">TNBC tertile log-rank (raw) reaches </w:t>
            </w:r>
            <w:r>
              <w:rPr>
                <w:i/>
                <w:iCs/>
              </w:rPr>
              <w:t>p</w:t>
            </w:r>
            <w:r>
              <w:t xml:space="preserve"> = 0.047</w:t>
            </w:r>
          </w:p>
        </w:tc>
        <w:tc>
          <w:tcPr>
            <w:tcW w:w="0" w:type="auto"/>
          </w:tcPr>
          <w:p w14:paraId="3B1C9C69" w14:textId="77777777" w:rsidR="003054B1" w:rsidRDefault="00000000">
            <w:pPr>
              <w:pStyle w:val="Compact"/>
            </w:pPr>
            <w:r>
              <w:t>Directly supported, consistent with acquisition mechanism</w:t>
            </w:r>
          </w:p>
        </w:tc>
      </w:tr>
      <w:tr w:rsidR="003054B1" w14:paraId="3D1CC2B4" w14:textId="77777777">
        <w:tc>
          <w:tcPr>
            <w:tcW w:w="0" w:type="auto"/>
          </w:tcPr>
          <w:p w14:paraId="201009D1" w14:textId="77777777" w:rsidR="003054B1" w:rsidRDefault="00000000">
            <w:pPr>
              <w:pStyle w:val="Compact"/>
            </w:pPr>
            <w:r>
              <w:t xml:space="preserve">GE-only TripleNeg HR confirms biology recoverable (HR 2.30, </w:t>
            </w:r>
            <w:r>
              <w:rPr>
                <w:i/>
                <w:iCs/>
              </w:rPr>
              <w:t>p</w:t>
            </w:r>
            <w:r>
              <w:t xml:space="preserve"> = 0.003)</w:t>
            </w:r>
          </w:p>
        </w:tc>
        <w:tc>
          <w:tcPr>
            <w:tcW w:w="0" w:type="auto"/>
          </w:tcPr>
          <w:p w14:paraId="22554AA1" w14:textId="77777777" w:rsidR="003054B1" w:rsidRDefault="00000000">
            <w:pPr>
              <w:pStyle w:val="Compact"/>
            </w:pPr>
            <w:r>
              <w:t>Directly supported</w:t>
            </w:r>
          </w:p>
        </w:tc>
      </w:tr>
      <w:tr w:rsidR="003054B1" w14:paraId="352803E5" w14:textId="77777777">
        <w:tc>
          <w:tcPr>
            <w:tcW w:w="0" w:type="auto"/>
          </w:tcPr>
          <w:p w14:paraId="1366406C" w14:textId="77777777" w:rsidR="003054B1" w:rsidRDefault="00000000">
            <w:pPr>
              <w:pStyle w:val="Compact"/>
            </w:pPr>
            <w:r>
              <w:t>Clinical features alone match best combined model for recurrence (AUC 0.61)</w:t>
            </w:r>
          </w:p>
        </w:tc>
        <w:tc>
          <w:tcPr>
            <w:tcW w:w="0" w:type="auto"/>
          </w:tcPr>
          <w:p w14:paraId="54C21838" w14:textId="77777777" w:rsidR="003054B1" w:rsidRDefault="00000000">
            <w:pPr>
              <w:pStyle w:val="Compact"/>
            </w:pPr>
            <w:r>
              <w:t>Directly supported in this cohort</w:t>
            </w:r>
          </w:p>
        </w:tc>
      </w:tr>
      <w:tr w:rsidR="003054B1" w14:paraId="109417A1" w14:textId="77777777">
        <w:tc>
          <w:tcPr>
            <w:tcW w:w="0" w:type="auto"/>
          </w:tcPr>
          <w:p w14:paraId="5B2A4314" w14:textId="77777777" w:rsidR="003054B1" w:rsidRDefault="00000000">
            <w:pPr>
              <w:pStyle w:val="Compact"/>
            </w:pPr>
            <w:r>
              <w:t>Conclusions generalize beyond this cohort</w:t>
            </w:r>
          </w:p>
        </w:tc>
        <w:tc>
          <w:tcPr>
            <w:tcW w:w="0" w:type="auto"/>
          </w:tcPr>
          <w:p w14:paraId="7F5C3CC4" w14:textId="77777777" w:rsidR="003054B1" w:rsidRDefault="00000000">
            <w:pPr>
              <w:pStyle w:val="Compact"/>
            </w:pPr>
            <w:r>
              <w:t>Untestable here</w:t>
            </w:r>
          </w:p>
        </w:tc>
      </w:tr>
      <w:tr w:rsidR="003054B1" w14:paraId="194708FF" w14:textId="77777777">
        <w:tc>
          <w:tcPr>
            <w:tcW w:w="0" w:type="auto"/>
          </w:tcPr>
          <w:p w14:paraId="1C5B28AC" w14:textId="77777777" w:rsidR="003054B1" w:rsidRDefault="00000000">
            <w:pPr>
              <w:pStyle w:val="Compact"/>
            </w:pPr>
            <w:r>
              <w:t>ComBat-with-covariates would change the HR+/HER2+ conclusion</w:t>
            </w:r>
          </w:p>
        </w:tc>
        <w:tc>
          <w:tcPr>
            <w:tcW w:w="0" w:type="auto"/>
          </w:tcPr>
          <w:p w14:paraId="70341643" w14:textId="77777777" w:rsidR="003054B1" w:rsidRDefault="00000000">
            <w:pPr>
              <w:pStyle w:val="Compact"/>
            </w:pPr>
            <w:r>
              <w:t>Untestable here</w:t>
            </w:r>
          </w:p>
        </w:tc>
      </w:tr>
    </w:tbl>
    <w:p w14:paraId="5530CD77" w14:textId="77777777" w:rsidR="003054B1" w:rsidRDefault="00000000">
      <w:r>
        <w:pict w14:anchorId="5BFCD528">
          <v:rect id="_x0000_i1036" style="width:0;height:1.5pt" o:hralign="center" o:hrstd="t" o:hr="t"/>
        </w:pict>
      </w:r>
    </w:p>
    <w:p w14:paraId="4C473C3A" w14:textId="77777777" w:rsidR="003054B1" w:rsidRDefault="00000000">
      <w:pPr>
        <w:pStyle w:val="Heading2"/>
      </w:pPr>
      <w:bookmarkStart w:id="32" w:name="pre-submission-checklist"/>
      <w:bookmarkEnd w:id="31"/>
      <w:r>
        <w:t>9. Pre-submission checklist</w:t>
      </w:r>
    </w:p>
    <w:p w14:paraId="63DE496C" w14:textId="77777777" w:rsidR="003054B1" w:rsidRDefault="00000000">
      <w:pPr>
        <w:pStyle w:val="Compact"/>
        <w:numPr>
          <w:ilvl w:val="0"/>
          <w:numId w:val="5"/>
        </w:numPr>
      </w:pPr>
      <w:r>
        <w:t>Pre-registration before any external-cohort work.</w:t>
      </w:r>
    </w:p>
    <w:p w14:paraId="61B39198" w14:textId="77777777" w:rsidR="003054B1" w:rsidRDefault="00000000">
      <w:pPr>
        <w:pStyle w:val="Compact"/>
        <w:numPr>
          <w:ilvl w:val="0"/>
          <w:numId w:val="5"/>
        </w:numPr>
      </w:pPr>
      <w:r>
        <w:t>ComBat with size as a preserved covariate; rerun whole-cohort and HR+/HER2+ Cox.</w:t>
      </w:r>
    </w:p>
    <w:p w14:paraId="40E55A7F" w14:textId="77777777" w:rsidR="003054B1" w:rsidRDefault="00000000">
      <w:pPr>
        <w:pStyle w:val="Compact"/>
        <w:numPr>
          <w:ilvl w:val="0"/>
          <w:numId w:val="5"/>
        </w:numPr>
      </w:pPr>
      <w:r>
        <w:t>External validation on I-SPY-2 / MAMA-MIA using pre-registered phenotype-assignment rules.</w:t>
      </w:r>
    </w:p>
    <w:p w14:paraId="39CD91A7" w14:textId="77777777" w:rsidR="003054B1" w:rsidRDefault="00000000">
      <w:pPr>
        <w:pStyle w:val="Compact"/>
        <w:numPr>
          <w:ilvl w:val="0"/>
          <w:numId w:val="5"/>
        </w:numPr>
      </w:pPr>
      <w:r>
        <w:t>Image-domain harmonization (resampling, reconstruction normalization) before feature extraction.</w:t>
      </w:r>
    </w:p>
    <w:p w14:paraId="1E599381" w14:textId="77777777" w:rsidR="003054B1" w:rsidRDefault="00000000">
      <w:pPr>
        <w:pStyle w:val="Compact"/>
        <w:numPr>
          <w:ilvl w:val="0"/>
          <w:numId w:val="5"/>
        </w:numPr>
      </w:pPr>
      <w:r>
        <w:t>Peritumoral feature engineering (5-mm and 10-mm rim sampling).</w:t>
      </w:r>
    </w:p>
    <w:p w14:paraId="6D7C7B8D" w14:textId="77777777" w:rsidR="003054B1" w:rsidRDefault="00000000">
      <w:pPr>
        <w:pStyle w:val="Compact"/>
        <w:numPr>
          <w:ilvl w:val="0"/>
          <w:numId w:val="5"/>
        </w:numPr>
      </w:pPr>
      <w:r>
        <w:t>Manufacturer-balanced HR+/HER2+ analysis.</w:t>
      </w:r>
    </w:p>
    <w:p w14:paraId="5B9CB932" w14:textId="77777777" w:rsidR="003054B1" w:rsidRDefault="00000000">
      <w:pPr>
        <w:pStyle w:val="Compact"/>
        <w:numPr>
          <w:ilvl w:val="0"/>
          <w:numId w:val="5"/>
        </w:numPr>
      </w:pPr>
      <w:r>
        <w:t>Calibration analysis for the best combined Cox model.</w:t>
      </w:r>
    </w:p>
    <w:p w14:paraId="26799F70" w14:textId="77777777" w:rsidR="003054B1" w:rsidRDefault="00000000">
      <w:pPr>
        <w:pStyle w:val="Compact"/>
        <w:numPr>
          <w:ilvl w:val="0"/>
          <w:numId w:val="5"/>
        </w:numPr>
      </w:pPr>
      <w:r>
        <w:t>Vendor-invariant deep-learning embedding (self-supervised + adversarial vendor head).</w:t>
      </w:r>
    </w:p>
    <w:p w14:paraId="22E65139" w14:textId="77777777" w:rsidR="003054B1" w:rsidRDefault="00000000">
      <w:pPr>
        <w:pStyle w:val="Compact"/>
        <w:numPr>
          <w:ilvl w:val="0"/>
          <w:numId w:val="5"/>
        </w:numPr>
      </w:pPr>
      <w:r>
        <w:t>ICC reproducibility data on the 120 enhancement features if any phantom or test–retest scans exist.</w:t>
      </w:r>
    </w:p>
    <w:p w14:paraId="78C6C0C2" w14:textId="77777777" w:rsidR="003054B1" w:rsidRDefault="00000000">
      <w:pPr>
        <w:pStyle w:val="Compact"/>
        <w:numPr>
          <w:ilvl w:val="0"/>
          <w:numId w:val="5"/>
        </w:numPr>
      </w:pPr>
      <w:r>
        <w:t>Decision-curve analysis for any model proposed for clinical utility.</w:t>
      </w:r>
    </w:p>
    <w:p w14:paraId="7BDDD67F" w14:textId="77777777" w:rsidR="003054B1" w:rsidRDefault="00000000">
      <w:r>
        <w:pict w14:anchorId="0D8A370D">
          <v:rect id="_x0000_i1037" style="width:0;height:1.5pt" o:hralign="center" o:hrstd="t" o:hr="t"/>
        </w:pict>
      </w:r>
    </w:p>
    <w:p w14:paraId="087AC871" w14:textId="77777777" w:rsidR="003054B1" w:rsidRDefault="00000000">
      <w:pPr>
        <w:pStyle w:val="Heading2"/>
      </w:pPr>
      <w:bookmarkStart w:id="33" w:name="statistical-methods-supplement"/>
      <w:bookmarkEnd w:id="32"/>
      <w:r>
        <w:t>10. Statistical methods supplement</w:t>
      </w:r>
    </w:p>
    <w:p w14:paraId="696845BB" w14:textId="77777777" w:rsidR="003054B1" w:rsidRDefault="00000000">
      <w:pPr>
        <w:pStyle w:val="FirstParagraph"/>
      </w:pPr>
      <w:r>
        <w:t xml:space="preserve">Standardization was applied feature-wise (mean = 0, sd = 1) within each fold or condition. Median imputation was performed inside each training fold for predictive analyses. Linear residualization used dummy-coded categorical batch variables fit by OLS; residuals retained. ComBat used pyComBat parametric empirical-Bayes with manufacturer as batch and no covariates of interest preserved. PCA used randomized SVD. KMeans used 20 random initializations; GMM used diagonal covariance with 3 random initializations. Silhouette was computed on a 2,000-sample subsample. Cox used </w:t>
      </w:r>
      <w:r>
        <w:rPr>
          <w:rStyle w:val="VerbatimChar"/>
        </w:rPr>
        <w:t>CoxPHFitter</w:t>
      </w:r>
      <w:r>
        <w:t xml:space="preserve"> with </w:t>
      </w:r>
      <w:r>
        <w:lastRenderedPageBreak/>
        <w:t xml:space="preserve">penalizer 0.01; C-index is Harrell’s. Tertile splits used 1/3 and 2/3 quantiles. Nested-CV AUC used a single outer 5-fold loop; within each outer fold, all preprocessing was learned on training data only. η² per PC = SS_between / SS_total. Multiple-testing correction: BH FDR at 5% for the per-feature cluster characterization (n = 531 tests); the choice of </w:t>
      </w:r>
      <w:r>
        <w:rPr>
          <w:i/>
          <w:iCs/>
        </w:rPr>
        <w:t>k</w:t>
      </w:r>
      <w:r>
        <w:t xml:space="preserve"> = 2 and pre-specification of vasc-PC1 are not corrected. Random seed 42. Software: Python 3.12, scikit-learn 1.4, statsmodels, lifelines 0.27, pycombat 0.3.</w:t>
      </w:r>
    </w:p>
    <w:p w14:paraId="6047F6FD" w14:textId="77777777" w:rsidR="003054B1" w:rsidRDefault="00000000">
      <w:r>
        <w:pict w14:anchorId="0A6EA732">
          <v:rect id="_x0000_i1038" style="width:0;height:1.5pt" o:hralign="center" o:hrstd="t" o:hr="t"/>
        </w:pict>
      </w:r>
    </w:p>
    <w:p w14:paraId="43DB42DE" w14:textId="77777777" w:rsidR="003054B1" w:rsidRDefault="00000000">
      <w:pPr>
        <w:pStyle w:val="FirstParagraph"/>
      </w:pPr>
      <w:r>
        <w:rPr>
          <w:i/>
          <w:iCs/>
        </w:rPr>
        <w:t>Manuscript revision v5. Conclusions are bounded to this 922-patient cohort and to the pipeline applied. All numerical results are computed from the data; none are synthesized.</w:t>
      </w:r>
      <w:bookmarkEnd w:id="0"/>
      <w:bookmarkEnd w:id="33"/>
    </w:p>
    <w:sectPr w:rsidR="003054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500E" w14:textId="77777777" w:rsidR="00153F6B" w:rsidRDefault="00153F6B">
      <w:pPr>
        <w:spacing w:after="0"/>
      </w:pPr>
      <w:r>
        <w:separator/>
      </w:r>
    </w:p>
  </w:endnote>
  <w:endnote w:type="continuationSeparator" w:id="0">
    <w:p w14:paraId="14881D39" w14:textId="77777777" w:rsidR="00153F6B" w:rsidRDefault="00153F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13C4" w14:textId="77777777" w:rsidR="00153F6B" w:rsidRDefault="00153F6B">
      <w:r>
        <w:separator/>
      </w:r>
    </w:p>
  </w:footnote>
  <w:footnote w:type="continuationSeparator" w:id="0">
    <w:p w14:paraId="3CD8D74C" w14:textId="77777777" w:rsidR="00153F6B" w:rsidRDefault="00153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6EBE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965C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D4CBF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31"/>
    <w:multiLevelType w:val="multilevel"/>
    <w:tmpl w:val="6D90C50C"/>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2099251594">
    <w:abstractNumId w:val="0"/>
  </w:num>
  <w:num w:numId="2" w16cid:durableId="19410615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521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9918700">
    <w:abstractNumId w:val="1"/>
  </w:num>
  <w:num w:numId="5" w16cid:durableId="1963726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B1"/>
    <w:rsid w:val="00153F6B"/>
    <w:rsid w:val="003054B1"/>
    <w:rsid w:val="005560FC"/>
    <w:rsid w:val="00987BE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29C4"/>
  <w15:docId w15:val="{D769CC07-A8E0-451A-9C0A-D058A6E7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4781</Words>
  <Characters>27253</Characters>
  <Application>Microsoft Office Word</Application>
  <DocSecurity>0</DocSecurity>
  <Lines>227</Lines>
  <Paragraphs>63</Paragraphs>
  <ScaleCrop>false</ScaleCrop>
  <Company/>
  <LinksUpToDate>false</LinksUpToDate>
  <CharactersWithSpaces>31971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malek itani</dc:creator>
  <cp:keywords/>
  <cp:lastModifiedBy>malek itani</cp:lastModifiedBy>
  <cp:revision>2</cp:revision>
  <dcterms:created xsi:type="dcterms:W3CDTF">2026-05-14T06:28:00Z</dcterms:created>
  <dcterms:modified xsi:type="dcterms:W3CDTF">2026-05-14T06:28:00Z</dcterms:modified>
</cp:coreProperties>
</file>