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0A37" w14:textId="77777777" w:rsidR="005251B6" w:rsidRDefault="005251B6" w:rsidP="005251B6"/>
    <w:p w14:paraId="42066863" w14:textId="77777777" w:rsidR="005251B6" w:rsidRDefault="005251B6" w:rsidP="005251B6"/>
    <w:p w14:paraId="636B6E4A" w14:textId="4257EC06" w:rsidR="00D73508" w:rsidRPr="005251B6" w:rsidRDefault="005251B6" w:rsidP="005251B6">
      <w:pPr>
        <w:pStyle w:val="Heading1"/>
      </w:pPr>
      <w:r w:rsidRPr="005251B6">
        <w:t>Introduction: 25% to 14%</w:t>
      </w:r>
    </w:p>
    <w:p w14:paraId="1904CFD4" w14:textId="35F7A0DC" w:rsidR="005251B6" w:rsidRPr="005251B6" w:rsidRDefault="005251B6" w:rsidP="005251B6">
      <w:pPr>
        <w:spacing w:line="360" w:lineRule="auto"/>
        <w:jc w:val="both"/>
        <w:rPr>
          <w:rFonts w:ascii="Times New Roman" w:hAnsi="Times New Roman" w:cs="Times New Roman"/>
        </w:rPr>
      </w:pPr>
      <w:r w:rsidRPr="005251B6">
        <w:rPr>
          <w:rFonts w:ascii="Times New Roman" w:hAnsi="Times New Roman" w:cs="Times New Roman"/>
        </w:rPr>
        <w:t xml:space="preserve">Radiomic phenotype discovery aims to delineate underlying imaging subgroups that might refine or supersede clinical or molecular taxonomy in cancer. Quantitative descriptors of </w:t>
      </w:r>
      <w:r w:rsidRPr="005251B6">
        <w:rPr>
          <w:rFonts w:ascii="Times New Roman" w:hAnsi="Times New Roman" w:cs="Times New Roman"/>
        </w:rPr>
        <w:t>tumour</w:t>
      </w:r>
      <w:r w:rsidRPr="005251B6">
        <w:rPr>
          <w:rFonts w:ascii="Times New Roman" w:hAnsi="Times New Roman" w:cs="Times New Roman"/>
        </w:rPr>
        <w:t xml:space="preserve"> morphology, vascularity, cellularity, and heterogeneity interrogated from dynamic contrast-enhanced breast MRI and related sequences lend themselves to unsupervised learning. If stable cluster structure emerges, it may suggest that imaging adequately captures biologically interpretable variation beyond typical receptor-based subtype labels (Lambin et al., 2012).</w:t>
      </w:r>
    </w:p>
    <w:p w14:paraId="68A5BD9F" w14:textId="188FAFB3" w:rsidR="005251B6" w:rsidRPr="005251B6" w:rsidRDefault="005251B6" w:rsidP="005251B6">
      <w:pPr>
        <w:spacing w:line="360" w:lineRule="auto"/>
        <w:jc w:val="both"/>
        <w:rPr>
          <w:rFonts w:ascii="Times New Roman" w:hAnsi="Times New Roman" w:cs="Times New Roman"/>
        </w:rPr>
      </w:pPr>
      <w:r w:rsidRPr="005251B6">
        <w:rPr>
          <w:rFonts w:ascii="Times New Roman" w:hAnsi="Times New Roman" w:cs="Times New Roman"/>
        </w:rPr>
        <w:t>It is difficult to draw that conclusion with confidence from multi-vendor cohorts</w:t>
      </w:r>
      <w:r w:rsidRPr="005251B6">
        <w:rPr>
          <w:rFonts w:ascii="Times New Roman" w:hAnsi="Times New Roman" w:cs="Times New Roman"/>
        </w:rPr>
        <w:t xml:space="preserve"> where r</w:t>
      </w:r>
      <w:r w:rsidRPr="005251B6">
        <w:rPr>
          <w:rFonts w:ascii="Times New Roman" w:hAnsi="Times New Roman" w:cs="Times New Roman"/>
        </w:rPr>
        <w:t xml:space="preserve">adiomic features are influenced not just by </w:t>
      </w:r>
      <w:r w:rsidRPr="005251B6">
        <w:rPr>
          <w:rFonts w:ascii="Times New Roman" w:hAnsi="Times New Roman" w:cs="Times New Roman"/>
        </w:rPr>
        <w:t>tumour</w:t>
      </w:r>
      <w:r w:rsidRPr="005251B6">
        <w:rPr>
          <w:rFonts w:ascii="Times New Roman" w:hAnsi="Times New Roman" w:cs="Times New Roman"/>
        </w:rPr>
        <w:t xml:space="preserve"> biology but by manufacturer, pulse-sequence parameters, field strength, voxel geometry, reconstruction settings, and acquisition timing (Zwanenburg et al., 2020). Minor acquisition effects can coalesce into major axes of latent variation after dimensionality reduction in high-dimensional data. Clustering algorithms can then reliably recover partitions that recapitulate scanner-domain structure rather than biology. While internal validation metrics like silhouette score and bootstrap stability help establish reproducibility, they say nothing about whether the partition represents biological or technical variation (Handl et al., 2005). Blind application of these metrics can lead us into the “stability trap”: the seductive mathematical mirage that a data partition is biologically meaningful just because its underlying technical artifact is stable and reproducible.</w:t>
      </w:r>
    </w:p>
    <w:p w14:paraId="39687326" w14:textId="77777777" w:rsidR="005251B6" w:rsidRPr="005251B6" w:rsidRDefault="005251B6" w:rsidP="005251B6">
      <w:pPr>
        <w:spacing w:line="360" w:lineRule="auto"/>
        <w:jc w:val="both"/>
        <w:rPr>
          <w:rFonts w:ascii="Times New Roman" w:hAnsi="Times New Roman" w:cs="Times New Roman"/>
        </w:rPr>
      </w:pPr>
      <w:r w:rsidRPr="005251B6">
        <w:rPr>
          <w:rFonts w:ascii="Times New Roman" w:hAnsi="Times New Roman" w:cs="Times New Roman"/>
        </w:rPr>
        <w:t xml:space="preserve">We propose to break that illusion with a structured alternative. Rather than taking unsupervised cluster discovery as a potential endpoint in phenotype identification, we treat it as the null hypothesis of a falsification chain. </w:t>
      </w:r>
      <w:proofErr w:type="gramStart"/>
      <w:r w:rsidRPr="005251B6">
        <w:rPr>
          <w:rFonts w:ascii="Times New Roman" w:hAnsi="Times New Roman" w:cs="Times New Roman"/>
        </w:rPr>
        <w:t>First</w:t>
      </w:r>
      <w:proofErr w:type="gramEnd"/>
      <w:r w:rsidRPr="005251B6">
        <w:rPr>
          <w:rFonts w:ascii="Times New Roman" w:hAnsi="Times New Roman" w:cs="Times New Roman"/>
        </w:rPr>
        <w:t xml:space="preserve"> we must establish that conventional radiomics identifies a stable phenotype whose feature expression is interpretable and whose association with outcome appears stronger than expected by chance. Only then can we proceed to test the robustness of that phenotype signal against a series of acquisition-aware null hypotheses.</w:t>
      </w:r>
    </w:p>
    <w:p w14:paraId="77165257" w14:textId="77777777" w:rsidR="005251B6" w:rsidRPr="005251B6" w:rsidRDefault="005251B6" w:rsidP="005251B6">
      <w:pPr>
        <w:spacing w:line="360" w:lineRule="auto"/>
        <w:jc w:val="both"/>
        <w:rPr>
          <w:rFonts w:ascii="Times New Roman" w:hAnsi="Times New Roman" w:cs="Times New Roman"/>
        </w:rPr>
      </w:pPr>
      <w:r w:rsidRPr="005251B6">
        <w:rPr>
          <w:rFonts w:ascii="Times New Roman" w:hAnsi="Times New Roman" w:cs="Times New Roman"/>
        </w:rPr>
        <w:t xml:space="preserve">The first falsification test evaluates the radiomic feature space itself. We project all available variables onto principal components and ask whether biological or technical variables load more highly on the components driving phenotypic separation. The second evaluates cluster identity directly. If the raw phenotype partitions are biologically informed, technical correction should degrade or refine the partition without overtaking it. Manufacturer residualization and ComBat harmonization represent two orthogonal strategies for technical correction, each of </w:t>
      </w:r>
      <w:r w:rsidRPr="005251B6">
        <w:rPr>
          <w:rFonts w:ascii="Times New Roman" w:hAnsi="Times New Roman" w:cs="Times New Roman"/>
        </w:rPr>
        <w:lastRenderedPageBreak/>
        <w:t>which can be followed by another round of unsupervised clustering. The output labels from each can then be tested against the original partition for residual association. The third falsification step evaluates clinical interpretability. An interpretable prognostic phenotype should maintain its association with recurrence-free survival risk across manufacturer strata and harmonization strategies.</w:t>
      </w:r>
    </w:p>
    <w:p w14:paraId="0A127CAD" w14:textId="760A6BF4" w:rsidR="005251B6" w:rsidRPr="005251B6" w:rsidRDefault="005251B6" w:rsidP="005251B6">
      <w:pPr>
        <w:spacing w:line="360" w:lineRule="auto"/>
        <w:jc w:val="both"/>
        <w:rPr>
          <w:rFonts w:ascii="Times New Roman" w:hAnsi="Times New Roman" w:cs="Times New Roman"/>
        </w:rPr>
      </w:pPr>
      <w:r w:rsidRPr="005251B6">
        <w:rPr>
          <w:rFonts w:ascii="Times New Roman" w:hAnsi="Times New Roman" w:cs="Times New Roman"/>
        </w:rPr>
        <w:t xml:space="preserve">We apply this framework to the same cohort of 922 breast MRI patients. Though our falsification tests reject the hypothesis that this cohort </w:t>
      </w:r>
      <w:r w:rsidRPr="005251B6">
        <w:rPr>
          <w:rFonts w:ascii="Times New Roman" w:hAnsi="Times New Roman" w:cs="Times New Roman"/>
        </w:rPr>
        <w:t>harbours</w:t>
      </w:r>
      <w:r w:rsidRPr="005251B6">
        <w:rPr>
          <w:rFonts w:ascii="Times New Roman" w:hAnsi="Times New Roman" w:cs="Times New Roman"/>
        </w:rPr>
        <w:t xml:space="preserve"> a true radiomic phenotype, the results serve as a proof of concept for the proposed methodology. An otherwise-standard unsupervised pipeline uncovers a reproducible two-cluster phenotype with enhancement dominant, vascularity-like imaging features and what appears to be a distinct HR+/HER2+ recurrence-free survival signature. Additional analyses will suggest that phenotype signature originates from technical variables rather than biology: leading axes of variance are dominated by acquisition parameters, raw cluster labels strongly associate with scanner manufacturer, and the observed survival association does not hold up to technical adjustment. The contribution of this study is therefore methodological rather than biomarker-driven: it shows that a phenotype can be internally stable, visually interpretable, and apparently prognostic while still failing tests of biological identity.</w:t>
      </w:r>
    </w:p>
    <w:p w14:paraId="0AFBF416" w14:textId="77777777" w:rsidR="005251B6" w:rsidRDefault="005251B6" w:rsidP="005251B6"/>
    <w:p w14:paraId="00BEAD40" w14:textId="69314314" w:rsidR="005251B6" w:rsidRDefault="005251B6" w:rsidP="005251B6">
      <w:pPr>
        <w:pStyle w:val="Heading1"/>
      </w:pPr>
      <w:r w:rsidRPr="005251B6">
        <w:t>Background and Rationale</w:t>
      </w:r>
      <w:r>
        <w:t xml:space="preserve"> 21%</w:t>
      </w:r>
    </w:p>
    <w:p w14:paraId="521A00F8" w14:textId="77777777" w:rsidR="005251B6" w:rsidRDefault="005251B6" w:rsidP="005251B6"/>
    <w:p w14:paraId="12F82553" w14:textId="6D2604CE" w:rsidR="005251B6" w:rsidRDefault="005251B6" w:rsidP="00AC728A">
      <w:pPr>
        <w:pStyle w:val="Heading2"/>
      </w:pPr>
      <w:r w:rsidRPr="005251B6">
        <w:t xml:space="preserve">Radiomic phenotype discovery </w:t>
      </w:r>
    </w:p>
    <w:p w14:paraId="54BC9D78" w14:textId="6E53E35D" w:rsidR="005251B6" w:rsidRPr="00AC728A" w:rsidRDefault="005251B6" w:rsidP="00AC728A">
      <w:pPr>
        <w:spacing w:line="360" w:lineRule="auto"/>
        <w:jc w:val="both"/>
        <w:rPr>
          <w:rFonts w:ascii="Times New Roman" w:hAnsi="Times New Roman" w:cs="Times New Roman"/>
        </w:rPr>
      </w:pPr>
      <w:r w:rsidRPr="00AC728A">
        <w:rPr>
          <w:rFonts w:ascii="Times New Roman" w:hAnsi="Times New Roman" w:cs="Times New Roman"/>
        </w:rPr>
        <w:t xml:space="preserve">Radiomics builds upon the hypothesis that routinely collected medical images encode quantitative information about tumour phenotype beyond what can be assessed by visual interpretation. Initial papers framed image-derived features as a link between medical imaging, tumour heterogeneity, and personalized medicine, proposing that high-throughput image descriptors could be combined with histology, genomics, and clinical covariates to aid risk-stratification and treatment selection (Lambin et al., 2012). Breast MRI exemplifies this rationale because </w:t>
      </w:r>
      <w:r w:rsidR="00AC728A" w:rsidRPr="00AC728A">
        <w:rPr>
          <w:rFonts w:ascii="Times New Roman" w:hAnsi="Times New Roman" w:cs="Times New Roman"/>
        </w:rPr>
        <w:t xml:space="preserve">dynamic contrast-enhanced MRI, diffusion-weighted imaging, T2-weighted imaging, and enhancement kinetics </w:t>
      </w:r>
      <w:r w:rsidRPr="00AC728A">
        <w:rPr>
          <w:rFonts w:ascii="Times New Roman" w:hAnsi="Times New Roman" w:cs="Times New Roman"/>
        </w:rPr>
        <w:t xml:space="preserve">each quantify complementary aspects of tumour biology including vascularity, cellularity, morphology, and </w:t>
      </w:r>
      <w:r w:rsidR="00AC728A" w:rsidRPr="00AC728A">
        <w:rPr>
          <w:rFonts w:ascii="Times New Roman" w:hAnsi="Times New Roman" w:cs="Times New Roman"/>
        </w:rPr>
        <w:t>intratumor</w:t>
      </w:r>
      <w:r w:rsidRPr="00AC728A">
        <w:rPr>
          <w:rFonts w:ascii="Times New Roman" w:hAnsi="Times New Roman" w:cs="Times New Roman"/>
        </w:rPr>
        <w:t xml:space="preserve"> heterogeneity (Pinker et al., 2018).</w:t>
      </w:r>
    </w:p>
    <w:p w14:paraId="62F1E6E6" w14:textId="77777777" w:rsidR="005251B6" w:rsidRPr="00AC728A" w:rsidRDefault="005251B6" w:rsidP="00AC728A">
      <w:pPr>
        <w:spacing w:line="360" w:lineRule="auto"/>
        <w:jc w:val="both"/>
        <w:rPr>
          <w:rFonts w:ascii="Times New Roman" w:hAnsi="Times New Roman" w:cs="Times New Roman"/>
        </w:rPr>
      </w:pPr>
    </w:p>
    <w:p w14:paraId="7533EB61" w14:textId="1E5D455F" w:rsidR="005251B6" w:rsidRPr="00AC728A" w:rsidRDefault="005251B6" w:rsidP="00AC728A">
      <w:pPr>
        <w:spacing w:line="360" w:lineRule="auto"/>
        <w:jc w:val="both"/>
        <w:rPr>
          <w:rFonts w:ascii="Times New Roman" w:hAnsi="Times New Roman" w:cs="Times New Roman"/>
        </w:rPr>
      </w:pPr>
      <w:r w:rsidRPr="00AC728A">
        <w:rPr>
          <w:rFonts w:ascii="Times New Roman" w:hAnsi="Times New Roman" w:cs="Times New Roman"/>
        </w:rPr>
        <w:lastRenderedPageBreak/>
        <w:t>Beyond such supervised prediction, radiomics has also been used for unsupervised phenotype discovery. In this setting, patients are clustered directly in the imaging feature space, and cluster memberships are interrogated for clinical associations with prognosis, molecular subtype, immune phenotype, stromal content, or pathway activity [Li et al 2018]. This approach has been used to propose imaging-defined subtypes in breast cancer and other cancers, with studies linking unsupervised clusters to survival</w:t>
      </w:r>
      <w:r w:rsidR="00AC728A" w:rsidRPr="00AC728A">
        <w:rPr>
          <w:rFonts w:ascii="Times New Roman" w:hAnsi="Times New Roman" w:cs="Times New Roman"/>
        </w:rPr>
        <w:t xml:space="preserve">, </w:t>
      </w:r>
      <w:r w:rsidRPr="00AC728A">
        <w:rPr>
          <w:rFonts w:ascii="Times New Roman" w:hAnsi="Times New Roman" w:cs="Times New Roman"/>
        </w:rPr>
        <w:t>underlying molecular pathways</w:t>
      </w:r>
      <w:r w:rsidR="00AC728A" w:rsidRPr="00AC728A">
        <w:rPr>
          <w:rFonts w:ascii="Times New Roman" w:hAnsi="Times New Roman" w:cs="Times New Roman"/>
        </w:rPr>
        <w:t xml:space="preserve"> </w:t>
      </w:r>
      <w:r w:rsidR="00AC728A" w:rsidRPr="00AC728A">
        <w:rPr>
          <w:rFonts w:ascii="Times New Roman" w:hAnsi="Times New Roman" w:cs="Times New Roman"/>
        </w:rPr>
        <w:t xml:space="preserve">and treatment response </w:t>
      </w:r>
      <w:r w:rsidRPr="00AC728A">
        <w:rPr>
          <w:rFonts w:ascii="Times New Roman" w:hAnsi="Times New Roman" w:cs="Times New Roman"/>
        </w:rPr>
        <w:t>(</w:t>
      </w:r>
      <w:r w:rsidR="00AC728A" w:rsidRPr="00AC728A">
        <w:rPr>
          <w:rFonts w:ascii="Times New Roman" w:hAnsi="Times New Roman" w:cs="Times New Roman"/>
        </w:rPr>
        <w:t>Yamamoto et al., 2012</w:t>
      </w:r>
      <w:r w:rsidR="00AC728A" w:rsidRPr="00AC728A">
        <w:rPr>
          <w:rFonts w:ascii="Times New Roman" w:hAnsi="Times New Roman" w:cs="Times New Roman"/>
        </w:rPr>
        <w:t>;</w:t>
      </w:r>
      <w:r w:rsidR="00AC728A" w:rsidRPr="00AC728A">
        <w:rPr>
          <w:rFonts w:ascii="Times New Roman" w:hAnsi="Times New Roman" w:cs="Times New Roman"/>
        </w:rPr>
        <w:t xml:space="preserve"> </w:t>
      </w:r>
      <w:r w:rsidRPr="00AC728A">
        <w:rPr>
          <w:rFonts w:ascii="Times New Roman" w:hAnsi="Times New Roman" w:cs="Times New Roman"/>
        </w:rPr>
        <w:t>Aerts et al., 2014</w:t>
      </w:r>
      <w:r w:rsidR="00AC728A" w:rsidRPr="00AC728A">
        <w:rPr>
          <w:rFonts w:ascii="Times New Roman" w:hAnsi="Times New Roman" w:cs="Times New Roman"/>
        </w:rPr>
        <w:t xml:space="preserve">). </w:t>
      </w:r>
      <w:r w:rsidRPr="00AC728A">
        <w:rPr>
          <w:rFonts w:ascii="Times New Roman" w:hAnsi="Times New Roman" w:cs="Times New Roman"/>
        </w:rPr>
        <w:t xml:space="preserve">Collectively, these studies support the premise that radiomic clusters have the potential to capture biologically meaningful variation within </w:t>
      </w:r>
      <w:r w:rsidR="00AC728A" w:rsidRPr="00AC728A">
        <w:rPr>
          <w:rFonts w:ascii="Times New Roman" w:hAnsi="Times New Roman" w:cs="Times New Roman"/>
        </w:rPr>
        <w:t>tumours</w:t>
      </w:r>
      <w:r w:rsidRPr="00AC728A">
        <w:rPr>
          <w:rFonts w:ascii="Times New Roman" w:hAnsi="Times New Roman" w:cs="Times New Roman"/>
        </w:rPr>
        <w:t xml:space="preserve"> (Gillies et al., 2016).</w:t>
      </w:r>
    </w:p>
    <w:p w14:paraId="63D9E2AB" w14:textId="77777777" w:rsidR="005251B6" w:rsidRDefault="005251B6" w:rsidP="005251B6"/>
    <w:p w14:paraId="38D9B2D5" w14:textId="77777777" w:rsidR="005251B6" w:rsidRDefault="005251B6" w:rsidP="00AC728A">
      <w:pPr>
        <w:pStyle w:val="Heading2"/>
      </w:pPr>
      <w:r>
        <w:t xml:space="preserve">Supervised vs. unsupervised settings </w:t>
      </w:r>
    </w:p>
    <w:p w14:paraId="12AE60C3" w14:textId="77777777" w:rsidR="005251B6" w:rsidRDefault="005251B6" w:rsidP="005251B6"/>
    <w:p w14:paraId="46C2C1FA" w14:textId="77777777" w:rsidR="005251B6" w:rsidRDefault="005251B6" w:rsidP="005251B6">
      <w:r>
        <w:t>Here we highlight the vulnerability of unsupervised clustering to a failure mode that supervised prediction avoids at least partially. In supervised radiomics, the label of interest exists outside the imaging feature space, so apparent performance can be compared against an external target like molecular subtype or recurrence. Classifier coefficients may still be technical confounds in disguise, but the learning problem itself is anchored to an endpoint and assessed by generalizability metrics like AUC, calibration, or survival predictions (Parmar et al., 2015). Supervised radiomics has pursued this logic toward clinical validation, while unsupervised phenotype discovery remains much more susceptible to overinterpretation (Park et al., 2020).</w:t>
      </w:r>
    </w:p>
    <w:p w14:paraId="389862F2" w14:textId="77777777" w:rsidR="005251B6" w:rsidRDefault="005251B6" w:rsidP="005251B6"/>
    <w:p w14:paraId="4918B08F" w14:textId="1FC03F5C" w:rsidR="005251B6" w:rsidRDefault="005251B6" w:rsidP="005251B6">
      <w:r>
        <w:t>By contrast, unsupervised phenotype discovery lacks an external target. Cluster labels are derived from the same space that scanner, protocol, or reconstruction effects also reside. To the clustering algorithm, those technical effects form structure just as much as do any tumour-derived changes</w:t>
      </w:r>
      <w:r w:rsidR="00AC728A">
        <w:t xml:space="preserve">. </w:t>
      </w:r>
      <w:r>
        <w:t>Internal validation metrics can then assess whether this partition can be consistently recovered (silhouette score, bootstrap stability), but they cannot differentiate between technical reproducibility and biological validity</w:t>
      </w:r>
      <w:r w:rsidR="00AC728A">
        <w:t xml:space="preserve"> </w:t>
      </w:r>
      <w:r w:rsidR="00AC728A" w:rsidRPr="00AC728A">
        <w:t>(Handl et al., 2005)</w:t>
      </w:r>
      <w:r>
        <w:t>.</w:t>
      </w:r>
      <w:r w:rsidR="00AC728A">
        <w:t xml:space="preserve"> </w:t>
      </w:r>
      <w:r w:rsidR="00AC728A" w:rsidRPr="00AC728A">
        <w:t>This creates what we term the stability trap: mathematical reproducibility can be mistaken for biological validity.</w:t>
      </w:r>
    </w:p>
    <w:p w14:paraId="533A4533" w14:textId="77777777" w:rsidR="005251B6" w:rsidRDefault="005251B6" w:rsidP="005251B6"/>
    <w:p w14:paraId="403D65A2" w14:textId="77777777" w:rsidR="00AC728A" w:rsidRDefault="00AC728A" w:rsidP="005251B6"/>
    <w:p w14:paraId="1657C570" w14:textId="77777777" w:rsidR="00AC728A" w:rsidRDefault="00AC728A" w:rsidP="005251B6"/>
    <w:p w14:paraId="2743F92A" w14:textId="77777777" w:rsidR="00AC728A" w:rsidRDefault="00AC728A" w:rsidP="005251B6"/>
    <w:p w14:paraId="7D7D9AE7" w14:textId="77777777" w:rsidR="005251B6" w:rsidRDefault="005251B6" w:rsidP="00AC728A">
      <w:pPr>
        <w:pStyle w:val="Heading2"/>
      </w:pPr>
      <w:r>
        <w:lastRenderedPageBreak/>
        <w:t xml:space="preserve">Technical variance in radiomics </w:t>
      </w:r>
    </w:p>
    <w:p w14:paraId="56AC86E7" w14:textId="77777777" w:rsidR="005251B6" w:rsidRDefault="005251B6" w:rsidP="005251B6"/>
    <w:p w14:paraId="33C036D7" w14:textId="520B56A1" w:rsidR="005251B6" w:rsidRPr="00404907" w:rsidRDefault="005251B6" w:rsidP="00404907">
      <w:pPr>
        <w:spacing w:line="360" w:lineRule="auto"/>
        <w:jc w:val="both"/>
        <w:rPr>
          <w:rFonts w:ascii="Times New Roman" w:hAnsi="Times New Roman" w:cs="Times New Roman"/>
        </w:rPr>
      </w:pPr>
      <w:r w:rsidRPr="00404907">
        <w:rPr>
          <w:rFonts w:ascii="Times New Roman" w:hAnsi="Times New Roman" w:cs="Times New Roman"/>
        </w:rPr>
        <w:t>Radiomic features are known to be sensitive to acquisition parameters, image reconstruction, discretization parameters, resampling, segmentation strategy, and scanner variability. For example, prior work has demonstrated that inter-scanner variability can materially impact radiomic features that standard voxel size and gray-level discretization are important, and that many features are nonreproducible under variations in data acquisition</w:t>
      </w:r>
      <w:r w:rsidR="00404907" w:rsidRPr="00404907">
        <w:rPr>
          <w:rFonts w:ascii="Times New Roman" w:hAnsi="Times New Roman" w:cs="Times New Roman"/>
        </w:rPr>
        <w:t xml:space="preserve"> </w:t>
      </w:r>
      <w:r w:rsidR="00404907" w:rsidRPr="00404907">
        <w:rPr>
          <w:rFonts w:ascii="Times New Roman" w:hAnsi="Times New Roman" w:cs="Times New Roman"/>
        </w:rPr>
        <w:t xml:space="preserve">and recalibration (Dur). </w:t>
      </w:r>
      <w:r w:rsidRPr="00404907">
        <w:rPr>
          <w:rFonts w:ascii="Times New Roman" w:hAnsi="Times New Roman" w:cs="Times New Roman"/>
        </w:rPr>
        <w:t xml:space="preserve"> </w:t>
      </w:r>
      <w:r w:rsidR="00404907" w:rsidRPr="00404907">
        <w:rPr>
          <w:rFonts w:ascii="Times New Roman" w:hAnsi="Times New Roman" w:cs="Times New Roman"/>
        </w:rPr>
        <w:t xml:space="preserve">(Berenguer et al., 2018) (Mackin et al., 2015) [(Duron et al., 2019) (Leijenaar et al., 2015). </w:t>
      </w:r>
      <w:r w:rsidR="00404907" w:rsidRPr="00404907">
        <w:rPr>
          <w:rFonts w:ascii="Times New Roman" w:hAnsi="Times New Roman" w:cs="Times New Roman"/>
        </w:rPr>
        <w:t xml:space="preserve"> </w:t>
      </w:r>
      <w:r w:rsidRPr="00404907">
        <w:rPr>
          <w:rFonts w:ascii="Times New Roman" w:hAnsi="Times New Roman" w:cs="Times New Roman"/>
        </w:rPr>
        <w:t>Broader reviews have similarly concluded that lack of reproducibility is a major challenge to generalizable radiomics and motivated image biomarker standardization initiatives like IBSI (Zwanenburg et al., 2020) (Traverso et al., 2018).</w:t>
      </w:r>
    </w:p>
    <w:p w14:paraId="7004B7A9" w14:textId="77777777" w:rsidR="005251B6" w:rsidRPr="00404907" w:rsidRDefault="005251B6" w:rsidP="00404907">
      <w:pPr>
        <w:spacing w:line="360" w:lineRule="auto"/>
        <w:jc w:val="both"/>
        <w:rPr>
          <w:rFonts w:ascii="Times New Roman" w:hAnsi="Times New Roman" w:cs="Times New Roman"/>
        </w:rPr>
      </w:pPr>
    </w:p>
    <w:p w14:paraId="0006BB45" w14:textId="77777777" w:rsidR="005251B6" w:rsidRPr="00404907" w:rsidRDefault="005251B6" w:rsidP="00404907">
      <w:pPr>
        <w:spacing w:line="360" w:lineRule="auto"/>
        <w:jc w:val="both"/>
        <w:rPr>
          <w:rFonts w:ascii="Times New Roman" w:hAnsi="Times New Roman" w:cs="Times New Roman"/>
        </w:rPr>
      </w:pPr>
      <w:r w:rsidRPr="00404907">
        <w:rPr>
          <w:rFonts w:ascii="Times New Roman" w:hAnsi="Times New Roman" w:cs="Times New Roman"/>
        </w:rPr>
        <w:t xml:space="preserve">MRI introduces further complexities because the image intensity itself is not standardized across vendors, coils, pulse sequences, or image acquisition protocols (Nyúl &amp; Udupa, 1999). In breast DCE-MRI, enhancement kinetics are influenced by vascular biology as well as scanner-specific </w:t>
      </w:r>
      <w:proofErr w:type="spellStart"/>
      <w:r w:rsidRPr="00404907">
        <w:rPr>
          <w:rFonts w:ascii="Times New Roman" w:hAnsi="Times New Roman" w:cs="Times New Roman"/>
        </w:rPr>
        <w:t>behavior</w:t>
      </w:r>
      <w:proofErr w:type="spellEnd"/>
      <w:r w:rsidRPr="00404907">
        <w:rPr>
          <w:rFonts w:ascii="Times New Roman" w:hAnsi="Times New Roman" w:cs="Times New Roman"/>
        </w:rPr>
        <w:t xml:space="preserve"> (Bhooshan et al., 2010). Perhaps the most direct proof-of-concept comes from multi-vendor breast MRI radiomics studies, which have shown that non-biological features derived from math can accurately predict the scanner platform and field strength with area-under-the-curve values ranging from 0.91 to 1.00 (Doran et al., 2021). That same study found the pipeline’s ability to predict </w:t>
      </w:r>
      <w:proofErr w:type="spellStart"/>
      <w:r w:rsidRPr="00404907">
        <w:rPr>
          <w:rFonts w:ascii="Times New Roman" w:hAnsi="Times New Roman" w:cs="Times New Roman"/>
        </w:rPr>
        <w:t>tumor</w:t>
      </w:r>
      <w:proofErr w:type="spellEnd"/>
      <w:r w:rsidRPr="00404907">
        <w:rPr>
          <w:rFonts w:ascii="Times New Roman" w:hAnsi="Times New Roman" w:cs="Times New Roman"/>
        </w:rPr>
        <w:t xml:space="preserve"> biology was only modest (AUC = 0.673 for pathological nodal status) when using radiomic features without any clinical variables. That key result illustrates that radiomic features can encode strong technical signals, and that technical structure can directly compete with tumour biology in the same feature space.</w:t>
      </w:r>
    </w:p>
    <w:p w14:paraId="1D4AF6B3" w14:textId="77777777" w:rsidR="005251B6" w:rsidRDefault="005251B6" w:rsidP="005251B6"/>
    <w:p w14:paraId="5FE6E015" w14:textId="77777777" w:rsidR="005251B6" w:rsidRDefault="005251B6" w:rsidP="00404907">
      <w:pPr>
        <w:pStyle w:val="Heading2"/>
      </w:pPr>
      <w:r>
        <w:t xml:space="preserve">Harmonization and its limits </w:t>
      </w:r>
    </w:p>
    <w:p w14:paraId="372F6FCE" w14:textId="77777777" w:rsidR="005251B6" w:rsidRDefault="005251B6" w:rsidP="005251B6"/>
    <w:p w14:paraId="31E0F413" w14:textId="4D3DC7BD" w:rsidR="005251B6" w:rsidRDefault="005251B6" w:rsidP="005251B6">
      <w:r>
        <w:t xml:space="preserve">Feature-level harmonization is the current solution to unwanted scanner or site effects. Developed initially for batch-effects in gene-expression data, ComBat was later extended to neuroimaging and radiomics with the goal of removing scanner, site, and protocol effects while retaining biological information when constrained (Johnson et al., 2007) (Fortin et al 2018). In radiomics, ComBat and variants have been used almost exclusively to improve cross-site comparability of radiomic features or the </w:t>
      </w:r>
      <w:r>
        <w:lastRenderedPageBreak/>
        <w:t>transportability of supervised models built on those features [Leithner et al 2022). Harmonization has been shown to reduce batch effects and improve performance in PET radiomics studies, MRI radiomics studies, and multi-</w:t>
      </w:r>
      <w:proofErr w:type="spellStart"/>
      <w:r>
        <w:t>center</w:t>
      </w:r>
      <w:proofErr w:type="spellEnd"/>
      <w:r>
        <w:t xml:space="preserve"> datasets</w:t>
      </w:r>
      <w:r w:rsidR="00404907">
        <w:t xml:space="preserve"> </w:t>
      </w:r>
      <w:r w:rsidR="00404907" w:rsidRPr="00404907">
        <w:t>(Da-Ano et al., 2020)</w:t>
      </w:r>
      <w:r>
        <w:t>.</w:t>
      </w:r>
    </w:p>
    <w:p w14:paraId="1E004642" w14:textId="77777777" w:rsidR="005251B6" w:rsidRDefault="005251B6" w:rsidP="005251B6"/>
    <w:p w14:paraId="0B942527" w14:textId="56247FD1" w:rsidR="005251B6" w:rsidRDefault="005251B6" w:rsidP="005251B6">
      <w:r>
        <w:t xml:space="preserve">However, existing evaluations of ComBat harmonization assume that the biomedical endpoint matters. That is fine for supervised prediction, but it does not match the logic of unsupervised phenotypes. For phenotype discovery, the key question is what happens to the patient partition after harmonization. If the cluster reflects manufacturer-related variance more than </w:t>
      </w:r>
      <w:proofErr w:type="spellStart"/>
      <w:r>
        <w:t>tumor</w:t>
      </w:r>
      <w:proofErr w:type="spellEnd"/>
      <w:r>
        <w:t xml:space="preserve"> biology, then ComBat may leave the mathematical stability intact while substituting a different partition that also passes validation checks. Standard validation metrics would not alert the investigator because the mathematical properties of the cluster haven’t changed, even though the biological meaning of the phenotype might have. [Lozano et al. 2024].</w:t>
      </w:r>
    </w:p>
    <w:p w14:paraId="4D61EE1B" w14:textId="77777777" w:rsidR="005251B6" w:rsidRDefault="005251B6" w:rsidP="005251B6"/>
    <w:p w14:paraId="40F870B4" w14:textId="77777777" w:rsidR="005251B6" w:rsidRDefault="005251B6" w:rsidP="00404907">
      <w:pPr>
        <w:pStyle w:val="Heading2"/>
      </w:pPr>
      <w:r>
        <w:t xml:space="preserve">The validation gap </w:t>
      </w:r>
    </w:p>
    <w:p w14:paraId="16087CA4" w14:textId="77777777" w:rsidR="005251B6" w:rsidRDefault="005251B6" w:rsidP="005251B6"/>
    <w:p w14:paraId="5EA24B7C" w14:textId="77777777" w:rsidR="005251B6" w:rsidRPr="00404907" w:rsidRDefault="005251B6" w:rsidP="00404907">
      <w:pPr>
        <w:spacing w:line="360" w:lineRule="auto"/>
        <w:jc w:val="both"/>
        <w:rPr>
          <w:rFonts w:ascii="Times New Roman" w:hAnsi="Times New Roman" w:cs="Times New Roman"/>
        </w:rPr>
      </w:pPr>
      <w:r w:rsidRPr="00404907">
        <w:rPr>
          <w:rFonts w:ascii="Times New Roman" w:hAnsi="Times New Roman" w:cs="Times New Roman"/>
        </w:rPr>
        <w:t>Radiomic phenotype claims should be falsifiable. As a concrete hypothesis, a proposed biological phenotype should be subject to testing that could conceivably refute its biological nature. Similar language is used in general prediction modelling guidelines, which point out that internal validity is insufficient for a claim and that transparent testing, robustness checks, and external validation are required for generalizable predictions (Collins et al., 2015).</w:t>
      </w:r>
    </w:p>
    <w:p w14:paraId="1336BED3" w14:textId="77777777" w:rsidR="005251B6" w:rsidRPr="00404907" w:rsidRDefault="005251B6" w:rsidP="00404907">
      <w:pPr>
        <w:spacing w:line="360" w:lineRule="auto"/>
        <w:jc w:val="both"/>
        <w:rPr>
          <w:rFonts w:ascii="Times New Roman" w:hAnsi="Times New Roman" w:cs="Times New Roman"/>
        </w:rPr>
      </w:pPr>
    </w:p>
    <w:p w14:paraId="364351E9" w14:textId="77777777" w:rsidR="005251B6" w:rsidRPr="00404907" w:rsidRDefault="005251B6" w:rsidP="00404907">
      <w:pPr>
        <w:spacing w:line="360" w:lineRule="auto"/>
        <w:jc w:val="both"/>
        <w:rPr>
          <w:rFonts w:ascii="Times New Roman" w:hAnsi="Times New Roman" w:cs="Times New Roman"/>
        </w:rPr>
      </w:pPr>
      <w:r w:rsidRPr="00404907">
        <w:rPr>
          <w:rFonts w:ascii="Times New Roman" w:hAnsi="Times New Roman" w:cs="Times New Roman"/>
        </w:rPr>
        <w:t xml:space="preserve">We build on that premise by defining an acquisition-aware falsification chain for unsupervised radiomic phenotypes. The key point is not whether a reproducible cluster exists, but whether the same biological claim can survive when technical sources of variance are explicitly tested. Several tests can address this question. Does the raw cluster map more strongly to manufacturer than molecular subtype? Are the leading PCs dominated by acquisition variables? Does the cluster partition hold up under residualization and ComBat? Does the prognostic association remain after removing technical signal? And if so, does that signal meet published minimums for considering a biomarker robust? (Lu et al., 2021). </w:t>
      </w:r>
    </w:p>
    <w:p w14:paraId="4FAA2665" w14:textId="77777777" w:rsidR="005251B6" w:rsidRPr="00404907" w:rsidRDefault="005251B6" w:rsidP="00404907">
      <w:pPr>
        <w:spacing w:line="360" w:lineRule="auto"/>
        <w:jc w:val="both"/>
        <w:rPr>
          <w:rFonts w:ascii="Times New Roman" w:hAnsi="Times New Roman" w:cs="Times New Roman"/>
        </w:rPr>
      </w:pPr>
    </w:p>
    <w:p w14:paraId="4D8FC6DC" w14:textId="77777777" w:rsidR="005251B6" w:rsidRPr="00404907" w:rsidRDefault="005251B6" w:rsidP="00404907">
      <w:pPr>
        <w:spacing w:line="360" w:lineRule="auto"/>
        <w:jc w:val="both"/>
        <w:rPr>
          <w:rFonts w:ascii="Times New Roman" w:hAnsi="Times New Roman" w:cs="Times New Roman"/>
        </w:rPr>
      </w:pPr>
      <w:r w:rsidRPr="00404907">
        <w:rPr>
          <w:rFonts w:ascii="Times New Roman" w:hAnsi="Times New Roman" w:cs="Times New Roman"/>
        </w:rPr>
        <w:lastRenderedPageBreak/>
        <w:t xml:space="preserve">Each of those items fills a logical gap in the validation of unsupervised radiomic phenotypes. Prior work has established that radiomic clustering can produce apparently biological subtype in breast MRI data (Yamamoto et al., 2012), that acquisition domain often dominates total feature-space variance (Traverso et al., 2018), and that harmonization can reduce this batch effect to improve prediction </w:t>
      </w:r>
      <w:proofErr w:type="spellStart"/>
      <w:r w:rsidRPr="00404907">
        <w:rPr>
          <w:rFonts w:ascii="Times New Roman" w:hAnsi="Times New Roman" w:cs="Times New Roman"/>
        </w:rPr>
        <w:t>modeling</w:t>
      </w:r>
      <w:proofErr w:type="spellEnd"/>
      <w:r w:rsidRPr="00404907">
        <w:rPr>
          <w:rFonts w:ascii="Times New Roman" w:hAnsi="Times New Roman" w:cs="Times New Roman"/>
        </w:rPr>
        <w:t xml:space="preserve"> (Da-Ano et al., 2020)]. Less attention has been paid to whether a stable unsupervised cluster retains its identity and biological interpretation after known acquisition effects are adjusted for.</w:t>
      </w:r>
    </w:p>
    <w:p w14:paraId="1FCCBB6B" w14:textId="77777777" w:rsidR="005251B6" w:rsidRDefault="005251B6" w:rsidP="005251B6"/>
    <w:p w14:paraId="0C3EB504" w14:textId="77777777" w:rsidR="005251B6" w:rsidRDefault="005251B6" w:rsidP="005251B6">
      <w:r>
        <w:t xml:space="preserve">Why this study matters </w:t>
      </w:r>
    </w:p>
    <w:p w14:paraId="5CB31652" w14:textId="77777777" w:rsidR="005251B6" w:rsidRDefault="005251B6" w:rsidP="005251B6"/>
    <w:p w14:paraId="47FB3BBE" w14:textId="77777777" w:rsidR="00541DD5" w:rsidRPr="000C60D9" w:rsidRDefault="00541DD5" w:rsidP="00541DD5">
      <w:pPr>
        <w:spacing w:line="360" w:lineRule="auto"/>
        <w:jc w:val="both"/>
        <w:rPr>
          <w:rFonts w:ascii="Times New Roman" w:hAnsi="Times New Roman" w:cs="Times New Roman"/>
        </w:rPr>
      </w:pPr>
      <w:r w:rsidRPr="000C60D9">
        <w:rPr>
          <w:rFonts w:ascii="Times New Roman" w:hAnsi="Times New Roman" w:cs="Times New Roman"/>
        </w:rPr>
        <w:t xml:space="preserve">The contribution of the present paper is therefore methodological rather than </w:t>
      </w:r>
      <w:proofErr w:type="gramStart"/>
      <w:r w:rsidRPr="000C60D9">
        <w:rPr>
          <w:rFonts w:ascii="Times New Roman" w:hAnsi="Times New Roman" w:cs="Times New Roman"/>
        </w:rPr>
        <w:t>biomarker-driven</w:t>
      </w:r>
      <w:proofErr w:type="gramEnd"/>
      <w:r w:rsidRPr="000C60D9">
        <w:rPr>
          <w:rFonts w:ascii="Times New Roman" w:hAnsi="Times New Roman" w:cs="Times New Roman"/>
        </w:rPr>
        <w:t>. It does not argue that unsupervised radiomic discovery is invalid in general. Instead, it argues that cluster stability is not equivalent to biological validity, especially in multi-vendor MRI cohorts. A phenotype may be internally stable, visually interpretable, and apparently prognostic while still being dominated by manufacturer and pulse-sequence variance.</w:t>
      </w:r>
    </w:p>
    <w:p w14:paraId="0C2FC16B" w14:textId="77777777" w:rsidR="00541DD5" w:rsidRPr="000C60D9" w:rsidRDefault="00541DD5" w:rsidP="00541DD5">
      <w:pPr>
        <w:spacing w:line="360" w:lineRule="auto"/>
        <w:jc w:val="both"/>
        <w:rPr>
          <w:rFonts w:ascii="Times New Roman" w:hAnsi="Times New Roman" w:cs="Times New Roman"/>
        </w:rPr>
      </w:pPr>
      <w:r w:rsidRPr="000C60D9">
        <w:rPr>
          <w:rFonts w:ascii="Times New Roman" w:hAnsi="Times New Roman" w:cs="Times New Roman"/>
        </w:rPr>
        <w:t>For breast MRI, this matters because a vascularity-like cluster can be biologically plausible and still be technically induced. Future clustering studies should therefore report not only cluster number, silhouette, bootstrap stability, and clinical association, but also acquisition-variable enrichment, technical variance partitioning, raw-versus-harmonized partition similarity, and within-vendor replication. These checks do not prove biological validity, but they can prevent weak claims from being mistaken for new phenotypes.</w:t>
      </w:r>
    </w:p>
    <w:p w14:paraId="1F1BCDBC" w14:textId="77777777" w:rsidR="00541DD5" w:rsidRDefault="00541DD5" w:rsidP="00541DD5">
      <w:pPr>
        <w:spacing w:line="360" w:lineRule="auto"/>
        <w:jc w:val="both"/>
        <w:rPr>
          <w:rFonts w:ascii="Times New Roman" w:hAnsi="Times New Roman" w:cs="Times New Roman"/>
        </w:rPr>
      </w:pPr>
      <w:r w:rsidRPr="000C60D9">
        <w:rPr>
          <w:rFonts w:ascii="Times New Roman" w:hAnsi="Times New Roman" w:cs="Times New Roman"/>
        </w:rPr>
        <w:t>The resulting argument is cohesive: radiomics has genuine promise; unsupervised discovery is an attractive route to latent phenotypes; technical variance is strong enough to mimic phenotype structure; harmonization is useful but can alter cluster identity; therefore, acquisition-aware falsification is necessary. In the real-world radiomics era, where multi-vendor datasets are not exceptions but the condition under which translational imaging biomarkers must operate, the falsification chain should be treated as a minimum methodological standard rather than as an optional sensitivity analysis.</w:t>
      </w:r>
    </w:p>
    <w:p w14:paraId="2032909B" w14:textId="77777777" w:rsidR="00541DD5" w:rsidRDefault="00541DD5" w:rsidP="00541DD5">
      <w:pPr>
        <w:spacing w:line="360" w:lineRule="auto"/>
        <w:jc w:val="both"/>
        <w:rPr>
          <w:rFonts w:ascii="Times New Roman" w:hAnsi="Times New Roman" w:cs="Times New Roman"/>
        </w:rPr>
      </w:pPr>
    </w:p>
    <w:p w14:paraId="594C2F79" w14:textId="77777777" w:rsidR="00541DD5" w:rsidRPr="000C60D9" w:rsidRDefault="00541DD5" w:rsidP="00541DD5">
      <w:pPr>
        <w:spacing w:line="360" w:lineRule="auto"/>
        <w:jc w:val="both"/>
        <w:rPr>
          <w:rFonts w:ascii="Times New Roman" w:hAnsi="Times New Roman" w:cs="Times New Roman"/>
        </w:rPr>
      </w:pPr>
    </w:p>
    <w:p w14:paraId="782A74D2" w14:textId="77777777" w:rsidR="00541DD5" w:rsidRPr="00972A77" w:rsidRDefault="00541DD5" w:rsidP="00541DD5">
      <w:pPr>
        <w:pStyle w:val="Heading1"/>
      </w:pPr>
      <w:r>
        <w:t>Materials and Methods</w:t>
      </w:r>
    </w:p>
    <w:p w14:paraId="414791FF" w14:textId="77777777" w:rsidR="00541DD5" w:rsidRPr="00541DD5" w:rsidRDefault="00541DD5" w:rsidP="00541DD5">
      <w:pPr>
        <w:pStyle w:val="Heading2"/>
        <w:spacing w:line="360" w:lineRule="auto"/>
        <w:jc w:val="both"/>
      </w:pPr>
      <w:r w:rsidRPr="00541DD5">
        <w:lastRenderedPageBreak/>
        <w:t>3.1 Cohort, features, and preprocessing</w:t>
      </w:r>
    </w:p>
    <w:p w14:paraId="565885F8" w14:textId="27D7874C"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For the analysis, a </w:t>
      </w:r>
      <w:r w:rsidRPr="00541DD5">
        <w:rPr>
          <w:rFonts w:ascii="Times New Roman" w:hAnsi="Times New Roman" w:cs="Times New Roman"/>
        </w:rPr>
        <w:t>previously reported</w:t>
      </w:r>
      <w:r w:rsidRPr="00541DD5">
        <w:rPr>
          <w:rFonts w:ascii="Times New Roman" w:hAnsi="Times New Roman" w:cs="Times New Roman"/>
        </w:rPr>
        <w:t xml:space="preserve"> 922-patient breast MRI cohort with 529 quantitative MRI-derived radiomic features was deidentified []. Feature-level quality control retained variables with &lt;5% missingness and ≥2 unique values. No features were excluded by these criteria in the present report. Remaining feature-wise missing values were imputed using medians, and all features were standardized to unit variance prior to PCA, clustering, harmonization, and survival </w:t>
      </w:r>
      <w:proofErr w:type="spellStart"/>
      <w:r w:rsidRPr="00541DD5">
        <w:rPr>
          <w:rFonts w:ascii="Times New Roman" w:hAnsi="Times New Roman" w:cs="Times New Roman"/>
        </w:rPr>
        <w:t>modeling</w:t>
      </w:r>
      <w:proofErr w:type="spellEnd"/>
      <w:r w:rsidRPr="00541DD5">
        <w:rPr>
          <w:rFonts w:ascii="Times New Roman" w:hAnsi="Times New Roman" w:cs="Times New Roman"/>
        </w:rPr>
        <w:t xml:space="preserve">. See this in reply </w:t>
      </w:r>
    </w:p>
    <w:p w14:paraId="1D186365" w14:textId="77777777" w:rsidR="00541DD5" w:rsidRPr="00541DD5" w:rsidRDefault="00541DD5" w:rsidP="00541DD5">
      <w:pPr>
        <w:spacing w:line="360" w:lineRule="auto"/>
        <w:jc w:val="both"/>
        <w:rPr>
          <w:rFonts w:ascii="Times New Roman" w:hAnsi="Times New Roman" w:cs="Times New Roman"/>
        </w:rPr>
      </w:pPr>
    </w:p>
    <w:p w14:paraId="64A30A61" w14:textId="4BA9ED89" w:rsidR="005251B6"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The resulting standardized matrix (922 x 529) is summarized in Table 2. Z-score scaling was necessary because this feature set included measures of enhancement kinetics, peak enhancement, signal-enhancement ratio, texture statistics, and many other descriptors with different natural scales. Without scaling, variance-dependent methods such as PCA and k-means would be biased by numerical scale rather than cohort structure.</w:t>
      </w:r>
    </w:p>
    <w:p w14:paraId="0F4D673B" w14:textId="77777777" w:rsidR="00541DD5" w:rsidRPr="00541DD5" w:rsidRDefault="00541DD5" w:rsidP="00541DD5">
      <w:pPr>
        <w:pStyle w:val="Heading2"/>
      </w:pPr>
      <w:r w:rsidRPr="00541DD5">
        <w:t xml:space="preserve">3.2 Standard phenotype discovery </w:t>
      </w:r>
    </w:p>
    <w:p w14:paraId="277DFDEE"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Principal component analysis was applied to the Z-score transformed radiomic matrix. Leading PCs were used for both exploratory plotting and input into clustering. Candidate k values were explored for k-means clustering; internal validity was summarized with silhouette score, Calinski-</w:t>
      </w:r>
      <w:proofErr w:type="spellStart"/>
      <w:r w:rsidRPr="00541DD5">
        <w:rPr>
          <w:rFonts w:ascii="Times New Roman" w:hAnsi="Times New Roman" w:cs="Times New Roman"/>
        </w:rPr>
        <w:t>Harabasz</w:t>
      </w:r>
      <w:proofErr w:type="spellEnd"/>
      <w:r w:rsidRPr="00541DD5">
        <w:rPr>
          <w:rFonts w:ascii="Times New Roman" w:hAnsi="Times New Roman" w:cs="Times New Roman"/>
        </w:rPr>
        <w:t xml:space="preserve"> index, and Davies-Bouldin index. Bootstrap stability was assessed with repeated 80% subsampling and quantification with adjusted Rand index (ARI).</w:t>
      </w:r>
    </w:p>
    <w:p w14:paraId="27834F7B"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Pairwise cluster differences were assessed with Welch tests as well as false-discovery-rate correction and effect-size ranking. We included this step to see if the raw partition had interpretable imaging biology prior to introduction of any technical challenge.</w:t>
      </w:r>
    </w:p>
    <w:p w14:paraId="738CE81D" w14:textId="77777777" w:rsidR="00541DD5" w:rsidRPr="00541DD5" w:rsidRDefault="00541DD5" w:rsidP="00541DD5">
      <w:pPr>
        <w:pStyle w:val="Heading2"/>
      </w:pPr>
      <w:r w:rsidRPr="00541DD5">
        <w:t xml:space="preserve">3.3 Falsification chain and technical adjudication </w:t>
      </w:r>
    </w:p>
    <w:p w14:paraId="7FB196D8" w14:textId="265F5EE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There were four components to the falsification chain. First, technical enrichment was calculated by comparing cluster labels and PC structure to our set of acquisition variables, especially focusing on manufacturer, TR, TE, and other pulse-sequence parameters. Second, phenotype discovery was repeated after manufacturer residualization and harmonization with ComBat. Third, partition identity was quantified by comparing harmonized labels to raw labels with ARI. Fourth, we retested clinical interpretation after manufacturer adjustment</w:t>
      </w:r>
      <w:r w:rsidRPr="00541DD5">
        <w:rPr>
          <w:rFonts w:ascii="Times New Roman" w:hAnsi="Times New Roman" w:cs="Times New Roman"/>
        </w:rPr>
        <w:t>.</w:t>
      </w:r>
    </w:p>
    <w:p w14:paraId="5AF4D57A"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An important design decision was made to separate stability from identity. The bootstrap ARI within a condition tells us how reproducible a partition is to </w:t>
      </w:r>
      <w:proofErr w:type="gramStart"/>
      <w:r w:rsidRPr="00541DD5">
        <w:rPr>
          <w:rFonts w:ascii="Times New Roman" w:hAnsi="Times New Roman" w:cs="Times New Roman"/>
        </w:rPr>
        <w:t>resampling</w:t>
      </w:r>
      <w:proofErr w:type="gramEnd"/>
      <w:r w:rsidRPr="00541DD5">
        <w:rPr>
          <w:rFonts w:ascii="Times New Roman" w:hAnsi="Times New Roman" w:cs="Times New Roman"/>
        </w:rPr>
        <w:t xml:space="preserve">. Comparing ARI to the </w:t>
      </w:r>
      <w:r w:rsidRPr="00541DD5">
        <w:rPr>
          <w:rFonts w:ascii="Times New Roman" w:hAnsi="Times New Roman" w:cs="Times New Roman"/>
        </w:rPr>
        <w:lastRenderedPageBreak/>
        <w:t xml:space="preserve">raw partition tells us whether the same patients are included in the same clusters after technical adjustment has been performed. They are conceptually different questions, and this partition </w:t>
      </w:r>
      <w:proofErr w:type="spellStart"/>
      <w:r w:rsidRPr="00541DD5">
        <w:rPr>
          <w:rFonts w:ascii="Times New Roman" w:hAnsi="Times New Roman" w:cs="Times New Roman"/>
        </w:rPr>
        <w:t>behavior</w:t>
      </w:r>
      <w:proofErr w:type="spellEnd"/>
      <w:r w:rsidRPr="00541DD5">
        <w:rPr>
          <w:rFonts w:ascii="Times New Roman" w:hAnsi="Times New Roman" w:cs="Times New Roman"/>
        </w:rPr>
        <w:t xml:space="preserve"> is the main empirical finding of this report.</w:t>
      </w:r>
    </w:p>
    <w:p w14:paraId="7DAE90A5" w14:textId="77777777" w:rsidR="00541DD5" w:rsidRPr="00541DD5" w:rsidRDefault="00541DD5" w:rsidP="00541DD5">
      <w:pPr>
        <w:pStyle w:val="Heading2"/>
      </w:pPr>
      <w:r w:rsidRPr="00541DD5">
        <w:t xml:space="preserve">3.4 Clinical and biomarker evaluation </w:t>
      </w:r>
    </w:p>
    <w:p w14:paraId="2CEFF64A"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Recurrence-free survival was assessed in the HR+/HER2+ subgroup because the raw phenotype showed its strongest separability there. Kaplan-Meier curves were produced, along with log-rank testing and Cox proportional-hazards </w:t>
      </w:r>
      <w:proofErr w:type="spellStart"/>
      <w:r w:rsidRPr="00541DD5">
        <w:rPr>
          <w:rFonts w:ascii="Times New Roman" w:hAnsi="Times New Roman" w:cs="Times New Roman"/>
        </w:rPr>
        <w:t>modeling</w:t>
      </w:r>
      <w:proofErr w:type="spellEnd"/>
      <w:r w:rsidRPr="00541DD5">
        <w:rPr>
          <w:rFonts w:ascii="Times New Roman" w:hAnsi="Times New Roman" w:cs="Times New Roman"/>
        </w:rPr>
        <w:t xml:space="preserve">. Cluster effect was then included as a variable in manufacturer-adjusted Cox </w:t>
      </w:r>
      <w:proofErr w:type="spellStart"/>
      <w:r w:rsidRPr="00541DD5">
        <w:rPr>
          <w:rFonts w:ascii="Times New Roman" w:hAnsi="Times New Roman" w:cs="Times New Roman"/>
        </w:rPr>
        <w:t>modeling</w:t>
      </w:r>
      <w:proofErr w:type="spellEnd"/>
      <w:r w:rsidRPr="00541DD5">
        <w:rPr>
          <w:rFonts w:ascii="Times New Roman" w:hAnsi="Times New Roman" w:cs="Times New Roman"/>
        </w:rPr>
        <w:t xml:space="preserve"> to determine </w:t>
      </w:r>
      <w:proofErr w:type="spellStart"/>
      <w:r w:rsidRPr="00541DD5">
        <w:rPr>
          <w:rFonts w:ascii="Times New Roman" w:hAnsi="Times New Roman" w:cs="Times New Roman"/>
        </w:rPr>
        <w:t>interpretabiliity</w:t>
      </w:r>
      <w:proofErr w:type="spellEnd"/>
      <w:r w:rsidRPr="00541DD5">
        <w:rPr>
          <w:rFonts w:ascii="Times New Roman" w:hAnsi="Times New Roman" w:cs="Times New Roman"/>
        </w:rPr>
        <w:t xml:space="preserve"> of the effect after technical adjustment.</w:t>
      </w:r>
    </w:p>
    <w:p w14:paraId="554EB315" w14:textId="0CC8418A" w:rsid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Any residual post-harmonization structure was compared to the following biomarker criteria: 1) significant association with recurrence, 2) incremental predictive value beyond clinical covariates, and 3) directionally consistent </w:t>
      </w:r>
      <w:proofErr w:type="spellStart"/>
      <w:r w:rsidRPr="00541DD5">
        <w:rPr>
          <w:rFonts w:ascii="Times New Roman" w:hAnsi="Times New Roman" w:cs="Times New Roman"/>
        </w:rPr>
        <w:t>behavior</w:t>
      </w:r>
      <w:proofErr w:type="spellEnd"/>
      <w:r w:rsidRPr="00541DD5">
        <w:rPr>
          <w:rFonts w:ascii="Times New Roman" w:hAnsi="Times New Roman" w:cs="Times New Roman"/>
        </w:rPr>
        <w:t xml:space="preserve"> within vendors. These criteria are intentionally low bars, not sufficient to claim biological validity.</w:t>
      </w:r>
    </w:p>
    <w:p w14:paraId="3E995718" w14:textId="77777777" w:rsidR="00541DD5" w:rsidRDefault="00541DD5" w:rsidP="00541DD5">
      <w:pPr>
        <w:spacing w:line="360" w:lineRule="auto"/>
        <w:jc w:val="both"/>
        <w:rPr>
          <w:rFonts w:ascii="Times New Roman" w:hAnsi="Times New Roman" w:cs="Times New Roman"/>
        </w:rPr>
      </w:pPr>
    </w:p>
    <w:p w14:paraId="10B3FA7D" w14:textId="77777777" w:rsidR="00541DD5" w:rsidRPr="00541DD5" w:rsidRDefault="00541DD5" w:rsidP="00541DD5">
      <w:pPr>
        <w:pStyle w:val="Heading1"/>
      </w:pPr>
      <w:r w:rsidRPr="00541DD5">
        <w:t xml:space="preserve">4. Results </w:t>
      </w:r>
    </w:p>
    <w:p w14:paraId="639D46E1" w14:textId="77777777" w:rsidR="00541DD5" w:rsidRPr="00541DD5" w:rsidRDefault="00541DD5" w:rsidP="00541DD5">
      <w:pPr>
        <w:pStyle w:val="Heading2"/>
      </w:pPr>
      <w:r w:rsidRPr="00541DD5">
        <w:t>4.1 Key message 1: a standard workflow creates a plausible but fragile counterexample</w:t>
      </w:r>
    </w:p>
    <w:p w14:paraId="23B50BCB"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The phenotype resulting from the standard workflow had the properties we need to construct a counterexample. First, unsupervised processing produced an output that would look informative and robust at face value (Figure ). PCA demonstrated an intrinsically “low-dimensional” radiomic space: the first three PCs explained roughly 33% of total variance (PC1=15.5%, PC2=9.6%, PC3=7.8%), while the top ten PCs explained around 58% of variance overall (Table 3). Visual inspection of the scree plot (Figure ) and PC1-PC2 projection plot (Figure ) agreed with these inferences. </w:t>
      </w:r>
      <w:proofErr w:type="spellStart"/>
      <w:r w:rsidRPr="00541DD5">
        <w:rPr>
          <w:rFonts w:ascii="Times New Roman" w:hAnsi="Times New Roman" w:cs="Times New Roman"/>
        </w:rPr>
        <w:t>Clusterability</w:t>
      </w:r>
      <w:proofErr w:type="spellEnd"/>
      <w:r w:rsidRPr="00541DD5">
        <w:rPr>
          <w:rFonts w:ascii="Times New Roman" w:hAnsi="Times New Roman" w:cs="Times New Roman"/>
        </w:rPr>
        <w:t xml:space="preserve"> was subtle: patients formed a continuum rather than clearly delineated groups. This pattern suggested that even if cluster analysis succeeded in finding important subgroups, any cluster solution would be superimposed on an underlying continuum.</w:t>
      </w:r>
    </w:p>
    <w:p w14:paraId="73922D5B"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For our cohort, k-means clustering selected k=2 via the three primary internal validity metrics. The optimal silhouette score was 0.196, achieved with k=2 (Table 4). Likewise, the </w:t>
      </w:r>
      <w:proofErr w:type="spellStart"/>
      <w:r w:rsidRPr="00541DD5">
        <w:rPr>
          <w:rFonts w:ascii="Times New Roman" w:hAnsi="Times New Roman" w:cs="Times New Roman"/>
        </w:rPr>
        <w:t>Calinski-Harabasz</w:t>
      </w:r>
      <w:proofErr w:type="spellEnd"/>
      <w:r w:rsidRPr="00541DD5">
        <w:rPr>
          <w:rFonts w:ascii="Times New Roman" w:hAnsi="Times New Roman" w:cs="Times New Roman"/>
        </w:rPr>
        <w:t xml:space="preserve"> index reached its maximum of 200.93 with k=2, and both metrics decreased monotonically with higher values of k. Bootstrap stability was satisfactory: the unadjusted, raw k=2 partition had mean ARI 0.893 and standard deviation 0.084 (Table 5).</w:t>
      </w:r>
    </w:p>
    <w:p w14:paraId="49E2E841" w14:textId="77777777"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lastRenderedPageBreak/>
        <w:t xml:space="preserve">Biologically meaningful features drove separation between the two clusters. The variables that best separated clusters were mostly dominated by measures of signal-enhancement ratio (SER), peak-enhancement (PE), entropy, homogeneity, and other enhancement-texture features (Table 6). The top-ranked SER entropy feature and SER sum-entropy feature each had Cohen d values &gt;2.2 after correcting for FDR. This pattern produces a raw partition that visually resembles something like vascularity. One group demonstrates higher spatial heterogeneity in enhancement, while </w:t>
      </w:r>
      <w:proofErr w:type="spellStart"/>
      <w:r w:rsidRPr="00541DD5">
        <w:rPr>
          <w:rFonts w:ascii="Times New Roman" w:hAnsi="Times New Roman" w:cs="Times New Roman"/>
        </w:rPr>
        <w:t>tumors</w:t>
      </w:r>
      <w:proofErr w:type="spellEnd"/>
      <w:r w:rsidRPr="00541DD5">
        <w:rPr>
          <w:rFonts w:ascii="Times New Roman" w:hAnsi="Times New Roman" w:cs="Times New Roman"/>
        </w:rPr>
        <w:t xml:space="preserve"> in the other cluster tend to exhibit more homogeneous enhancement patterns. The resemblance is convenient for our purposes because it illustrates how an acquisition-dominated split can still retain biological face validity.</w:t>
      </w:r>
    </w:p>
    <w:p w14:paraId="26D00B4D" w14:textId="20F4EA8B" w:rsidR="00541DD5" w:rsidRPr="00541DD5" w:rsidRDefault="00541DD5" w:rsidP="00541DD5">
      <w:pPr>
        <w:spacing w:line="360" w:lineRule="auto"/>
        <w:jc w:val="both"/>
        <w:rPr>
          <w:rFonts w:ascii="Times New Roman" w:hAnsi="Times New Roman" w:cs="Times New Roman"/>
        </w:rPr>
      </w:pPr>
      <w:r w:rsidRPr="00541DD5">
        <w:rPr>
          <w:rFonts w:ascii="Times New Roman" w:hAnsi="Times New Roman" w:cs="Times New Roman"/>
        </w:rPr>
        <w:t xml:space="preserve">Among HR+/HER2+ patients, the raw partition seemed clinically suggestive as well. Of 101 patients with follow-up data, Cluster 0 included 55 patients and 2 recurrences while Cluster 1 included 46 patients and 8 recurrences. Kaplan-Meier curves were visibly separable (Figure ), and both the log-rank and unadjusted Cox model provided significant results (p=0.010; hazard ratio (HR)=4.76, 95% CI 1.22-18.61, p=0.02; Table 7). If one were to follow standard analysis conventions, they might conclude that the original unsupervised procedure had uncovered a replicable vascularity-like phenotype that predicts prognosis. In the current manuscript, those results </w:t>
      </w:r>
      <w:proofErr w:type="spellStart"/>
      <w:r w:rsidRPr="00541DD5">
        <w:rPr>
          <w:rFonts w:ascii="Times New Roman" w:hAnsi="Times New Roman" w:cs="Times New Roman"/>
        </w:rPr>
        <w:t>form</w:t>
      </w:r>
      <w:proofErr w:type="spellEnd"/>
      <w:r w:rsidRPr="00541DD5">
        <w:rPr>
          <w:rFonts w:ascii="Times New Roman" w:hAnsi="Times New Roman" w:cs="Times New Roman"/>
        </w:rPr>
        <w:t xml:space="preserve"> the counterexample that falsification seeks to evaluate.</w:t>
      </w:r>
    </w:p>
    <w:sectPr w:rsidR="00541DD5" w:rsidRPr="00541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B6"/>
    <w:rsid w:val="00404907"/>
    <w:rsid w:val="00474148"/>
    <w:rsid w:val="00516877"/>
    <w:rsid w:val="005251B6"/>
    <w:rsid w:val="00541DD5"/>
    <w:rsid w:val="00AC728A"/>
    <w:rsid w:val="00B10F7C"/>
    <w:rsid w:val="00D0471F"/>
    <w:rsid w:val="00D7350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6AA3"/>
  <w15:chartTrackingRefBased/>
  <w15:docId w15:val="{84FE8483-2180-431A-BF5D-FE694558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B6"/>
    <w:pP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5251B6"/>
    <w:pPr>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525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B6"/>
    <w:rPr>
      <w:rFonts w:ascii="Times New Roman" w:hAnsi="Times New Roman" w:cs="Times New Roman"/>
      <w:b/>
      <w:bCs/>
    </w:rPr>
  </w:style>
  <w:style w:type="character" w:customStyle="1" w:styleId="Heading2Char">
    <w:name w:val="Heading 2 Char"/>
    <w:basedOn w:val="DefaultParagraphFont"/>
    <w:link w:val="Heading2"/>
    <w:uiPriority w:val="9"/>
    <w:rsid w:val="005251B6"/>
    <w:rPr>
      <w:rFonts w:ascii="Times New Roman" w:hAnsi="Times New Roman" w:cs="Times New Roman"/>
      <w:b/>
      <w:bCs/>
    </w:rPr>
  </w:style>
  <w:style w:type="character" w:customStyle="1" w:styleId="Heading3Char">
    <w:name w:val="Heading 3 Char"/>
    <w:basedOn w:val="DefaultParagraphFont"/>
    <w:link w:val="Heading3"/>
    <w:uiPriority w:val="9"/>
    <w:semiHidden/>
    <w:rsid w:val="00525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B6"/>
    <w:rPr>
      <w:rFonts w:eastAsiaTheme="majorEastAsia" w:cstheme="majorBidi"/>
      <w:color w:val="272727" w:themeColor="text1" w:themeTint="D8"/>
    </w:rPr>
  </w:style>
  <w:style w:type="paragraph" w:styleId="Title">
    <w:name w:val="Title"/>
    <w:basedOn w:val="Normal"/>
    <w:next w:val="Normal"/>
    <w:link w:val="TitleChar"/>
    <w:uiPriority w:val="10"/>
    <w:qFormat/>
    <w:rsid w:val="00525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B6"/>
    <w:pPr>
      <w:spacing w:before="160"/>
      <w:jc w:val="center"/>
    </w:pPr>
    <w:rPr>
      <w:i/>
      <w:iCs/>
      <w:color w:val="404040" w:themeColor="text1" w:themeTint="BF"/>
    </w:rPr>
  </w:style>
  <w:style w:type="character" w:customStyle="1" w:styleId="QuoteChar">
    <w:name w:val="Quote Char"/>
    <w:basedOn w:val="DefaultParagraphFont"/>
    <w:link w:val="Quote"/>
    <w:uiPriority w:val="29"/>
    <w:rsid w:val="005251B6"/>
    <w:rPr>
      <w:i/>
      <w:iCs/>
      <w:color w:val="404040" w:themeColor="text1" w:themeTint="BF"/>
    </w:rPr>
  </w:style>
  <w:style w:type="paragraph" w:styleId="ListParagraph">
    <w:name w:val="List Paragraph"/>
    <w:basedOn w:val="Normal"/>
    <w:uiPriority w:val="34"/>
    <w:qFormat/>
    <w:rsid w:val="005251B6"/>
    <w:pPr>
      <w:ind w:left="720"/>
      <w:contextualSpacing/>
    </w:pPr>
  </w:style>
  <w:style w:type="character" w:styleId="IntenseEmphasis">
    <w:name w:val="Intense Emphasis"/>
    <w:basedOn w:val="DefaultParagraphFont"/>
    <w:uiPriority w:val="21"/>
    <w:qFormat/>
    <w:rsid w:val="005251B6"/>
    <w:rPr>
      <w:i/>
      <w:iCs/>
      <w:color w:val="0F4761" w:themeColor="accent1" w:themeShade="BF"/>
    </w:rPr>
  </w:style>
  <w:style w:type="paragraph" w:styleId="IntenseQuote">
    <w:name w:val="Intense Quote"/>
    <w:basedOn w:val="Normal"/>
    <w:next w:val="Normal"/>
    <w:link w:val="IntenseQuoteChar"/>
    <w:uiPriority w:val="30"/>
    <w:qFormat/>
    <w:rsid w:val="0052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B6"/>
    <w:rPr>
      <w:i/>
      <w:iCs/>
      <w:color w:val="0F4761" w:themeColor="accent1" w:themeShade="BF"/>
    </w:rPr>
  </w:style>
  <w:style w:type="character" w:styleId="IntenseReference">
    <w:name w:val="Intense Reference"/>
    <w:basedOn w:val="DefaultParagraphFont"/>
    <w:uiPriority w:val="32"/>
    <w:qFormat/>
    <w:rsid w:val="00525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9</Pages>
  <Words>3055</Words>
  <Characters>17416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 itani</dc:creator>
  <cp:keywords/>
  <dc:description/>
  <cp:lastModifiedBy>malek itani</cp:lastModifiedBy>
  <cp:revision>1</cp:revision>
  <dcterms:created xsi:type="dcterms:W3CDTF">2026-05-20T10:40:00Z</dcterms:created>
  <dcterms:modified xsi:type="dcterms:W3CDTF">2026-05-21T03:48:00Z</dcterms:modified>
</cp:coreProperties>
</file>