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A167D" w14:textId="1333A627" w:rsidR="00E46F45" w:rsidRDefault="00084114" w:rsidP="00084114">
      <w:pPr>
        <w:jc w:val="center"/>
      </w:pPr>
      <w:r w:rsidRPr="00084114">
        <w:rPr>
          <w:rFonts w:asciiTheme="majorHAnsi" w:eastAsiaTheme="majorEastAsia" w:hAnsiTheme="majorHAnsi" w:cstheme="majorBidi"/>
          <w:b/>
          <w:color w:val="17365D" w:themeColor="text2" w:themeShade="BF"/>
          <w:spacing w:val="5"/>
          <w:kern w:val="28"/>
          <w:sz w:val="40"/>
          <w:szCs w:val="52"/>
        </w:rPr>
        <w:t>Trapped by Stability: A Falsification Framework for Acquisition-Driven Radiomic Phenotypes</w:t>
      </w:r>
    </w:p>
    <w:p w14:paraId="61DDBA70" w14:textId="77777777" w:rsidR="00E46F45" w:rsidRDefault="00000000">
      <w:pPr>
        <w:pStyle w:val="Heading1"/>
      </w:pPr>
      <w:r>
        <w:t>Abstract</w:t>
      </w:r>
    </w:p>
    <w:p w14:paraId="59F8EE2F" w14:textId="77777777" w:rsidR="008216C5" w:rsidRPr="008216C5" w:rsidRDefault="008216C5" w:rsidP="008216C5"/>
    <w:p w14:paraId="41EC8454" w14:textId="345BE055" w:rsidR="008216C5" w:rsidRPr="008216C5" w:rsidRDefault="008216C5" w:rsidP="008216C5">
      <w:pPr>
        <w:spacing w:line="360" w:lineRule="auto"/>
        <w:jc w:val="both"/>
        <w:rPr>
          <w:rFonts w:ascii="Times New Roman" w:hAnsi="Times New Roman" w:cs="Times New Roman"/>
          <w:sz w:val="24"/>
          <w:szCs w:val="24"/>
          <w:lang w:val="en-GB"/>
        </w:rPr>
      </w:pPr>
      <w:r w:rsidRPr="008216C5">
        <w:rPr>
          <w:rFonts w:ascii="Times New Roman" w:hAnsi="Times New Roman" w:cs="Times New Roman"/>
          <w:sz w:val="24"/>
          <w:szCs w:val="24"/>
          <w:lang w:val="en-GB"/>
        </w:rPr>
        <w:t xml:space="preserve">This research doesn't put forth a new radiomic phenotype for breast MRI. Rather we demonstrate a mode of failure for phenotype claims that can pass conventional internal validation: what we call the stability trap. That is, a cluster may be reproducible to resampling and demonstrate what appears to be meaningful prognostic </w:t>
      </w:r>
      <w:r w:rsidRPr="008216C5">
        <w:rPr>
          <w:rFonts w:ascii="Times New Roman" w:hAnsi="Times New Roman" w:cs="Times New Roman"/>
          <w:sz w:val="24"/>
          <w:szCs w:val="24"/>
          <w:lang w:val="en-GB"/>
        </w:rPr>
        <w:t>signal but</w:t>
      </w:r>
      <w:r w:rsidRPr="008216C5">
        <w:rPr>
          <w:rFonts w:ascii="Times New Roman" w:hAnsi="Times New Roman" w:cs="Times New Roman"/>
          <w:sz w:val="24"/>
          <w:szCs w:val="24"/>
          <w:lang w:val="en-GB"/>
        </w:rPr>
        <w:t xml:space="preserve"> lack biological identity. Using a 922-patient multi-vendor breast MRI cohort, we generated using a standard unsupervised workflow the type of result that may otherwise be overinterpreted. This included generation of a stable two-cluster partition with enhancement- dominant, vascularity -like feature differences and an unadjusted recurrence-free survival signal in HR+/HER2+ disease. We use this negative result as a falsification case instead of a biomarker candidate.</w:t>
      </w:r>
    </w:p>
    <w:p w14:paraId="15C3CCDF" w14:textId="279D7D95" w:rsidR="008216C5" w:rsidRPr="008216C5" w:rsidRDefault="008216C5" w:rsidP="008216C5">
      <w:pPr>
        <w:spacing w:line="360" w:lineRule="auto"/>
        <w:jc w:val="both"/>
        <w:rPr>
          <w:rFonts w:ascii="Times New Roman" w:hAnsi="Times New Roman" w:cs="Times New Roman"/>
          <w:sz w:val="24"/>
          <w:szCs w:val="24"/>
          <w:lang w:val="en-GB"/>
        </w:rPr>
      </w:pPr>
      <w:r w:rsidRPr="008216C5">
        <w:rPr>
          <w:rFonts w:ascii="Times New Roman" w:hAnsi="Times New Roman" w:cs="Times New Roman"/>
          <w:sz w:val="24"/>
          <w:szCs w:val="24"/>
          <w:lang w:val="en-GB"/>
        </w:rPr>
        <w:t xml:space="preserve">Scanner manufacturer and pulse-sequence structure were strongly associated with the raw partition whereas molecular subtype and whole-cohort recurrence were not robustly associated with generated cluster labels. Harmonization using manufacturer </w:t>
      </w:r>
      <w:proofErr w:type="spellStart"/>
      <w:r w:rsidRPr="008216C5">
        <w:rPr>
          <w:rFonts w:ascii="Times New Roman" w:hAnsi="Times New Roman" w:cs="Times New Roman"/>
          <w:sz w:val="24"/>
          <w:szCs w:val="24"/>
          <w:lang w:val="en-GB"/>
        </w:rPr>
        <w:t>residualization</w:t>
      </w:r>
      <w:proofErr w:type="spellEnd"/>
      <w:r w:rsidRPr="008216C5">
        <w:rPr>
          <w:rFonts w:ascii="Times New Roman" w:hAnsi="Times New Roman" w:cs="Times New Roman"/>
          <w:sz w:val="24"/>
          <w:szCs w:val="24"/>
          <w:lang w:val="en-GB"/>
        </w:rPr>
        <w:t xml:space="preserve"> or </w:t>
      </w:r>
      <w:proofErr w:type="spellStart"/>
      <w:r w:rsidRPr="008216C5">
        <w:rPr>
          <w:rFonts w:ascii="Times New Roman" w:hAnsi="Times New Roman" w:cs="Times New Roman"/>
          <w:sz w:val="24"/>
          <w:szCs w:val="24"/>
          <w:lang w:val="en-GB"/>
        </w:rPr>
        <w:t>ComBat</w:t>
      </w:r>
      <w:proofErr w:type="spellEnd"/>
      <w:r w:rsidRPr="008216C5">
        <w:rPr>
          <w:rFonts w:ascii="Times New Roman" w:hAnsi="Times New Roman" w:cs="Times New Roman"/>
          <w:sz w:val="24"/>
          <w:szCs w:val="24"/>
          <w:lang w:val="en-GB"/>
        </w:rPr>
        <w:t xml:space="preserve"> weakened the HR+/HER2+ survival signal and preserved internal </w:t>
      </w:r>
      <w:proofErr w:type="spellStart"/>
      <w:r w:rsidRPr="008216C5">
        <w:rPr>
          <w:rFonts w:ascii="Times New Roman" w:hAnsi="Times New Roman" w:cs="Times New Roman"/>
          <w:sz w:val="24"/>
          <w:szCs w:val="24"/>
          <w:lang w:val="en-GB"/>
        </w:rPr>
        <w:t>clusterability</w:t>
      </w:r>
      <w:proofErr w:type="spellEnd"/>
      <w:r w:rsidRPr="008216C5">
        <w:rPr>
          <w:rFonts w:ascii="Times New Roman" w:hAnsi="Times New Roman" w:cs="Times New Roman"/>
          <w:sz w:val="24"/>
          <w:szCs w:val="24"/>
          <w:lang w:val="en-GB"/>
        </w:rPr>
        <w:t xml:space="preserve"> at the cost of replacing the original patient partition</w:t>
      </w:r>
      <w:r>
        <w:rPr>
          <w:rFonts w:ascii="Times New Roman" w:hAnsi="Times New Roman" w:cs="Times New Roman"/>
          <w:sz w:val="24"/>
          <w:szCs w:val="24"/>
          <w:lang w:val="en-GB"/>
        </w:rPr>
        <w:t>.</w:t>
      </w:r>
    </w:p>
    <w:p w14:paraId="4C0A8959" w14:textId="6BE60FA7" w:rsidR="008216C5" w:rsidRDefault="008216C5" w:rsidP="008216C5">
      <w:pPr>
        <w:spacing w:line="360" w:lineRule="auto"/>
        <w:jc w:val="both"/>
        <w:rPr>
          <w:rFonts w:ascii="Times New Roman" w:hAnsi="Times New Roman" w:cs="Times New Roman"/>
          <w:sz w:val="24"/>
          <w:szCs w:val="24"/>
          <w:lang w:val="en-GB"/>
        </w:rPr>
      </w:pPr>
      <w:r w:rsidRPr="008216C5">
        <w:rPr>
          <w:rFonts w:ascii="Times New Roman" w:hAnsi="Times New Roman" w:cs="Times New Roman"/>
          <w:sz w:val="24"/>
          <w:szCs w:val="24"/>
          <w:lang w:val="en-GB"/>
        </w:rPr>
        <w:t xml:space="preserve">The </w:t>
      </w:r>
      <w:proofErr w:type="spellStart"/>
      <w:r w:rsidRPr="008216C5">
        <w:rPr>
          <w:rFonts w:ascii="Times New Roman" w:hAnsi="Times New Roman" w:cs="Times New Roman"/>
          <w:sz w:val="24"/>
          <w:szCs w:val="24"/>
          <w:lang w:val="en-GB"/>
        </w:rPr>
        <w:t>residualized</w:t>
      </w:r>
      <w:proofErr w:type="spellEnd"/>
      <w:r w:rsidRPr="008216C5">
        <w:rPr>
          <w:rFonts w:ascii="Times New Roman" w:hAnsi="Times New Roman" w:cs="Times New Roman"/>
          <w:sz w:val="24"/>
          <w:szCs w:val="24"/>
          <w:lang w:val="en-GB"/>
        </w:rPr>
        <w:t xml:space="preserve"> and harmonization informed postprocessing structure was statistically </w:t>
      </w:r>
      <w:proofErr w:type="gramStart"/>
      <w:r w:rsidRPr="008216C5">
        <w:rPr>
          <w:rFonts w:ascii="Times New Roman" w:hAnsi="Times New Roman" w:cs="Times New Roman"/>
          <w:sz w:val="24"/>
          <w:szCs w:val="24"/>
          <w:lang w:val="en-GB"/>
        </w:rPr>
        <w:t>cleaner, but</w:t>
      </w:r>
      <w:proofErr w:type="gramEnd"/>
      <w:r w:rsidRPr="008216C5">
        <w:rPr>
          <w:rFonts w:ascii="Times New Roman" w:hAnsi="Times New Roman" w:cs="Times New Roman"/>
          <w:sz w:val="24"/>
          <w:szCs w:val="24"/>
          <w:lang w:val="en-GB"/>
        </w:rPr>
        <w:t xml:space="preserve"> remained biologically unvalidated. It was more strongly associated with tumour size than recurrence or subtyp</w:t>
      </w:r>
      <w:r>
        <w:rPr>
          <w:rFonts w:ascii="Times New Roman" w:hAnsi="Times New Roman" w:cs="Times New Roman"/>
          <w:sz w:val="24"/>
          <w:szCs w:val="24"/>
          <w:lang w:val="en-GB"/>
        </w:rPr>
        <w:t>e</w:t>
      </w:r>
      <w:r w:rsidRPr="008216C5">
        <w:rPr>
          <w:rFonts w:ascii="Times New Roman" w:hAnsi="Times New Roman" w:cs="Times New Roman"/>
          <w:sz w:val="24"/>
          <w:szCs w:val="24"/>
          <w:lang w:val="en-GB"/>
        </w:rPr>
        <w:t>. The main contribution of this work is therefore methodological: we present a falsification approach to adjudicating radiomic phenotype claims. Multi-condition discovery, harmonization sensitivity</w:t>
      </w:r>
      <w:r>
        <w:rPr>
          <w:rFonts w:ascii="Times New Roman" w:hAnsi="Times New Roman" w:cs="Times New Roman"/>
          <w:sz w:val="24"/>
          <w:szCs w:val="24"/>
          <w:lang w:val="en-GB"/>
        </w:rPr>
        <w:t xml:space="preserve"> and </w:t>
      </w:r>
      <w:r w:rsidRPr="008216C5">
        <w:rPr>
          <w:rFonts w:ascii="Times New Roman" w:hAnsi="Times New Roman" w:cs="Times New Roman"/>
          <w:sz w:val="24"/>
          <w:szCs w:val="24"/>
          <w:lang w:val="en-GB"/>
        </w:rPr>
        <w:t>within-vendor sanity checking are among our proposed minimum checks for multi-vendor MRI, multicenter radiomics, and imaging-AI studies where technical variance may otherwise masquerade as biology.</w:t>
      </w:r>
    </w:p>
    <w:p w14:paraId="482A9194" w14:textId="5D05CD72" w:rsidR="00084114" w:rsidRPr="00084114" w:rsidRDefault="00084114" w:rsidP="009A3DD6">
      <w:pPr>
        <w:spacing w:line="360" w:lineRule="auto"/>
        <w:rPr>
          <w:rFonts w:ascii="Times New Roman" w:hAnsi="Times New Roman" w:cs="Times New Roman"/>
          <w:sz w:val="24"/>
          <w:szCs w:val="24"/>
          <w:lang w:val="en-GB"/>
        </w:rPr>
      </w:pPr>
      <w:r w:rsidRPr="00084114">
        <w:rPr>
          <w:rFonts w:ascii="Times New Roman" w:hAnsi="Times New Roman" w:cs="Times New Roman"/>
          <w:sz w:val="24"/>
          <w:szCs w:val="24"/>
          <w:lang w:val="en-GB"/>
        </w:rPr>
        <w:t>Keywords</w:t>
      </w:r>
    </w:p>
    <w:p w14:paraId="690B2588" w14:textId="241FB2BC" w:rsidR="00084114" w:rsidRDefault="00084114" w:rsidP="00084114">
      <w:pPr>
        <w:spacing w:line="360" w:lineRule="auto"/>
        <w:jc w:val="both"/>
        <w:rPr>
          <w:rFonts w:ascii="Times New Roman" w:hAnsi="Times New Roman" w:cs="Times New Roman"/>
          <w:sz w:val="24"/>
          <w:szCs w:val="24"/>
          <w:lang w:val="en-GB"/>
        </w:rPr>
      </w:pPr>
      <w:r w:rsidRPr="00084114">
        <w:rPr>
          <w:rFonts w:ascii="Times New Roman" w:hAnsi="Times New Roman" w:cs="Times New Roman"/>
          <w:sz w:val="24"/>
          <w:szCs w:val="24"/>
          <w:lang w:val="en-GB"/>
        </w:rPr>
        <w:t>Breast MRI; radiomics; phenotype discovery; ComBat harmonization; acquisition confounding; cluster stability; cluster identity; imaging AI reproducibility.</w:t>
      </w:r>
    </w:p>
    <w:p w14:paraId="11AFD6F2" w14:textId="77777777" w:rsidR="009A3DD6" w:rsidRDefault="009A3DD6" w:rsidP="00084114">
      <w:pPr>
        <w:spacing w:line="360" w:lineRule="auto"/>
        <w:jc w:val="both"/>
        <w:rPr>
          <w:rFonts w:ascii="Times New Roman" w:hAnsi="Times New Roman" w:cs="Times New Roman"/>
          <w:sz w:val="24"/>
          <w:szCs w:val="24"/>
          <w:lang w:val="en-GB"/>
        </w:rPr>
      </w:pPr>
    </w:p>
    <w:p w14:paraId="1DE1B769" w14:textId="77777777" w:rsidR="009A3DD6" w:rsidRDefault="009A3DD6" w:rsidP="00084114">
      <w:pPr>
        <w:spacing w:line="360" w:lineRule="auto"/>
        <w:jc w:val="both"/>
        <w:rPr>
          <w:rFonts w:ascii="Times New Roman" w:hAnsi="Times New Roman" w:cs="Times New Roman"/>
          <w:sz w:val="24"/>
          <w:szCs w:val="24"/>
          <w:lang w:val="en-GB"/>
        </w:rPr>
      </w:pPr>
    </w:p>
    <w:p w14:paraId="69AEFC9E" w14:textId="608791B9" w:rsidR="00AE5CED" w:rsidRPr="00084114" w:rsidRDefault="00AE5CED" w:rsidP="00AE5CED">
      <w:pPr>
        <w:rPr>
          <w:rFonts w:ascii="Times New Roman" w:hAnsi="Times New Roman" w:cs="Times New Roman"/>
          <w:sz w:val="22"/>
          <w:lang w:val="en-GB"/>
        </w:rPr>
      </w:pPr>
    </w:p>
    <w:p w14:paraId="5239D4D5" w14:textId="77777777" w:rsidR="00E46F45" w:rsidRPr="00084114" w:rsidRDefault="00E46F45">
      <w:pPr>
        <w:rPr>
          <w:rFonts w:ascii="Times New Roman" w:hAnsi="Times New Roman" w:cs="Times New Roman"/>
          <w:sz w:val="22"/>
        </w:rPr>
      </w:pPr>
    </w:p>
    <w:p w14:paraId="0FA6C46D" w14:textId="77777777" w:rsidR="00E46F45" w:rsidRDefault="00000000">
      <w:r>
        <w:lastRenderedPageBreak/>
        <w:br w:type="page"/>
      </w:r>
    </w:p>
    <w:p w14:paraId="0BCA434C" w14:textId="59F10D9E" w:rsidR="00E46F45" w:rsidRDefault="00000000" w:rsidP="004A1161">
      <w:pPr>
        <w:pStyle w:val="Heading1"/>
        <w:numPr>
          <w:ilvl w:val="0"/>
          <w:numId w:val="11"/>
        </w:numPr>
      </w:pPr>
      <w:r>
        <w:lastRenderedPageBreak/>
        <w:t>Introduction</w:t>
      </w:r>
    </w:p>
    <w:p w14:paraId="064681DF" w14:textId="77777777" w:rsidR="004A1161" w:rsidRPr="004A1161" w:rsidRDefault="004A1161" w:rsidP="004A1161"/>
    <w:p w14:paraId="3922FA20" w14:textId="0D88560D" w:rsidR="004A1161" w:rsidRPr="004A1161" w:rsidRDefault="004A1161" w:rsidP="004A1161">
      <w:pPr>
        <w:spacing w:line="360" w:lineRule="auto"/>
        <w:jc w:val="both"/>
        <w:rPr>
          <w:rFonts w:ascii="Times New Roman" w:hAnsi="Times New Roman" w:cs="Times New Roman"/>
          <w:sz w:val="24"/>
          <w:szCs w:val="24"/>
          <w:lang w:val="en-GB"/>
        </w:rPr>
      </w:pPr>
      <w:r w:rsidRPr="004A1161">
        <w:rPr>
          <w:rFonts w:ascii="Times New Roman" w:hAnsi="Times New Roman" w:cs="Times New Roman"/>
          <w:sz w:val="24"/>
          <w:szCs w:val="24"/>
          <w:lang w:val="en-GB"/>
        </w:rPr>
        <w:t>One</w:t>
      </w:r>
      <w:r>
        <w:rPr>
          <w:rFonts w:ascii="Times New Roman" w:hAnsi="Times New Roman" w:cs="Times New Roman"/>
          <w:sz w:val="24"/>
          <w:szCs w:val="24"/>
          <w:lang w:val="en-GB"/>
        </w:rPr>
        <w:t xml:space="preserve"> of the promises of the field of radiomics, is the ability to identity latent imaging subgroups representing phenotypes undetectable to standard labelling methods. Imaging methods such as breast MRI and </w:t>
      </w:r>
      <w:r w:rsidRPr="004A1161">
        <w:rPr>
          <w:rFonts w:ascii="Times New Roman" w:hAnsi="Times New Roman" w:cs="Times New Roman"/>
          <w:sz w:val="24"/>
          <w:szCs w:val="24"/>
          <w:lang w:val="en-GB"/>
        </w:rPr>
        <w:t>dynamic contrast-enhanced imaging</w:t>
      </w:r>
      <w:r>
        <w:rPr>
          <w:rFonts w:ascii="Times New Roman" w:hAnsi="Times New Roman" w:cs="Times New Roman"/>
          <w:sz w:val="24"/>
          <w:szCs w:val="24"/>
          <w:lang w:val="en-GB"/>
        </w:rPr>
        <w:t xml:space="preserve"> allows for the generation of quantitative features describing hidden heterogeneity in </w:t>
      </w:r>
      <w:r w:rsidRPr="004A1161">
        <w:rPr>
          <w:rFonts w:ascii="Times New Roman" w:hAnsi="Times New Roman" w:cs="Times New Roman"/>
          <w:sz w:val="24"/>
          <w:szCs w:val="24"/>
          <w:lang w:val="en-GB"/>
        </w:rPr>
        <w:t>tumour morphology, vascularity</w:t>
      </w:r>
      <w:r>
        <w:rPr>
          <w:rFonts w:ascii="Times New Roman" w:hAnsi="Times New Roman" w:cs="Times New Roman"/>
          <w:sz w:val="24"/>
          <w:szCs w:val="24"/>
          <w:lang w:val="en-GB"/>
        </w:rPr>
        <w:t xml:space="preserve"> and </w:t>
      </w:r>
      <w:r w:rsidRPr="004A1161">
        <w:rPr>
          <w:rFonts w:ascii="Times New Roman" w:hAnsi="Times New Roman" w:cs="Times New Roman"/>
          <w:sz w:val="24"/>
          <w:szCs w:val="24"/>
          <w:lang w:val="en-GB"/>
        </w:rPr>
        <w:t>cellularity</w:t>
      </w:r>
      <w:r>
        <w:rPr>
          <w:rFonts w:ascii="Times New Roman" w:hAnsi="Times New Roman" w:cs="Times New Roman"/>
          <w:sz w:val="24"/>
          <w:szCs w:val="24"/>
          <w:lang w:val="en-GB"/>
        </w:rPr>
        <w:t xml:space="preserve"> that can be utilized in unsupervised machine learning techniques. In theory this practice would allow physicians to capture stable cluster associated structures with meaningful biological variations that go beyond standard procedures of relying on receptor base labelling </w:t>
      </w:r>
      <w:r w:rsidRPr="004A1161">
        <w:rPr>
          <w:rFonts w:ascii="Times New Roman" w:hAnsi="Times New Roman" w:cs="Times New Roman"/>
          <w:sz w:val="24"/>
          <w:szCs w:val="24"/>
          <w:lang w:val="en-GB"/>
        </w:rPr>
        <w:t>(Lambin et al., 2012).</w:t>
      </w:r>
    </w:p>
    <w:p w14:paraId="4597B02F" w14:textId="315DDCC8" w:rsidR="004A1161" w:rsidRDefault="00326E3A" w:rsidP="009A3DD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practice, multivendor sourced data sets </w:t>
      </w:r>
      <w:r w:rsidR="00430391">
        <w:rPr>
          <w:rFonts w:ascii="Times New Roman" w:hAnsi="Times New Roman" w:cs="Times New Roman"/>
          <w:sz w:val="24"/>
          <w:szCs w:val="24"/>
          <w:lang w:val="en-GB"/>
        </w:rPr>
        <w:t xml:space="preserve">have showcased acquisition associated variables can influence inference through features such as </w:t>
      </w:r>
      <w:r w:rsidR="00430391" w:rsidRPr="00430391">
        <w:rPr>
          <w:rFonts w:ascii="Times New Roman" w:hAnsi="Times New Roman" w:cs="Times New Roman"/>
          <w:sz w:val="24"/>
          <w:szCs w:val="24"/>
          <w:lang w:val="en-GB"/>
        </w:rPr>
        <w:t>manufacturer, pulse-sequence parameters, field strength, voxel geometry, reconstruction choices, and acquisition timing (Zwanenburg et al., 2020)</w:t>
      </w:r>
      <w:r w:rsidR="00430391">
        <w:rPr>
          <w:rFonts w:ascii="Times New Roman" w:hAnsi="Times New Roman" w:cs="Times New Roman"/>
          <w:sz w:val="24"/>
          <w:szCs w:val="24"/>
          <w:lang w:val="en-GB"/>
        </w:rPr>
        <w:t xml:space="preserve">. When dealing with high dimensionality, even minute acquisition affects can dominate the feature space after </w:t>
      </w:r>
      <w:r w:rsidR="00430391" w:rsidRPr="00430391">
        <w:rPr>
          <w:rFonts w:ascii="Times New Roman" w:hAnsi="Times New Roman" w:cs="Times New Roman"/>
          <w:sz w:val="24"/>
          <w:szCs w:val="24"/>
          <w:lang w:val="en-GB"/>
        </w:rPr>
        <w:t>dimensionality reduction</w:t>
      </w:r>
      <w:r w:rsidR="00430391">
        <w:rPr>
          <w:rFonts w:ascii="Times New Roman" w:hAnsi="Times New Roman" w:cs="Times New Roman"/>
          <w:sz w:val="24"/>
          <w:szCs w:val="24"/>
          <w:lang w:val="en-GB"/>
        </w:rPr>
        <w:t xml:space="preserve">, resulting in clustering algorithms that recover partitioning based on technology rather than biology. </w:t>
      </w:r>
    </w:p>
    <w:p w14:paraId="138A4B6B" w14:textId="034CFB08" w:rsidR="00430391" w:rsidRDefault="00430391" w:rsidP="009A3DD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Validation techniques rely heavily on metrics that assess </w:t>
      </w:r>
      <w:r w:rsidRPr="00430391">
        <w:rPr>
          <w:rFonts w:ascii="Times New Roman" w:hAnsi="Times New Roman" w:cs="Times New Roman"/>
          <w:sz w:val="24"/>
          <w:szCs w:val="24"/>
          <w:lang w:val="en-GB"/>
        </w:rPr>
        <w:t>reproducibili</w:t>
      </w:r>
      <w:r>
        <w:rPr>
          <w:rFonts w:ascii="Times New Roman" w:hAnsi="Times New Roman" w:cs="Times New Roman"/>
          <w:sz w:val="24"/>
          <w:szCs w:val="24"/>
          <w:lang w:val="en-GB"/>
        </w:rPr>
        <w:t xml:space="preserve">ty of the results rather than validity, failing to distinguish between a biologically meaningful phenotype and </w:t>
      </w:r>
      <w:r w:rsidRPr="00430391">
        <w:rPr>
          <w:rFonts w:ascii="Times New Roman" w:hAnsi="Times New Roman" w:cs="Times New Roman"/>
          <w:sz w:val="24"/>
          <w:szCs w:val="24"/>
          <w:lang w:val="en-GB"/>
        </w:rPr>
        <w:t>a technically induced one (Handl et al., 2005).</w:t>
      </w:r>
      <w:r>
        <w:rPr>
          <w:rFonts w:ascii="Times New Roman" w:hAnsi="Times New Roman" w:cs="Times New Roman"/>
          <w:sz w:val="24"/>
          <w:szCs w:val="24"/>
          <w:lang w:val="en-GB"/>
        </w:rPr>
        <w:t xml:space="preserve"> This overreliance of stability creates what we term “The Stability Trap”: </w:t>
      </w:r>
      <w:r w:rsidRPr="00430391">
        <w:rPr>
          <w:rFonts w:ascii="Times New Roman" w:hAnsi="Times New Roman" w:cs="Times New Roman"/>
          <w:sz w:val="24"/>
          <w:szCs w:val="24"/>
          <w:lang w:val="en-GB"/>
        </w:rPr>
        <w:t>the mathematical illusion that a data partition is biologically valid simply because its underlying technical artifact is highly stable and reproducible.</w:t>
      </w:r>
    </w:p>
    <w:p w14:paraId="02B0BDA6" w14:textId="1C99DB70" w:rsidR="00430391" w:rsidRDefault="00430391" w:rsidP="009A3DD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This </w:t>
      </w:r>
      <w:r w:rsidR="004C537E">
        <w:rPr>
          <w:rFonts w:ascii="Times New Roman" w:hAnsi="Times New Roman" w:cs="Times New Roman"/>
          <w:sz w:val="24"/>
          <w:szCs w:val="24"/>
          <w:lang w:val="en-GB"/>
        </w:rPr>
        <w:t>distinction</w:t>
      </w:r>
      <w:r>
        <w:rPr>
          <w:rFonts w:ascii="Times New Roman" w:hAnsi="Times New Roman" w:cs="Times New Roman"/>
          <w:sz w:val="24"/>
          <w:szCs w:val="24"/>
          <w:lang w:val="en-GB"/>
        </w:rPr>
        <w:t xml:space="preserve"> between stability and validity is what motivates the present study, rather than treating cluster discovery and stability as the endpoint of phenotype identification, this study proposes a </w:t>
      </w:r>
      <w:r w:rsidR="004C537E">
        <w:rPr>
          <w:rFonts w:ascii="Times New Roman" w:hAnsi="Times New Roman" w:cs="Times New Roman"/>
          <w:sz w:val="24"/>
          <w:szCs w:val="24"/>
          <w:lang w:val="en-GB"/>
        </w:rPr>
        <w:t>falsification</w:t>
      </w:r>
      <w:r>
        <w:rPr>
          <w:rFonts w:ascii="Times New Roman" w:hAnsi="Times New Roman" w:cs="Times New Roman"/>
          <w:sz w:val="24"/>
          <w:szCs w:val="24"/>
          <w:lang w:val="en-GB"/>
        </w:rPr>
        <w:t xml:space="preserve"> chain</w:t>
      </w:r>
      <w:r w:rsidR="004C537E">
        <w:rPr>
          <w:rFonts w:ascii="Times New Roman" w:hAnsi="Times New Roman" w:cs="Times New Roman"/>
          <w:sz w:val="24"/>
          <w:szCs w:val="24"/>
          <w:lang w:val="en-GB"/>
        </w:rPr>
        <w:t xml:space="preserve"> that presents any potential phenotype discovery a set of acquisition aware challenges designed to expose technical confounding.</w:t>
      </w:r>
    </w:p>
    <w:p w14:paraId="3563C094" w14:textId="627D0421" w:rsidR="004C537E" w:rsidRDefault="004C537E" w:rsidP="009A3DD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first step is evaluating the raw radiomic feature space, testing whether </w:t>
      </w:r>
      <w:r w:rsidRPr="004C537E">
        <w:rPr>
          <w:rFonts w:ascii="Times New Roman" w:hAnsi="Times New Roman" w:cs="Times New Roman"/>
          <w:sz w:val="24"/>
          <w:szCs w:val="24"/>
          <w:lang w:val="en-GB"/>
        </w:rPr>
        <w:t>dominant principal components</w:t>
      </w:r>
      <w:r>
        <w:rPr>
          <w:rFonts w:ascii="Times New Roman" w:hAnsi="Times New Roman" w:cs="Times New Roman"/>
          <w:sz w:val="24"/>
          <w:szCs w:val="24"/>
          <w:lang w:val="en-GB"/>
        </w:rPr>
        <w:t xml:space="preserve"> are associated with biological and/or </w:t>
      </w:r>
      <w:r w:rsidRPr="004C537E">
        <w:rPr>
          <w:rFonts w:ascii="Times New Roman" w:hAnsi="Times New Roman" w:cs="Times New Roman"/>
          <w:sz w:val="24"/>
          <w:szCs w:val="24"/>
          <w:lang w:val="en-GB"/>
        </w:rPr>
        <w:t>technical acquisition variables</w:t>
      </w:r>
      <w:r>
        <w:rPr>
          <w:rFonts w:ascii="Times New Roman" w:hAnsi="Times New Roman" w:cs="Times New Roman"/>
          <w:sz w:val="24"/>
          <w:szCs w:val="24"/>
          <w:lang w:val="en-GB"/>
        </w:rPr>
        <w:t xml:space="preserve">. The second step is stress testing cluster identity; any real biological phenotype would withstand technical corrections through </w:t>
      </w:r>
      <w:r w:rsidRPr="004C537E">
        <w:rPr>
          <w:rFonts w:ascii="Times New Roman" w:hAnsi="Times New Roman" w:cs="Times New Roman"/>
          <w:sz w:val="24"/>
          <w:szCs w:val="24"/>
          <w:lang w:val="en-GB"/>
        </w:rPr>
        <w:t>manufacturer residualization and ComBat harmonization</w:t>
      </w:r>
      <w:r>
        <w:rPr>
          <w:rFonts w:ascii="Times New Roman" w:hAnsi="Times New Roman" w:cs="Times New Roman"/>
          <w:sz w:val="24"/>
          <w:szCs w:val="24"/>
          <w:lang w:val="en-GB"/>
        </w:rPr>
        <w:t xml:space="preserve">. Hence phenotype discovery is repeated after </w:t>
      </w:r>
      <w:proofErr w:type="gramStart"/>
      <w:r>
        <w:rPr>
          <w:rFonts w:ascii="Times New Roman" w:hAnsi="Times New Roman" w:cs="Times New Roman"/>
          <w:sz w:val="24"/>
          <w:szCs w:val="24"/>
          <w:lang w:val="en-GB"/>
        </w:rPr>
        <w:t>taking into account</w:t>
      </w:r>
      <w:proofErr w:type="gramEnd"/>
      <w:r>
        <w:rPr>
          <w:rFonts w:ascii="Times New Roman" w:hAnsi="Times New Roman" w:cs="Times New Roman"/>
          <w:sz w:val="24"/>
          <w:szCs w:val="24"/>
          <w:lang w:val="en-GB"/>
        </w:rPr>
        <w:t xml:space="preserve"> manufacture effects. </w:t>
      </w:r>
      <w:proofErr w:type="gramStart"/>
      <w:r>
        <w:rPr>
          <w:rFonts w:ascii="Times New Roman" w:hAnsi="Times New Roman" w:cs="Times New Roman"/>
          <w:sz w:val="24"/>
          <w:szCs w:val="24"/>
          <w:lang w:val="en-GB"/>
        </w:rPr>
        <w:t>Similar to</w:t>
      </w:r>
      <w:proofErr w:type="gramEnd"/>
      <w:r>
        <w:rPr>
          <w:rFonts w:ascii="Times New Roman" w:hAnsi="Times New Roman" w:cs="Times New Roman"/>
          <w:sz w:val="24"/>
          <w:szCs w:val="24"/>
          <w:lang w:val="en-GB"/>
        </w:rPr>
        <w:t xml:space="preserve"> the second step, the final step is revaluating clinical interpretation </w:t>
      </w:r>
      <w:r w:rsidRPr="004C537E">
        <w:rPr>
          <w:rFonts w:ascii="Times New Roman" w:hAnsi="Times New Roman" w:cs="Times New Roman"/>
          <w:sz w:val="24"/>
          <w:szCs w:val="24"/>
          <w:lang w:val="en-GB"/>
        </w:rPr>
        <w:t>after adjustment for manufacturer and across harmonization strategies</w:t>
      </w:r>
      <w:r>
        <w:rPr>
          <w:rFonts w:ascii="Times New Roman" w:hAnsi="Times New Roman" w:cs="Times New Roman"/>
          <w:sz w:val="24"/>
          <w:szCs w:val="24"/>
          <w:lang w:val="en-GB"/>
        </w:rPr>
        <w:t>.</w:t>
      </w:r>
    </w:p>
    <w:p w14:paraId="7081E206" w14:textId="50B48ECC" w:rsidR="00972A77" w:rsidRPr="004C537E" w:rsidRDefault="004C537E" w:rsidP="004C537E">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Using our proposed falsification framework, we examine a cohort of </w:t>
      </w:r>
      <w:r w:rsidRPr="004C537E">
        <w:rPr>
          <w:rFonts w:ascii="Times New Roman" w:hAnsi="Times New Roman" w:cs="Times New Roman"/>
          <w:sz w:val="24"/>
          <w:szCs w:val="24"/>
          <w:lang w:val="en-GB"/>
        </w:rPr>
        <w:t>922 breast MRI patients</w:t>
      </w:r>
      <w:r>
        <w:rPr>
          <w:rFonts w:ascii="Times New Roman" w:hAnsi="Times New Roman" w:cs="Times New Roman"/>
          <w:sz w:val="24"/>
          <w:szCs w:val="24"/>
          <w:lang w:val="en-GB"/>
        </w:rPr>
        <w:t xml:space="preserve">. We first provide evidence of </w:t>
      </w:r>
      <w:r w:rsidRPr="004C537E">
        <w:rPr>
          <w:rFonts w:ascii="Times New Roman" w:hAnsi="Times New Roman" w:cs="Times New Roman"/>
          <w:sz w:val="24"/>
          <w:szCs w:val="24"/>
          <w:lang w:val="en-GB"/>
        </w:rPr>
        <w:t>a stable two-cluster radiomic phenotype with enhancement-dominant, vascularity-</w:t>
      </w:r>
      <w:r w:rsidRPr="004C537E">
        <w:rPr>
          <w:rFonts w:ascii="Times New Roman" w:hAnsi="Times New Roman" w:cs="Times New Roman"/>
          <w:sz w:val="24"/>
          <w:szCs w:val="24"/>
          <w:lang w:val="en-GB"/>
        </w:rPr>
        <w:lastRenderedPageBreak/>
        <w:t>like characteristics and an apparent HR+/HER2+ recurrence-free survival signal.</w:t>
      </w:r>
      <w:r>
        <w:rPr>
          <w:rFonts w:ascii="Times New Roman" w:hAnsi="Times New Roman" w:cs="Times New Roman"/>
          <w:sz w:val="24"/>
          <w:szCs w:val="24"/>
          <w:lang w:val="en-GB"/>
        </w:rPr>
        <w:t xml:space="preserve"> Then we showcase that the dominant variance axis </w:t>
      </w:r>
      <w:proofErr w:type="gramStart"/>
      <w:r>
        <w:rPr>
          <w:rFonts w:ascii="Times New Roman" w:hAnsi="Times New Roman" w:cs="Times New Roman"/>
          <w:sz w:val="24"/>
          <w:szCs w:val="24"/>
          <w:lang w:val="en-GB"/>
        </w:rPr>
        <w:t>are</w:t>
      </w:r>
      <w:proofErr w:type="gramEnd"/>
      <w:r>
        <w:rPr>
          <w:rFonts w:ascii="Times New Roman" w:hAnsi="Times New Roman" w:cs="Times New Roman"/>
          <w:sz w:val="24"/>
          <w:szCs w:val="24"/>
          <w:lang w:val="en-GB"/>
        </w:rPr>
        <w:t xml:space="preserve"> led by </w:t>
      </w:r>
      <w:r w:rsidRPr="004C537E">
        <w:rPr>
          <w:rFonts w:ascii="Times New Roman" w:hAnsi="Times New Roman" w:cs="Times New Roman"/>
          <w:sz w:val="24"/>
          <w:szCs w:val="24"/>
          <w:lang w:val="en-GB"/>
        </w:rPr>
        <w:t>acquisition parameters</w:t>
      </w:r>
      <w:r>
        <w:rPr>
          <w:rFonts w:ascii="Times New Roman" w:hAnsi="Times New Roman" w:cs="Times New Roman"/>
          <w:sz w:val="24"/>
          <w:szCs w:val="24"/>
          <w:lang w:val="en-GB"/>
        </w:rPr>
        <w:t xml:space="preserve"> rather than biological factors. </w:t>
      </w:r>
      <w:r w:rsidRPr="004C537E">
        <w:rPr>
          <w:rFonts w:ascii="Times New Roman" w:hAnsi="Times New Roman" w:cs="Times New Roman"/>
          <w:sz w:val="24"/>
          <w:szCs w:val="24"/>
          <w:lang w:val="en-GB"/>
        </w:rPr>
        <w:t>The contribution of this study is therefore methodological rather than biomarker-driven: it shows that a phenotype can be internally stable, visually interpretable, and apparently prognostic while still failing tests of biological identity</w:t>
      </w:r>
      <w:r>
        <w:rPr>
          <w:rFonts w:ascii="Times New Roman" w:hAnsi="Times New Roman" w:cs="Times New Roman"/>
          <w:sz w:val="24"/>
          <w:szCs w:val="24"/>
          <w:lang w:val="en-GB"/>
        </w:rPr>
        <w:t>.</w:t>
      </w:r>
    </w:p>
    <w:p w14:paraId="24F51D96" w14:textId="77777777" w:rsidR="00E46F45" w:rsidRDefault="00000000">
      <w:pPr>
        <w:pStyle w:val="Heading1"/>
      </w:pPr>
      <w:r>
        <w:t>2. Background and Rationale</w:t>
      </w:r>
    </w:p>
    <w:p w14:paraId="3454062B" w14:textId="188A99EF" w:rsidR="000C60D9" w:rsidRPr="000C60D9" w:rsidRDefault="000C60D9" w:rsidP="000C60D9">
      <w:pPr>
        <w:rPr>
          <w:lang w:val="en-GB"/>
        </w:rPr>
      </w:pPr>
    </w:p>
    <w:p w14:paraId="65450593" w14:textId="77777777" w:rsidR="000C60D9" w:rsidRDefault="000C60D9" w:rsidP="00D74085">
      <w:pPr>
        <w:pStyle w:val="Heading2"/>
        <w:rPr>
          <w:lang w:val="en-GB"/>
        </w:rPr>
      </w:pPr>
      <w:r w:rsidRPr="000C60D9">
        <w:rPr>
          <w:lang w:val="en-GB"/>
        </w:rPr>
        <w:t>Radiomic phenotype discovery</w:t>
      </w:r>
    </w:p>
    <w:p w14:paraId="50285E99" w14:textId="77777777" w:rsidR="00D74085" w:rsidRPr="00D74085" w:rsidRDefault="00D74085" w:rsidP="00D74085">
      <w:pPr>
        <w:rPr>
          <w:lang w:val="en-GB"/>
        </w:rPr>
      </w:pPr>
    </w:p>
    <w:p w14:paraId="2D022B12" w14:textId="6DFC0835" w:rsidR="005C4526" w:rsidRDefault="005C4526" w:rsidP="005C452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Radiomics allows for the extraction of quantitative information from routine medical </w:t>
      </w:r>
      <w:proofErr w:type="gramStart"/>
      <w:r>
        <w:rPr>
          <w:rFonts w:ascii="Times New Roman" w:hAnsi="Times New Roman" w:cs="Times New Roman"/>
          <w:sz w:val="24"/>
          <w:szCs w:val="24"/>
          <w:lang w:val="en-GB"/>
        </w:rPr>
        <w:t>images, and</w:t>
      </w:r>
      <w:proofErr w:type="gramEnd"/>
      <w:r>
        <w:rPr>
          <w:rFonts w:ascii="Times New Roman" w:hAnsi="Times New Roman" w:cs="Times New Roman"/>
          <w:sz w:val="24"/>
          <w:szCs w:val="24"/>
          <w:lang w:val="en-GB"/>
        </w:rPr>
        <w:t xml:space="preserve"> thus promises to expand the knowledge on tumour phenotype that is not captured by visual interpretation. This allows radiomics to be positioned as the main bridge between medical imaging </w:t>
      </w:r>
      <w:proofErr w:type="gramStart"/>
      <w:r>
        <w:rPr>
          <w:rFonts w:ascii="Times New Roman" w:hAnsi="Times New Roman" w:cs="Times New Roman"/>
          <w:sz w:val="24"/>
          <w:szCs w:val="24"/>
          <w:lang w:val="en-GB"/>
        </w:rPr>
        <w:t>an</w:t>
      </w:r>
      <w:proofErr w:type="gramEnd"/>
      <w:r>
        <w:rPr>
          <w:rFonts w:ascii="Times New Roman" w:hAnsi="Times New Roman" w:cs="Times New Roman"/>
          <w:sz w:val="24"/>
          <w:szCs w:val="24"/>
          <w:lang w:val="en-GB"/>
        </w:rPr>
        <w:t xml:space="preserve"> personalized medicine, allowing it to compliment </w:t>
      </w:r>
      <w:r w:rsidRPr="005C4526">
        <w:rPr>
          <w:rFonts w:ascii="Times New Roman" w:hAnsi="Times New Roman" w:cs="Times New Roman"/>
          <w:sz w:val="24"/>
          <w:szCs w:val="24"/>
          <w:lang w:val="en-GB"/>
        </w:rPr>
        <w:t>histology, genomics, and clinical covariates in risk stratification and treatment selection (Lambin et al., 2012</w:t>
      </w:r>
      <w:r>
        <w:rPr>
          <w:rFonts w:ascii="Times New Roman" w:hAnsi="Times New Roman" w:cs="Times New Roman"/>
          <w:sz w:val="24"/>
          <w:szCs w:val="24"/>
          <w:lang w:val="en-GB"/>
        </w:rPr>
        <w:t xml:space="preserve">). One particularly relevant image modality is Breast MRI as </w:t>
      </w:r>
      <w:r w:rsidRPr="005C4526">
        <w:rPr>
          <w:rFonts w:ascii="Times New Roman" w:hAnsi="Times New Roman" w:cs="Times New Roman"/>
          <w:sz w:val="24"/>
          <w:szCs w:val="24"/>
          <w:lang w:val="en-GB"/>
        </w:rPr>
        <w:t>dynamic contrast-enhanced MRI, diffusion-weighted imaging, T2-weighted imaging, and enhancement kinetics</w:t>
      </w:r>
      <w:r>
        <w:rPr>
          <w:rFonts w:ascii="Times New Roman" w:hAnsi="Times New Roman" w:cs="Times New Roman"/>
          <w:sz w:val="24"/>
          <w:szCs w:val="24"/>
          <w:lang w:val="en-GB"/>
        </w:rPr>
        <w:t xml:space="preserve"> enables the acquisition of information related to </w:t>
      </w:r>
      <w:r w:rsidRPr="005C4526">
        <w:rPr>
          <w:rFonts w:ascii="Times New Roman" w:hAnsi="Times New Roman" w:cs="Times New Roman"/>
          <w:sz w:val="24"/>
          <w:szCs w:val="24"/>
          <w:lang w:val="en-GB"/>
        </w:rPr>
        <w:t>vascularity, cellularity, morphology, and tissue heterogeneity (Pinker et al., 2018).</w:t>
      </w:r>
    </w:p>
    <w:p w14:paraId="463BA5A1" w14:textId="25C99C6D" w:rsidR="005C4526" w:rsidRDefault="005C4526" w:rsidP="005C452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While </w:t>
      </w:r>
      <w:proofErr w:type="gramStart"/>
      <w:r>
        <w:rPr>
          <w:rFonts w:ascii="Times New Roman" w:hAnsi="Times New Roman" w:cs="Times New Roman"/>
          <w:sz w:val="24"/>
          <w:szCs w:val="24"/>
          <w:lang w:val="en-GB"/>
        </w:rPr>
        <w:t>the majority of</w:t>
      </w:r>
      <w:proofErr w:type="gramEnd"/>
      <w:r>
        <w:rPr>
          <w:rFonts w:ascii="Times New Roman" w:hAnsi="Times New Roman" w:cs="Times New Roman"/>
          <w:sz w:val="24"/>
          <w:szCs w:val="24"/>
          <w:lang w:val="en-GB"/>
        </w:rPr>
        <w:t xml:space="preserve"> previous work has focused on supervised learning, radiomics shows great potential in the unsupervised learning subfield, where patients are clustered solely based on feature space. These clusters are then studied for associations with </w:t>
      </w:r>
      <w:r w:rsidRPr="005C4526">
        <w:rPr>
          <w:rFonts w:ascii="Times New Roman" w:hAnsi="Times New Roman" w:cs="Times New Roman"/>
          <w:sz w:val="24"/>
          <w:szCs w:val="24"/>
          <w:lang w:val="en-GB"/>
        </w:rPr>
        <w:t xml:space="preserve">prognosis, molecular subtype, immune state, stromal composition, or pathway activity </w:t>
      </w:r>
      <w:r>
        <w:rPr>
          <w:rFonts w:ascii="Times New Roman" w:hAnsi="Times New Roman" w:cs="Times New Roman"/>
          <w:sz w:val="24"/>
          <w:szCs w:val="24"/>
          <w:lang w:val="en-GB"/>
        </w:rPr>
        <w:t>(</w:t>
      </w:r>
      <w:r w:rsidRPr="005C4526">
        <w:rPr>
          <w:rFonts w:ascii="Times New Roman" w:hAnsi="Times New Roman" w:cs="Times New Roman"/>
          <w:sz w:val="24"/>
          <w:szCs w:val="24"/>
          <w:lang w:val="en-GB"/>
        </w:rPr>
        <w:t>Li et al 2018</w:t>
      </w:r>
      <w:r>
        <w:rPr>
          <w:rFonts w:ascii="Times New Roman" w:hAnsi="Times New Roman" w:cs="Times New Roman"/>
          <w:sz w:val="24"/>
          <w:szCs w:val="24"/>
          <w:lang w:val="en-GB"/>
        </w:rPr>
        <w:t>)</w:t>
      </w:r>
      <w:r w:rsidRPr="005C4526">
        <w:rPr>
          <w:rFonts w:ascii="Times New Roman" w:hAnsi="Times New Roman" w:cs="Times New Roman"/>
          <w:sz w:val="24"/>
          <w:szCs w:val="24"/>
          <w:lang w:val="en-GB"/>
        </w:rPr>
        <w:t>.</w:t>
      </w:r>
      <w:r>
        <w:rPr>
          <w:rFonts w:ascii="Times New Roman" w:hAnsi="Times New Roman" w:cs="Times New Roman"/>
          <w:sz w:val="24"/>
          <w:szCs w:val="24"/>
          <w:lang w:val="en-GB"/>
        </w:rPr>
        <w:t xml:space="preserve"> This allows for the discovery of image derived subtypes of cancer through </w:t>
      </w:r>
      <w:r w:rsidRPr="005C4526">
        <w:rPr>
          <w:rFonts w:ascii="Times New Roman" w:hAnsi="Times New Roman" w:cs="Times New Roman"/>
          <w:sz w:val="24"/>
          <w:szCs w:val="24"/>
          <w:lang w:val="en-GB"/>
        </w:rPr>
        <w:t>survival</w:t>
      </w:r>
      <w:r>
        <w:rPr>
          <w:rFonts w:ascii="Times New Roman" w:hAnsi="Times New Roman" w:cs="Times New Roman"/>
          <w:sz w:val="24"/>
          <w:szCs w:val="24"/>
          <w:lang w:val="en-GB"/>
        </w:rPr>
        <w:t xml:space="preserve"> analysis</w:t>
      </w:r>
      <w:r w:rsidRPr="005C4526">
        <w:rPr>
          <w:rFonts w:ascii="Times New Roman" w:hAnsi="Times New Roman" w:cs="Times New Roman"/>
          <w:sz w:val="24"/>
          <w:szCs w:val="24"/>
          <w:lang w:val="en-GB"/>
        </w:rPr>
        <w:t>, molecular pathways, and treatment response</w:t>
      </w:r>
      <w:r>
        <w:rPr>
          <w:rFonts w:ascii="Times New Roman" w:hAnsi="Times New Roman" w:cs="Times New Roman"/>
          <w:sz w:val="24"/>
          <w:szCs w:val="24"/>
          <w:lang w:val="en-GB"/>
        </w:rPr>
        <w:t xml:space="preserve"> </w:t>
      </w:r>
      <w:r w:rsidRPr="005C4526">
        <w:rPr>
          <w:rFonts w:ascii="Times New Roman" w:hAnsi="Times New Roman" w:cs="Times New Roman"/>
          <w:sz w:val="24"/>
          <w:szCs w:val="24"/>
          <w:lang w:val="en-GB"/>
        </w:rPr>
        <w:t>(Yamamoto et al., 2012</w:t>
      </w:r>
      <w:r>
        <w:rPr>
          <w:rFonts w:ascii="Times New Roman" w:hAnsi="Times New Roman" w:cs="Times New Roman"/>
          <w:sz w:val="24"/>
          <w:szCs w:val="24"/>
          <w:lang w:val="en-GB"/>
        </w:rPr>
        <w:t xml:space="preserve">; </w:t>
      </w:r>
      <w:r w:rsidRPr="005C4526">
        <w:rPr>
          <w:rFonts w:ascii="Times New Roman" w:hAnsi="Times New Roman" w:cs="Times New Roman"/>
          <w:sz w:val="24"/>
          <w:szCs w:val="24"/>
          <w:lang w:val="en-GB"/>
        </w:rPr>
        <w:t>Aerts et al., 2014)</w:t>
      </w:r>
      <w:r>
        <w:rPr>
          <w:rFonts w:ascii="Times New Roman" w:hAnsi="Times New Roman" w:cs="Times New Roman"/>
          <w:sz w:val="24"/>
          <w:szCs w:val="24"/>
          <w:lang w:val="en-GB"/>
        </w:rPr>
        <w:t xml:space="preserve">. Collectively, there is consensus on the great potential of radiomics to provide clinically meaningful insight on the biological variations of tumours </w:t>
      </w:r>
      <w:r w:rsidRPr="005C4526">
        <w:rPr>
          <w:rFonts w:ascii="Times New Roman" w:hAnsi="Times New Roman" w:cs="Times New Roman"/>
          <w:sz w:val="24"/>
          <w:szCs w:val="24"/>
          <w:lang w:val="en-GB"/>
        </w:rPr>
        <w:t>(Gillies et al., 2016).</w:t>
      </w:r>
    </w:p>
    <w:p w14:paraId="683E0137" w14:textId="77777777" w:rsidR="00D74085" w:rsidRDefault="00D74085" w:rsidP="005C4526">
      <w:pPr>
        <w:spacing w:line="360" w:lineRule="auto"/>
        <w:jc w:val="both"/>
        <w:rPr>
          <w:rFonts w:ascii="Times New Roman" w:hAnsi="Times New Roman" w:cs="Times New Roman"/>
          <w:sz w:val="24"/>
          <w:szCs w:val="24"/>
          <w:lang w:val="en-GB"/>
        </w:rPr>
      </w:pPr>
    </w:p>
    <w:p w14:paraId="74ADCB4C" w14:textId="77777777" w:rsidR="00D74085" w:rsidRDefault="00D74085" w:rsidP="005C4526">
      <w:pPr>
        <w:spacing w:line="360" w:lineRule="auto"/>
        <w:jc w:val="both"/>
        <w:rPr>
          <w:rFonts w:ascii="Times New Roman" w:hAnsi="Times New Roman" w:cs="Times New Roman"/>
          <w:sz w:val="24"/>
          <w:szCs w:val="24"/>
          <w:lang w:val="en-GB"/>
        </w:rPr>
      </w:pPr>
    </w:p>
    <w:p w14:paraId="73328A1D" w14:textId="77777777" w:rsidR="00D74085" w:rsidRDefault="00D74085" w:rsidP="005C4526">
      <w:pPr>
        <w:spacing w:line="360" w:lineRule="auto"/>
        <w:jc w:val="both"/>
        <w:rPr>
          <w:rFonts w:ascii="Times New Roman" w:hAnsi="Times New Roman" w:cs="Times New Roman"/>
          <w:sz w:val="24"/>
          <w:szCs w:val="24"/>
          <w:lang w:val="en-GB"/>
        </w:rPr>
      </w:pPr>
    </w:p>
    <w:p w14:paraId="3D4FC83C" w14:textId="77777777" w:rsidR="00D74085" w:rsidRDefault="00D74085" w:rsidP="005C4526">
      <w:pPr>
        <w:spacing w:line="360" w:lineRule="auto"/>
        <w:jc w:val="both"/>
        <w:rPr>
          <w:rFonts w:ascii="Times New Roman" w:hAnsi="Times New Roman" w:cs="Times New Roman"/>
          <w:sz w:val="24"/>
          <w:szCs w:val="24"/>
          <w:lang w:val="en-GB"/>
        </w:rPr>
      </w:pPr>
    </w:p>
    <w:p w14:paraId="73E84F43" w14:textId="77777777" w:rsidR="00D74085" w:rsidRDefault="00D74085" w:rsidP="005C4526">
      <w:pPr>
        <w:spacing w:line="360" w:lineRule="auto"/>
        <w:jc w:val="both"/>
        <w:rPr>
          <w:rFonts w:ascii="Times New Roman" w:hAnsi="Times New Roman" w:cs="Times New Roman"/>
          <w:sz w:val="24"/>
          <w:szCs w:val="24"/>
          <w:highlight w:val="yellow"/>
          <w:lang w:val="en-GB"/>
        </w:rPr>
      </w:pPr>
    </w:p>
    <w:p w14:paraId="3C7AA047" w14:textId="77777777" w:rsidR="000C60D9" w:rsidRDefault="000C60D9" w:rsidP="00D74085">
      <w:pPr>
        <w:pStyle w:val="Heading2"/>
        <w:rPr>
          <w:lang w:val="en-GB"/>
        </w:rPr>
      </w:pPr>
      <w:r w:rsidRPr="000C60D9">
        <w:rPr>
          <w:lang w:val="en-GB"/>
        </w:rPr>
        <w:lastRenderedPageBreak/>
        <w:t>Supervised versus unsupervised settings</w:t>
      </w:r>
    </w:p>
    <w:p w14:paraId="296CEF7D" w14:textId="77777777" w:rsidR="00D74085" w:rsidRPr="00D74085" w:rsidRDefault="00D74085" w:rsidP="00D74085">
      <w:pPr>
        <w:rPr>
          <w:lang w:val="en-GB"/>
        </w:rPr>
      </w:pPr>
    </w:p>
    <w:p w14:paraId="4FCD63C0" w14:textId="63C294EB" w:rsidR="00906A89" w:rsidRDefault="00906A89" w:rsidP="00482F09">
      <w:pPr>
        <w:spacing w:line="360" w:lineRule="auto"/>
        <w:jc w:val="both"/>
        <w:rPr>
          <w:rFonts w:ascii="Times New Roman" w:hAnsi="Times New Roman" w:cs="Times New Roman"/>
          <w:sz w:val="24"/>
          <w:szCs w:val="24"/>
          <w:lang w:val="en-GB"/>
        </w:rPr>
      </w:pPr>
      <w:r w:rsidRPr="00906A89">
        <w:rPr>
          <w:rFonts w:ascii="Times New Roman" w:hAnsi="Times New Roman" w:cs="Times New Roman"/>
          <w:sz w:val="24"/>
          <w:szCs w:val="24"/>
          <w:lang w:val="en-GB"/>
        </w:rPr>
        <w:t xml:space="preserve">What separates </w:t>
      </w:r>
      <w:r>
        <w:rPr>
          <w:rFonts w:ascii="Times New Roman" w:hAnsi="Times New Roman" w:cs="Times New Roman"/>
          <w:sz w:val="24"/>
          <w:szCs w:val="24"/>
          <w:lang w:val="en-GB"/>
        </w:rPr>
        <w:t>radiomic studies using supervised and unsupervised clustering techniques is the failure mode that supervised learning has managed to avoid albeit partially. In supervised techniques, outcomes labels are provided and exist outside of feature space, which allows the judgment of model performance to be against  a predefined endpoint (</w:t>
      </w:r>
      <w:r w:rsidRPr="00906A89">
        <w:rPr>
          <w:rFonts w:ascii="Times New Roman" w:hAnsi="Times New Roman" w:cs="Times New Roman"/>
          <w:sz w:val="24"/>
          <w:szCs w:val="24"/>
          <w:lang w:val="en-GB"/>
        </w:rPr>
        <w:t>molecular subtype, recurrence, or treatment response</w:t>
      </w:r>
      <w:r>
        <w:rPr>
          <w:rFonts w:ascii="Times New Roman" w:hAnsi="Times New Roman" w:cs="Times New Roman"/>
          <w:sz w:val="24"/>
          <w:szCs w:val="24"/>
          <w:lang w:val="en-GB"/>
        </w:rPr>
        <w:t xml:space="preserve">), limiting the effects of technical conducing on model inference </w:t>
      </w:r>
      <w:r w:rsidRPr="00906A89">
        <w:rPr>
          <w:rFonts w:ascii="Times New Roman" w:hAnsi="Times New Roman" w:cs="Times New Roman"/>
          <w:sz w:val="24"/>
          <w:szCs w:val="24"/>
          <w:lang w:val="en-GB"/>
        </w:rPr>
        <w:t>(Parmar et al., 2015).</w:t>
      </w:r>
      <w:r>
        <w:rPr>
          <w:rFonts w:ascii="Times New Roman" w:hAnsi="Times New Roman" w:cs="Times New Roman"/>
          <w:sz w:val="24"/>
          <w:szCs w:val="24"/>
          <w:lang w:val="en-GB"/>
        </w:rPr>
        <w:t xml:space="preserve"> This has allowed supervised radiomics to advance much more rapidly towards clinical use, whereas unsupervised radiomics remains lagging </w:t>
      </w:r>
      <w:r w:rsidRPr="00906A89">
        <w:rPr>
          <w:rFonts w:ascii="Times New Roman" w:hAnsi="Times New Roman" w:cs="Times New Roman"/>
          <w:sz w:val="24"/>
          <w:szCs w:val="24"/>
          <w:lang w:val="en-GB"/>
        </w:rPr>
        <w:t>(Park et al., 2020)</w:t>
      </w:r>
      <w:r>
        <w:rPr>
          <w:rFonts w:ascii="Times New Roman" w:hAnsi="Times New Roman" w:cs="Times New Roman"/>
          <w:sz w:val="24"/>
          <w:szCs w:val="24"/>
          <w:lang w:val="en-GB"/>
        </w:rPr>
        <w:t xml:space="preserve">. This external does not exist in </w:t>
      </w:r>
      <w:r w:rsidR="00666C6C">
        <w:rPr>
          <w:rFonts w:ascii="Times New Roman" w:hAnsi="Times New Roman" w:cs="Times New Roman"/>
          <w:sz w:val="24"/>
          <w:szCs w:val="24"/>
          <w:lang w:val="en-GB"/>
        </w:rPr>
        <w:t>unsupervised</w:t>
      </w:r>
      <w:r>
        <w:rPr>
          <w:rFonts w:ascii="Times New Roman" w:hAnsi="Times New Roman" w:cs="Times New Roman"/>
          <w:sz w:val="24"/>
          <w:szCs w:val="24"/>
          <w:lang w:val="en-GB"/>
        </w:rPr>
        <w:t xml:space="preserve"> techniques, where clustering models are created based solely on the feature space that may contain </w:t>
      </w:r>
      <w:r w:rsidRPr="00906A89">
        <w:rPr>
          <w:rFonts w:ascii="Times New Roman" w:hAnsi="Times New Roman" w:cs="Times New Roman"/>
          <w:sz w:val="24"/>
          <w:szCs w:val="24"/>
          <w:lang w:val="en-GB"/>
        </w:rPr>
        <w:t>scanner, protocol, or manufacturer effects.</w:t>
      </w:r>
      <w:r>
        <w:rPr>
          <w:rFonts w:ascii="Times New Roman" w:hAnsi="Times New Roman" w:cs="Times New Roman"/>
          <w:sz w:val="24"/>
          <w:szCs w:val="24"/>
          <w:lang w:val="en-GB"/>
        </w:rPr>
        <w:t xml:space="preserve"> If technological differences in radiomic feature space is better positioned to </w:t>
      </w:r>
      <w:proofErr w:type="gramStart"/>
      <w:r>
        <w:rPr>
          <w:rFonts w:ascii="Times New Roman" w:hAnsi="Times New Roman" w:cs="Times New Roman"/>
          <w:sz w:val="24"/>
          <w:szCs w:val="24"/>
          <w:lang w:val="en-GB"/>
        </w:rPr>
        <w:t>explained</w:t>
      </w:r>
      <w:proofErr w:type="gramEnd"/>
      <w:r>
        <w:rPr>
          <w:rFonts w:ascii="Times New Roman" w:hAnsi="Times New Roman" w:cs="Times New Roman"/>
          <w:sz w:val="24"/>
          <w:szCs w:val="24"/>
          <w:lang w:val="en-GB"/>
        </w:rPr>
        <w:t xml:space="preserve"> the variance in structure, the clustering algorithms will recover these </w:t>
      </w:r>
      <w:r w:rsidRPr="00906A89">
        <w:rPr>
          <w:rFonts w:ascii="Times New Roman" w:hAnsi="Times New Roman" w:cs="Times New Roman"/>
          <w:sz w:val="24"/>
          <w:szCs w:val="24"/>
          <w:lang w:val="en-GB"/>
        </w:rPr>
        <w:t>hardware-defined partitions before they encounter tumour-defined ones.</w:t>
      </w:r>
      <w:r>
        <w:rPr>
          <w:rFonts w:ascii="Times New Roman" w:hAnsi="Times New Roman" w:cs="Times New Roman"/>
          <w:sz w:val="24"/>
          <w:szCs w:val="24"/>
          <w:lang w:val="en-GB"/>
        </w:rPr>
        <w:t xml:space="preserve"> And standard validation metrics </w:t>
      </w:r>
      <w:r w:rsidRPr="00906A89">
        <w:rPr>
          <w:rFonts w:ascii="Times New Roman" w:hAnsi="Times New Roman" w:cs="Times New Roman"/>
          <w:sz w:val="24"/>
          <w:szCs w:val="24"/>
          <w:lang w:val="en-GB"/>
        </w:rPr>
        <w:t>such as silhouette score and bootstrap stability</w:t>
      </w:r>
      <w:r>
        <w:rPr>
          <w:rFonts w:ascii="Times New Roman" w:hAnsi="Times New Roman" w:cs="Times New Roman"/>
          <w:sz w:val="24"/>
          <w:szCs w:val="24"/>
          <w:lang w:val="en-GB"/>
        </w:rPr>
        <w:t xml:space="preserve"> end up testing the </w:t>
      </w:r>
      <w:r w:rsidRPr="00906A89">
        <w:rPr>
          <w:rFonts w:ascii="Times New Roman" w:hAnsi="Times New Roman" w:cs="Times New Roman"/>
          <w:sz w:val="24"/>
          <w:szCs w:val="24"/>
          <w:lang w:val="en-GB"/>
        </w:rPr>
        <w:t>reproduc</w:t>
      </w:r>
      <w:r>
        <w:rPr>
          <w:rFonts w:ascii="Times New Roman" w:hAnsi="Times New Roman" w:cs="Times New Roman"/>
          <w:sz w:val="24"/>
          <w:szCs w:val="24"/>
          <w:lang w:val="en-GB"/>
        </w:rPr>
        <w:t xml:space="preserve">ibility of these partitions rather their biological validity </w:t>
      </w:r>
      <w:r w:rsidRPr="00906A89">
        <w:rPr>
          <w:rFonts w:ascii="Times New Roman" w:hAnsi="Times New Roman" w:cs="Times New Roman"/>
          <w:sz w:val="24"/>
          <w:szCs w:val="24"/>
          <w:lang w:val="en-GB"/>
        </w:rPr>
        <w:t>(Handl et al., 2005)</w:t>
      </w:r>
      <w:r>
        <w:rPr>
          <w:rFonts w:ascii="Times New Roman" w:hAnsi="Times New Roman" w:cs="Times New Roman"/>
          <w:sz w:val="24"/>
          <w:szCs w:val="24"/>
          <w:lang w:val="en-GB"/>
        </w:rPr>
        <w:t>, resulting in the “</w:t>
      </w:r>
      <w:r w:rsidRPr="00906A89">
        <w:rPr>
          <w:rFonts w:ascii="Times New Roman" w:hAnsi="Times New Roman" w:cs="Times New Roman"/>
          <w:sz w:val="24"/>
          <w:szCs w:val="24"/>
          <w:lang w:val="en-GB"/>
        </w:rPr>
        <w:t>stability trap</w:t>
      </w:r>
      <w:r>
        <w:rPr>
          <w:rFonts w:ascii="Times New Roman" w:hAnsi="Times New Roman" w:cs="Times New Roman"/>
          <w:sz w:val="24"/>
          <w:szCs w:val="24"/>
          <w:lang w:val="en-GB"/>
        </w:rPr>
        <w:t>”:</w:t>
      </w:r>
    </w:p>
    <w:p w14:paraId="426097AA" w14:textId="4F8081A7" w:rsidR="00906A89" w:rsidRPr="00906A89" w:rsidRDefault="00906A89" w:rsidP="00906A89">
      <w:pPr>
        <w:spacing w:line="360" w:lineRule="auto"/>
        <w:jc w:val="center"/>
        <w:rPr>
          <w:rFonts w:ascii="Times New Roman" w:hAnsi="Times New Roman" w:cs="Times New Roman"/>
          <w:i/>
          <w:iCs/>
          <w:sz w:val="24"/>
          <w:szCs w:val="24"/>
          <w:lang w:val="en-GB"/>
        </w:rPr>
      </w:pPr>
      <w:r w:rsidRPr="00906A89">
        <w:rPr>
          <w:rFonts w:ascii="Times New Roman" w:hAnsi="Times New Roman" w:cs="Times New Roman"/>
          <w:i/>
          <w:iCs/>
          <w:sz w:val="24"/>
          <w:szCs w:val="24"/>
          <w:lang w:val="en-GB"/>
        </w:rPr>
        <w:t>Mathematical reproducibility can be mistaken for biological validity.</w:t>
      </w:r>
    </w:p>
    <w:p w14:paraId="6D0CEFE8" w14:textId="1E7B8399" w:rsidR="005D69D7" w:rsidRDefault="000C60D9" w:rsidP="00D74085">
      <w:pPr>
        <w:pStyle w:val="Heading2"/>
        <w:rPr>
          <w:lang w:val="en-GB"/>
        </w:rPr>
      </w:pPr>
      <w:r w:rsidRPr="000C60D9">
        <w:rPr>
          <w:lang w:val="en-GB"/>
        </w:rPr>
        <w:t>Technical variance in radiomics</w:t>
      </w:r>
    </w:p>
    <w:p w14:paraId="1FBF24C8" w14:textId="77777777" w:rsidR="00D74085" w:rsidRPr="00D74085" w:rsidRDefault="00D74085" w:rsidP="00D74085">
      <w:pPr>
        <w:rPr>
          <w:lang w:val="en-GB"/>
        </w:rPr>
      </w:pPr>
    </w:p>
    <w:p w14:paraId="4D0B444A" w14:textId="0AEC0E0F" w:rsidR="00D12F34" w:rsidRDefault="00D12F34" w:rsidP="00A65668">
      <w:pPr>
        <w:spacing w:line="360" w:lineRule="auto"/>
        <w:jc w:val="both"/>
        <w:rPr>
          <w:rFonts w:ascii="Times New Roman" w:hAnsi="Times New Roman" w:cs="Times New Roman"/>
          <w:sz w:val="24"/>
          <w:szCs w:val="24"/>
          <w:lang w:val="en-GB"/>
        </w:rPr>
      </w:pPr>
      <w:r w:rsidRPr="00D12F34">
        <w:rPr>
          <w:rFonts w:ascii="Times New Roman" w:hAnsi="Times New Roman" w:cs="Times New Roman"/>
          <w:sz w:val="24"/>
          <w:szCs w:val="24"/>
          <w:lang w:val="en-GB"/>
        </w:rPr>
        <w:t>The</w:t>
      </w:r>
      <w:r>
        <w:rPr>
          <w:rFonts w:ascii="Times New Roman" w:hAnsi="Times New Roman" w:cs="Times New Roman"/>
          <w:sz w:val="24"/>
          <w:szCs w:val="24"/>
          <w:lang w:val="en-GB"/>
        </w:rPr>
        <w:t xml:space="preserve"> literature describing the impact of acquisition effects on radiomic features is extensive, where many features such as </w:t>
      </w:r>
      <w:r w:rsidRPr="00D12F34">
        <w:rPr>
          <w:rFonts w:ascii="Times New Roman" w:hAnsi="Times New Roman" w:cs="Times New Roman"/>
          <w:sz w:val="24"/>
          <w:szCs w:val="24"/>
          <w:lang w:val="en-GB"/>
        </w:rPr>
        <w:t>voxel size and gray-level discretization matter</w:t>
      </w:r>
      <w:r>
        <w:rPr>
          <w:rFonts w:ascii="Times New Roman" w:hAnsi="Times New Roman" w:cs="Times New Roman"/>
          <w:sz w:val="24"/>
          <w:szCs w:val="24"/>
          <w:lang w:val="en-GB"/>
        </w:rPr>
        <w:t xml:space="preserve"> become </w:t>
      </w:r>
      <w:r w:rsidRPr="00D12F34">
        <w:rPr>
          <w:rFonts w:ascii="Times New Roman" w:hAnsi="Times New Roman" w:cs="Times New Roman"/>
          <w:sz w:val="24"/>
          <w:szCs w:val="24"/>
          <w:lang w:val="en-GB"/>
        </w:rPr>
        <w:t>nonreproducible</w:t>
      </w:r>
      <w:r>
        <w:rPr>
          <w:rFonts w:ascii="Times New Roman" w:hAnsi="Times New Roman" w:cs="Times New Roman"/>
          <w:sz w:val="24"/>
          <w:szCs w:val="24"/>
          <w:lang w:val="en-GB"/>
        </w:rPr>
        <w:t xml:space="preserve"> due to </w:t>
      </w:r>
      <w:r w:rsidRPr="00D12F34">
        <w:rPr>
          <w:rFonts w:ascii="Times New Roman" w:hAnsi="Times New Roman" w:cs="Times New Roman"/>
          <w:sz w:val="24"/>
          <w:szCs w:val="24"/>
          <w:lang w:val="en-GB"/>
        </w:rPr>
        <w:t>acquisition variation</w:t>
      </w:r>
      <w:r>
        <w:rPr>
          <w:rFonts w:ascii="Times New Roman" w:hAnsi="Times New Roman" w:cs="Times New Roman"/>
          <w:sz w:val="24"/>
          <w:szCs w:val="24"/>
          <w:lang w:val="en-GB"/>
        </w:rPr>
        <w:t xml:space="preserve"> (</w:t>
      </w:r>
      <w:r w:rsidRPr="00D12F34">
        <w:rPr>
          <w:rFonts w:ascii="Times New Roman" w:hAnsi="Times New Roman" w:cs="Times New Roman"/>
          <w:sz w:val="24"/>
          <w:szCs w:val="24"/>
          <w:lang w:val="en-GB"/>
        </w:rPr>
        <w:t>Berenguer et al., 2018</w:t>
      </w:r>
      <w:r>
        <w:rPr>
          <w:rFonts w:ascii="Times New Roman" w:hAnsi="Times New Roman" w:cs="Times New Roman"/>
          <w:sz w:val="24"/>
          <w:szCs w:val="24"/>
          <w:lang w:val="en-GB"/>
        </w:rPr>
        <w:t xml:space="preserve">; </w:t>
      </w:r>
      <w:r w:rsidRPr="00D12F34">
        <w:rPr>
          <w:rFonts w:ascii="Times New Roman" w:hAnsi="Times New Roman" w:cs="Times New Roman"/>
          <w:sz w:val="24"/>
          <w:szCs w:val="24"/>
          <w:lang w:val="en-GB"/>
        </w:rPr>
        <w:t>Mackin et al., 2015</w:t>
      </w:r>
      <w:r>
        <w:rPr>
          <w:rFonts w:ascii="Times New Roman" w:hAnsi="Times New Roman" w:cs="Times New Roman"/>
          <w:sz w:val="24"/>
          <w:szCs w:val="24"/>
          <w:lang w:val="en-GB"/>
        </w:rPr>
        <w:t xml:space="preserve">; </w:t>
      </w:r>
      <w:r w:rsidRPr="00D12F34">
        <w:rPr>
          <w:rFonts w:ascii="Times New Roman" w:hAnsi="Times New Roman" w:cs="Times New Roman"/>
          <w:sz w:val="24"/>
          <w:szCs w:val="24"/>
          <w:lang w:val="en-GB"/>
        </w:rPr>
        <w:t>Duron et al., 2019</w:t>
      </w:r>
      <w:r>
        <w:rPr>
          <w:rFonts w:ascii="Times New Roman" w:hAnsi="Times New Roman" w:cs="Times New Roman"/>
          <w:sz w:val="24"/>
          <w:szCs w:val="24"/>
          <w:lang w:val="en-GB"/>
        </w:rPr>
        <w:t xml:space="preserve">; </w:t>
      </w:r>
      <w:r w:rsidRPr="00D12F34">
        <w:rPr>
          <w:rFonts w:ascii="Times New Roman" w:hAnsi="Times New Roman" w:cs="Times New Roman"/>
          <w:sz w:val="24"/>
          <w:szCs w:val="24"/>
          <w:lang w:val="en-GB"/>
        </w:rPr>
        <w:t>Leijenaar et al., 2015).</w:t>
      </w:r>
      <w:r>
        <w:rPr>
          <w:rFonts w:ascii="Times New Roman" w:hAnsi="Times New Roman" w:cs="Times New Roman"/>
          <w:sz w:val="24"/>
          <w:szCs w:val="24"/>
          <w:lang w:val="en-GB"/>
        </w:rPr>
        <w:t xml:space="preserve"> This lack of reproducibility has resulted in inability </w:t>
      </w:r>
      <w:r w:rsidRPr="00D12F34">
        <w:rPr>
          <w:rFonts w:ascii="Times New Roman" w:hAnsi="Times New Roman" w:cs="Times New Roman"/>
          <w:sz w:val="24"/>
          <w:szCs w:val="24"/>
          <w:lang w:val="en-GB"/>
        </w:rPr>
        <w:t>of radiomics</w:t>
      </w:r>
      <w:r>
        <w:rPr>
          <w:rFonts w:ascii="Times New Roman" w:hAnsi="Times New Roman" w:cs="Times New Roman"/>
          <w:sz w:val="24"/>
          <w:szCs w:val="24"/>
          <w:lang w:val="en-GB"/>
        </w:rPr>
        <w:t xml:space="preserve"> to completely transition from theorical work to the mainstream clinical workflow, although the great effort at standardizing the field </w:t>
      </w:r>
      <w:r w:rsidRPr="00D12F34">
        <w:rPr>
          <w:rFonts w:ascii="Times New Roman" w:hAnsi="Times New Roman" w:cs="Times New Roman"/>
          <w:sz w:val="24"/>
          <w:szCs w:val="24"/>
          <w:lang w:val="en-GB"/>
        </w:rPr>
        <w:t>such as the Image Biomarker Standardisation Initiative (Zwanenburg et al., 2020</w:t>
      </w:r>
      <w:r>
        <w:rPr>
          <w:rFonts w:ascii="Times New Roman" w:hAnsi="Times New Roman" w:cs="Times New Roman"/>
          <w:sz w:val="24"/>
          <w:szCs w:val="24"/>
          <w:lang w:val="en-GB"/>
        </w:rPr>
        <w:t xml:space="preserve">; </w:t>
      </w:r>
      <w:r w:rsidRPr="00D12F34">
        <w:rPr>
          <w:rFonts w:ascii="Times New Roman" w:hAnsi="Times New Roman" w:cs="Times New Roman"/>
          <w:sz w:val="24"/>
          <w:szCs w:val="24"/>
          <w:lang w:val="en-GB"/>
        </w:rPr>
        <w:t>Traverso et al., 2018).</w:t>
      </w:r>
    </w:p>
    <w:p w14:paraId="058268DB" w14:textId="4A8E6603" w:rsidR="008124AF" w:rsidRDefault="008124AF" w:rsidP="00A65668">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Adding greater challenge is the unstandardized nature of MRI imaging </w:t>
      </w:r>
      <w:r w:rsidRPr="008124AF">
        <w:rPr>
          <w:rFonts w:ascii="Times New Roman" w:hAnsi="Times New Roman" w:cs="Times New Roman"/>
          <w:sz w:val="24"/>
          <w:szCs w:val="24"/>
          <w:lang w:val="en-GB"/>
        </w:rPr>
        <w:t>(Nyúl &amp; Udupa, 1999)</w:t>
      </w:r>
      <w:r>
        <w:rPr>
          <w:rFonts w:ascii="Times New Roman" w:hAnsi="Times New Roman" w:cs="Times New Roman"/>
          <w:sz w:val="24"/>
          <w:szCs w:val="24"/>
          <w:lang w:val="en-GB"/>
        </w:rPr>
        <w:t xml:space="preserve">, where </w:t>
      </w:r>
      <w:r w:rsidRPr="008124AF">
        <w:rPr>
          <w:rFonts w:ascii="Times New Roman" w:hAnsi="Times New Roman" w:cs="Times New Roman"/>
          <w:sz w:val="24"/>
          <w:szCs w:val="24"/>
          <w:lang w:val="en-GB"/>
        </w:rPr>
        <w:t>protocols</w:t>
      </w:r>
      <w:r>
        <w:rPr>
          <w:rFonts w:ascii="Times New Roman" w:hAnsi="Times New Roman" w:cs="Times New Roman"/>
          <w:sz w:val="24"/>
          <w:szCs w:val="24"/>
          <w:lang w:val="en-GB"/>
        </w:rPr>
        <w:t xml:space="preserve">, </w:t>
      </w:r>
      <w:r w:rsidRPr="008124AF">
        <w:rPr>
          <w:rFonts w:ascii="Times New Roman" w:hAnsi="Times New Roman" w:cs="Times New Roman"/>
          <w:sz w:val="24"/>
          <w:szCs w:val="24"/>
          <w:lang w:val="en-GB"/>
        </w:rPr>
        <w:t>coils</w:t>
      </w:r>
      <w:r>
        <w:rPr>
          <w:rFonts w:ascii="Times New Roman" w:hAnsi="Times New Roman" w:cs="Times New Roman"/>
          <w:sz w:val="24"/>
          <w:szCs w:val="24"/>
          <w:lang w:val="en-GB"/>
        </w:rPr>
        <w:t xml:space="preserve"> and</w:t>
      </w:r>
      <w:r w:rsidRPr="008124AF">
        <w:rPr>
          <w:rFonts w:ascii="Times New Roman" w:hAnsi="Times New Roman" w:cs="Times New Roman"/>
          <w:sz w:val="24"/>
          <w:szCs w:val="24"/>
          <w:lang w:val="en-GB"/>
        </w:rPr>
        <w:t xml:space="preserve"> pulse sequences</w:t>
      </w:r>
      <w:r>
        <w:rPr>
          <w:rFonts w:ascii="Times New Roman" w:hAnsi="Times New Roman" w:cs="Times New Roman"/>
          <w:sz w:val="24"/>
          <w:szCs w:val="24"/>
          <w:lang w:val="en-GB"/>
        </w:rPr>
        <w:t xml:space="preserve"> tend to differ across different vendors.</w:t>
      </w:r>
      <w:r w:rsidR="00666C6C">
        <w:rPr>
          <w:rFonts w:ascii="Times New Roman" w:hAnsi="Times New Roman" w:cs="Times New Roman"/>
          <w:sz w:val="24"/>
          <w:szCs w:val="24"/>
          <w:lang w:val="en-GB"/>
        </w:rPr>
        <w:t xml:space="preserve"> </w:t>
      </w:r>
    </w:p>
    <w:p w14:paraId="185B42F7" w14:textId="42FFFEC2" w:rsidR="00666C6C" w:rsidRPr="00D12F34" w:rsidRDefault="00666C6C" w:rsidP="00A65668">
      <w:pPr>
        <w:spacing w:line="360" w:lineRule="auto"/>
        <w:jc w:val="both"/>
        <w:rPr>
          <w:rFonts w:ascii="Times New Roman" w:hAnsi="Times New Roman" w:cs="Times New Roman"/>
          <w:sz w:val="24"/>
          <w:szCs w:val="24"/>
          <w:lang w:val="en-GB"/>
        </w:rPr>
      </w:pPr>
      <w:r w:rsidRPr="00666C6C">
        <w:rPr>
          <w:rFonts w:ascii="Times New Roman" w:hAnsi="Times New Roman" w:cs="Times New Roman"/>
          <w:sz w:val="24"/>
          <w:szCs w:val="24"/>
          <w:lang w:val="en-GB"/>
        </w:rPr>
        <w:t xml:space="preserve">Perhaps the most direct proof-of-concept comes from multi-vendor breast MRI radiomics studies, which have shown that non-biological features can accurately predict the scanner platform and field strength with area-under-the-curve values ranging from 0.91 to 1.00 (Doran et al., 2021). That same study found the pipeline’s ability to predict tumour biology was only modest (AUC = 0.673 for pathological nodal status) when using radiomic features without any clinical variables. That key result illustrates that </w:t>
      </w:r>
      <w:r w:rsidRPr="00666C6C">
        <w:rPr>
          <w:rFonts w:ascii="Times New Roman" w:hAnsi="Times New Roman" w:cs="Times New Roman"/>
          <w:sz w:val="24"/>
          <w:szCs w:val="24"/>
          <w:lang w:val="en-GB"/>
        </w:rPr>
        <w:lastRenderedPageBreak/>
        <w:t>radiomic features can encode strong technical signals, and that technical structure can directly compete with tumour biology in the same feature space.</w:t>
      </w:r>
    </w:p>
    <w:p w14:paraId="2B96017A" w14:textId="77777777" w:rsidR="000C60D9" w:rsidRDefault="000C60D9" w:rsidP="00337F7F">
      <w:pPr>
        <w:pStyle w:val="Heading2"/>
        <w:rPr>
          <w:lang w:val="en-GB"/>
        </w:rPr>
      </w:pPr>
      <w:r w:rsidRPr="000C60D9">
        <w:rPr>
          <w:lang w:val="en-GB"/>
        </w:rPr>
        <w:t>Harmonization and its limits</w:t>
      </w:r>
    </w:p>
    <w:p w14:paraId="429DD35C" w14:textId="77777777" w:rsidR="00666C6C" w:rsidRPr="00666C6C" w:rsidRDefault="00666C6C" w:rsidP="00666C6C">
      <w:pPr>
        <w:rPr>
          <w:lang w:val="en-GB"/>
        </w:rPr>
      </w:pPr>
    </w:p>
    <w:p w14:paraId="1BF73A2A" w14:textId="7421EA56" w:rsidR="00666C6C" w:rsidRPr="00666C6C" w:rsidRDefault="00666C6C" w:rsidP="00666C6C">
      <w:pPr>
        <w:spacing w:line="360" w:lineRule="auto"/>
        <w:jc w:val="both"/>
        <w:rPr>
          <w:rFonts w:ascii="Times New Roman" w:hAnsi="Times New Roman" w:cs="Times New Roman"/>
          <w:sz w:val="24"/>
          <w:szCs w:val="24"/>
          <w:lang w:val="en-GB"/>
        </w:rPr>
      </w:pPr>
      <w:r w:rsidRPr="00666C6C">
        <w:rPr>
          <w:rFonts w:ascii="Times New Roman" w:hAnsi="Times New Roman" w:cs="Times New Roman"/>
          <w:sz w:val="24"/>
          <w:szCs w:val="24"/>
          <w:lang w:val="en-GB"/>
        </w:rPr>
        <w:t>Feature-level harmonization is the current solution to unwanted scanner or site effects. Developed initially for batch-effects in gene-expression data, ComBat was later extended to neuroimaging and radiomics with the goal of removing scanner, site, and protocol effects while retaining biological information</w:t>
      </w:r>
      <w:r>
        <w:rPr>
          <w:rFonts w:ascii="Times New Roman" w:hAnsi="Times New Roman" w:cs="Times New Roman"/>
          <w:sz w:val="24"/>
          <w:szCs w:val="24"/>
          <w:lang w:val="en-GB"/>
        </w:rPr>
        <w:t xml:space="preserve"> </w:t>
      </w:r>
      <w:r w:rsidRPr="00666C6C">
        <w:rPr>
          <w:rFonts w:ascii="Times New Roman" w:hAnsi="Times New Roman" w:cs="Times New Roman"/>
          <w:sz w:val="24"/>
          <w:szCs w:val="24"/>
          <w:lang w:val="en-GB"/>
        </w:rPr>
        <w:t>(Johnson et al., 2007</w:t>
      </w:r>
      <w:r>
        <w:rPr>
          <w:rFonts w:ascii="Times New Roman" w:hAnsi="Times New Roman" w:cs="Times New Roman"/>
          <w:sz w:val="24"/>
          <w:szCs w:val="24"/>
          <w:lang w:val="en-GB"/>
        </w:rPr>
        <w:t xml:space="preserve">; </w:t>
      </w:r>
      <w:r w:rsidRPr="00666C6C">
        <w:rPr>
          <w:rFonts w:ascii="Times New Roman" w:hAnsi="Times New Roman" w:cs="Times New Roman"/>
          <w:sz w:val="24"/>
          <w:szCs w:val="24"/>
          <w:lang w:val="en-GB"/>
        </w:rPr>
        <w:t xml:space="preserve">Fortin et al 2018). In radiomics, ComBat and variants have been used almost exclusively to improve cross-site comparability of radiomic features or the transportability of supervised models built on those features </w:t>
      </w:r>
      <w:r>
        <w:rPr>
          <w:rFonts w:ascii="Times New Roman" w:hAnsi="Times New Roman" w:cs="Times New Roman"/>
          <w:sz w:val="24"/>
          <w:szCs w:val="24"/>
          <w:lang w:val="en-GB"/>
        </w:rPr>
        <w:t>(</w:t>
      </w:r>
      <w:r w:rsidRPr="00666C6C">
        <w:rPr>
          <w:rFonts w:ascii="Times New Roman" w:hAnsi="Times New Roman" w:cs="Times New Roman"/>
          <w:sz w:val="24"/>
          <w:szCs w:val="24"/>
          <w:lang w:val="en-GB"/>
        </w:rPr>
        <w:t>Leithner et al 2022). Harmonization has been shown to reduce batch effects and improve performance in PET radiomics studies, MRI radiomics studies, and multi-centre datasets (Da-Ano et al., 2020).</w:t>
      </w:r>
    </w:p>
    <w:p w14:paraId="767F3106" w14:textId="77777777" w:rsidR="00666C6C" w:rsidRPr="00666C6C" w:rsidRDefault="00666C6C" w:rsidP="00666C6C">
      <w:pPr>
        <w:spacing w:line="360" w:lineRule="auto"/>
        <w:jc w:val="both"/>
        <w:rPr>
          <w:rFonts w:ascii="Times New Roman" w:hAnsi="Times New Roman" w:cs="Times New Roman"/>
          <w:sz w:val="24"/>
          <w:szCs w:val="24"/>
          <w:lang w:val="en-GB"/>
        </w:rPr>
      </w:pPr>
    </w:p>
    <w:p w14:paraId="377D8A4D" w14:textId="60AA035E" w:rsidR="00666C6C" w:rsidRPr="00666C6C" w:rsidRDefault="00666C6C" w:rsidP="00666C6C">
      <w:pPr>
        <w:spacing w:line="360" w:lineRule="auto"/>
        <w:jc w:val="both"/>
        <w:rPr>
          <w:rFonts w:ascii="Times New Roman" w:hAnsi="Times New Roman" w:cs="Times New Roman"/>
          <w:sz w:val="24"/>
          <w:szCs w:val="24"/>
          <w:lang w:val="en-GB"/>
        </w:rPr>
      </w:pPr>
      <w:r w:rsidRPr="00666C6C">
        <w:rPr>
          <w:rFonts w:ascii="Times New Roman" w:hAnsi="Times New Roman" w:cs="Times New Roman"/>
          <w:sz w:val="24"/>
          <w:szCs w:val="24"/>
          <w:lang w:val="en-GB"/>
        </w:rPr>
        <w:t>However, existing evaluations of ComBat harmonization assume that the biomedical endpoint matters. That is fine for supervised prediction, but it does not match the logic of unsupervised phenotypes. For phenotype discovery, the key question is what happens to the patient partition after harmonization. If the cluster reflects manufacturer-related variance more than tumour biology, then ComBat may leave the mathematical stability intact while substituting a different partition that also passes validation checks. Standard validation metrics would not alert the investigator because the mathematical properties of the cluster haven’t changed, even though the biological meaning of the phenotype might have</w:t>
      </w:r>
      <w:r>
        <w:rPr>
          <w:rFonts w:ascii="Times New Roman" w:hAnsi="Times New Roman" w:cs="Times New Roman"/>
          <w:sz w:val="24"/>
          <w:szCs w:val="24"/>
          <w:lang w:val="en-GB"/>
        </w:rPr>
        <w:t xml:space="preserve"> (</w:t>
      </w:r>
      <w:r w:rsidRPr="00666C6C">
        <w:rPr>
          <w:rFonts w:ascii="Times New Roman" w:hAnsi="Times New Roman" w:cs="Times New Roman"/>
          <w:sz w:val="24"/>
          <w:szCs w:val="24"/>
          <w:lang w:val="en-GB"/>
        </w:rPr>
        <w:t>Lozano et al. 2024</w:t>
      </w:r>
      <w:r>
        <w:rPr>
          <w:rFonts w:ascii="Times New Roman" w:hAnsi="Times New Roman" w:cs="Times New Roman"/>
          <w:sz w:val="24"/>
          <w:szCs w:val="24"/>
          <w:lang w:val="en-GB"/>
        </w:rPr>
        <w:t>)</w:t>
      </w:r>
      <w:r w:rsidRPr="00666C6C">
        <w:rPr>
          <w:rFonts w:ascii="Times New Roman" w:hAnsi="Times New Roman" w:cs="Times New Roman"/>
          <w:sz w:val="24"/>
          <w:szCs w:val="24"/>
          <w:lang w:val="en-GB"/>
        </w:rPr>
        <w:t>.</w:t>
      </w:r>
    </w:p>
    <w:p w14:paraId="00A60072" w14:textId="77777777" w:rsidR="000C60D9" w:rsidRPr="000C60D9" w:rsidRDefault="000C60D9" w:rsidP="00337F7F">
      <w:pPr>
        <w:pStyle w:val="Heading2"/>
        <w:rPr>
          <w:lang w:val="en-GB"/>
        </w:rPr>
      </w:pPr>
      <w:r w:rsidRPr="000C60D9">
        <w:rPr>
          <w:lang w:val="en-GB"/>
        </w:rPr>
        <w:t>The validation gap</w:t>
      </w:r>
    </w:p>
    <w:p w14:paraId="62A01C5E" w14:textId="77777777" w:rsidR="00666C6C" w:rsidRDefault="00666C6C" w:rsidP="00427D42">
      <w:pPr>
        <w:spacing w:line="360" w:lineRule="auto"/>
        <w:jc w:val="both"/>
        <w:rPr>
          <w:rFonts w:ascii="Times New Roman" w:hAnsi="Times New Roman" w:cs="Times New Roman"/>
          <w:sz w:val="24"/>
          <w:szCs w:val="24"/>
          <w:highlight w:val="yellow"/>
          <w:lang w:val="en-GB"/>
        </w:rPr>
      </w:pPr>
    </w:p>
    <w:p w14:paraId="7CEE5E09" w14:textId="335D7355" w:rsidR="00666C6C" w:rsidRDefault="00666C6C" w:rsidP="001F3E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It is wildly accepted that for prediction modelling, performance and internal validity is not enough but rather claims should be required to go through robustness checks, stress tests and external validation for generalizability to be accepted </w:t>
      </w:r>
      <w:r w:rsidRPr="00666C6C">
        <w:rPr>
          <w:rFonts w:ascii="Times New Roman" w:hAnsi="Times New Roman" w:cs="Times New Roman"/>
          <w:sz w:val="24"/>
          <w:szCs w:val="24"/>
          <w:lang w:val="en-GB"/>
        </w:rPr>
        <w:t>(Collins et al., 2015).</w:t>
      </w:r>
      <w:r>
        <w:rPr>
          <w:rFonts w:ascii="Times New Roman" w:hAnsi="Times New Roman" w:cs="Times New Roman"/>
          <w:sz w:val="24"/>
          <w:szCs w:val="24"/>
          <w:lang w:val="en-GB"/>
        </w:rPr>
        <w:t xml:space="preserve"> In this context, any claim of phenotype discovery should be exposed to tests that aim to disprove </w:t>
      </w:r>
      <w:r w:rsidRPr="00666C6C">
        <w:rPr>
          <w:rFonts w:ascii="Times New Roman" w:hAnsi="Times New Roman" w:cs="Times New Roman"/>
          <w:sz w:val="24"/>
          <w:szCs w:val="24"/>
          <w:lang w:val="en-GB"/>
        </w:rPr>
        <w:t>biological interpretation</w:t>
      </w:r>
      <w:r>
        <w:rPr>
          <w:rFonts w:ascii="Times New Roman" w:hAnsi="Times New Roman" w:cs="Times New Roman"/>
          <w:sz w:val="24"/>
          <w:szCs w:val="24"/>
          <w:lang w:val="en-GB"/>
        </w:rPr>
        <w:t>s.</w:t>
      </w:r>
      <w:r w:rsidR="001F3E06">
        <w:rPr>
          <w:rFonts w:ascii="Times New Roman" w:hAnsi="Times New Roman" w:cs="Times New Roman"/>
          <w:sz w:val="24"/>
          <w:szCs w:val="24"/>
          <w:lang w:val="en-GB"/>
        </w:rPr>
        <w:t xml:space="preserve"> As such this study aims to define </w:t>
      </w:r>
      <w:r w:rsidR="001F3E06" w:rsidRPr="001F3E06">
        <w:rPr>
          <w:rFonts w:ascii="Times New Roman" w:hAnsi="Times New Roman" w:cs="Times New Roman"/>
          <w:sz w:val="24"/>
          <w:szCs w:val="24"/>
          <w:lang w:val="en-GB"/>
        </w:rPr>
        <w:t>an acquisition-aware falsification chain for unsupervised radiomic phenotypes</w:t>
      </w:r>
      <w:r w:rsidR="001F3E06">
        <w:rPr>
          <w:rFonts w:ascii="Times New Roman" w:hAnsi="Times New Roman" w:cs="Times New Roman"/>
          <w:sz w:val="24"/>
          <w:szCs w:val="24"/>
          <w:lang w:val="en-GB"/>
        </w:rPr>
        <w:t xml:space="preserve"> were the main question is not </w:t>
      </w:r>
      <w:r w:rsidR="001F3E06" w:rsidRPr="001F3E06">
        <w:rPr>
          <w:rFonts w:ascii="Times New Roman" w:hAnsi="Times New Roman" w:cs="Times New Roman"/>
          <w:sz w:val="24"/>
          <w:szCs w:val="24"/>
          <w:lang w:val="en-GB"/>
        </w:rPr>
        <w:t>whether a reproducible cluster exists, but whether the same biological claim can survive when technical sources of variance are explicitly tested</w:t>
      </w:r>
      <w:r w:rsidR="001F3E06">
        <w:rPr>
          <w:rFonts w:ascii="Times New Roman" w:hAnsi="Times New Roman" w:cs="Times New Roman"/>
          <w:sz w:val="24"/>
          <w:szCs w:val="24"/>
          <w:lang w:val="en-GB"/>
        </w:rPr>
        <w:t xml:space="preserve">. This will require practitioners to ask whether </w:t>
      </w:r>
      <w:r w:rsidR="001F3E06" w:rsidRPr="001F3E06">
        <w:rPr>
          <w:rFonts w:ascii="Times New Roman" w:hAnsi="Times New Roman" w:cs="Times New Roman"/>
          <w:sz w:val="24"/>
          <w:szCs w:val="24"/>
          <w:lang w:val="en-GB"/>
        </w:rPr>
        <w:t>cluster</w:t>
      </w:r>
      <w:r w:rsidR="001F3E06">
        <w:rPr>
          <w:rFonts w:ascii="Times New Roman" w:hAnsi="Times New Roman" w:cs="Times New Roman"/>
          <w:sz w:val="24"/>
          <w:szCs w:val="24"/>
          <w:lang w:val="en-GB"/>
        </w:rPr>
        <w:t>s</w:t>
      </w:r>
      <w:r w:rsidR="001F3E06" w:rsidRPr="001F3E06">
        <w:rPr>
          <w:rFonts w:ascii="Times New Roman" w:hAnsi="Times New Roman" w:cs="Times New Roman"/>
          <w:sz w:val="24"/>
          <w:szCs w:val="24"/>
          <w:lang w:val="en-GB"/>
        </w:rPr>
        <w:t xml:space="preserve"> map more strongly to manufacturer than molecular subtyp</w:t>
      </w:r>
      <w:r w:rsidR="001F3E06">
        <w:rPr>
          <w:rFonts w:ascii="Times New Roman" w:hAnsi="Times New Roman" w:cs="Times New Roman"/>
          <w:sz w:val="24"/>
          <w:szCs w:val="24"/>
          <w:lang w:val="en-GB"/>
        </w:rPr>
        <w:t xml:space="preserve">es? Whether the main principle components are dominated by </w:t>
      </w:r>
      <w:r w:rsidR="001F3E06" w:rsidRPr="001F3E06">
        <w:rPr>
          <w:rFonts w:ascii="Times New Roman" w:hAnsi="Times New Roman" w:cs="Times New Roman"/>
          <w:sz w:val="24"/>
          <w:szCs w:val="24"/>
          <w:lang w:val="en-GB"/>
        </w:rPr>
        <w:t>acquisition variables</w:t>
      </w:r>
      <w:r w:rsidR="001F3E06">
        <w:rPr>
          <w:rFonts w:ascii="Times New Roman" w:hAnsi="Times New Roman" w:cs="Times New Roman"/>
          <w:sz w:val="24"/>
          <w:szCs w:val="24"/>
          <w:lang w:val="en-GB"/>
        </w:rPr>
        <w:t xml:space="preserve">? Whether cluster identity or prognostic relevance survive </w:t>
      </w:r>
      <w:r w:rsidR="001F3E06" w:rsidRPr="001F3E06">
        <w:rPr>
          <w:rFonts w:ascii="Times New Roman" w:hAnsi="Times New Roman" w:cs="Times New Roman"/>
          <w:sz w:val="24"/>
          <w:szCs w:val="24"/>
          <w:lang w:val="en-GB"/>
        </w:rPr>
        <w:lastRenderedPageBreak/>
        <w:t>residualization and ComBat</w:t>
      </w:r>
      <w:r w:rsidR="001F3E06">
        <w:rPr>
          <w:rFonts w:ascii="Times New Roman" w:hAnsi="Times New Roman" w:cs="Times New Roman"/>
          <w:sz w:val="24"/>
          <w:szCs w:val="24"/>
          <w:lang w:val="en-GB"/>
        </w:rPr>
        <w:t xml:space="preserve">? Whether the stress tested clusters still meet </w:t>
      </w:r>
      <w:r w:rsidR="001F3E06" w:rsidRPr="001F3E06">
        <w:rPr>
          <w:rFonts w:ascii="Times New Roman" w:hAnsi="Times New Roman" w:cs="Times New Roman"/>
          <w:sz w:val="24"/>
          <w:szCs w:val="24"/>
          <w:lang w:val="en-GB"/>
        </w:rPr>
        <w:t>minimum biomarker criteria (Lu et al., 2021).</w:t>
      </w:r>
    </w:p>
    <w:p w14:paraId="618B9C50" w14:textId="57468189" w:rsidR="001F3E06" w:rsidRPr="00666C6C" w:rsidRDefault="001F3E06" w:rsidP="001F3E06">
      <w:pPr>
        <w:spacing w:line="360" w:lineRule="auto"/>
        <w:jc w:val="both"/>
        <w:rPr>
          <w:rFonts w:ascii="Times New Roman" w:hAnsi="Times New Roman" w:cs="Times New Roman"/>
          <w:sz w:val="24"/>
          <w:szCs w:val="24"/>
          <w:lang w:val="en-GB"/>
        </w:rPr>
      </w:pPr>
      <w:r w:rsidRPr="001F3E06">
        <w:rPr>
          <w:rFonts w:ascii="Times New Roman" w:hAnsi="Times New Roman" w:cs="Times New Roman"/>
          <w:sz w:val="24"/>
          <w:szCs w:val="24"/>
          <w:lang w:val="en-GB"/>
        </w:rPr>
        <w:t xml:space="preserve">The contribution of the present paper is therefore methodological rather than biomarker-driven. It does not argue that unsupervised radiomic discovery is invalid in general. Instead, it argues that cluster stability is not equivalent to biological validity, especially in multi-vendor </w:t>
      </w:r>
      <w:r>
        <w:rPr>
          <w:rFonts w:ascii="Times New Roman" w:hAnsi="Times New Roman" w:cs="Times New Roman"/>
          <w:sz w:val="24"/>
          <w:szCs w:val="24"/>
          <w:lang w:val="en-GB"/>
        </w:rPr>
        <w:t>datasets</w:t>
      </w:r>
      <w:r w:rsidRPr="001F3E06">
        <w:rPr>
          <w:rFonts w:ascii="Times New Roman" w:hAnsi="Times New Roman" w:cs="Times New Roman"/>
          <w:sz w:val="24"/>
          <w:szCs w:val="24"/>
          <w:lang w:val="en-GB"/>
        </w:rPr>
        <w:t xml:space="preserve">. A phenotype may be internally stable, visually interpretable, and apparently prognostic while still being dominated by </w:t>
      </w:r>
      <w:r>
        <w:rPr>
          <w:rFonts w:ascii="Times New Roman" w:hAnsi="Times New Roman" w:cs="Times New Roman"/>
          <w:sz w:val="24"/>
          <w:szCs w:val="24"/>
          <w:lang w:val="en-GB"/>
        </w:rPr>
        <w:t>technical</w:t>
      </w:r>
      <w:r w:rsidRPr="001F3E06">
        <w:rPr>
          <w:rFonts w:ascii="Times New Roman" w:hAnsi="Times New Roman" w:cs="Times New Roman"/>
          <w:sz w:val="24"/>
          <w:szCs w:val="24"/>
          <w:lang w:val="en-GB"/>
        </w:rPr>
        <w:t xml:space="preserve"> variance.</w:t>
      </w:r>
      <w:r>
        <w:rPr>
          <w:rFonts w:ascii="Times New Roman" w:hAnsi="Times New Roman" w:cs="Times New Roman"/>
          <w:sz w:val="24"/>
          <w:szCs w:val="24"/>
          <w:lang w:val="en-GB"/>
        </w:rPr>
        <w:t xml:space="preserve"> While the literature has already established that feature space can be dominated by acquisition techniques, and that this can be mitigated through </w:t>
      </w:r>
      <w:r w:rsidRPr="001F3E06">
        <w:rPr>
          <w:rFonts w:ascii="Times New Roman" w:hAnsi="Times New Roman" w:cs="Times New Roman"/>
          <w:sz w:val="24"/>
          <w:szCs w:val="24"/>
          <w:lang w:val="en-GB"/>
        </w:rPr>
        <w:t>harmonization literature</w:t>
      </w:r>
      <w:r>
        <w:rPr>
          <w:rFonts w:ascii="Times New Roman" w:hAnsi="Times New Roman" w:cs="Times New Roman"/>
          <w:sz w:val="24"/>
          <w:szCs w:val="24"/>
          <w:lang w:val="en-GB"/>
        </w:rPr>
        <w:t xml:space="preserve"> </w:t>
      </w:r>
      <w:r w:rsidRPr="001F3E06">
        <w:rPr>
          <w:rFonts w:ascii="Times New Roman" w:hAnsi="Times New Roman" w:cs="Times New Roman"/>
          <w:sz w:val="24"/>
          <w:szCs w:val="24"/>
          <w:lang w:val="en-GB"/>
        </w:rPr>
        <w:t>(Yamamoto et al., 2012</w:t>
      </w:r>
      <w:r>
        <w:rPr>
          <w:rFonts w:ascii="Times New Roman" w:hAnsi="Times New Roman" w:cs="Times New Roman"/>
          <w:sz w:val="24"/>
          <w:szCs w:val="24"/>
          <w:lang w:val="en-GB"/>
        </w:rPr>
        <w:t xml:space="preserve">; </w:t>
      </w:r>
      <w:r w:rsidRPr="001F3E06">
        <w:rPr>
          <w:rFonts w:ascii="Times New Roman" w:hAnsi="Times New Roman" w:cs="Times New Roman"/>
          <w:sz w:val="24"/>
          <w:szCs w:val="24"/>
          <w:lang w:val="en-GB"/>
        </w:rPr>
        <w:t>Traverso et al., 2018</w:t>
      </w:r>
      <w:r>
        <w:rPr>
          <w:rFonts w:ascii="Times New Roman" w:hAnsi="Times New Roman" w:cs="Times New Roman"/>
          <w:sz w:val="24"/>
          <w:szCs w:val="24"/>
          <w:lang w:val="en-GB"/>
        </w:rPr>
        <w:t xml:space="preserve">; </w:t>
      </w:r>
      <w:r w:rsidRPr="001F3E06">
        <w:rPr>
          <w:rFonts w:ascii="Times New Roman" w:hAnsi="Times New Roman" w:cs="Times New Roman"/>
          <w:sz w:val="24"/>
          <w:szCs w:val="24"/>
          <w:lang w:val="en-GB"/>
        </w:rPr>
        <w:t>Da-Ano et al., 2020)</w:t>
      </w:r>
      <w:r>
        <w:rPr>
          <w:rFonts w:ascii="Times New Roman" w:hAnsi="Times New Roman" w:cs="Times New Roman"/>
          <w:sz w:val="24"/>
          <w:szCs w:val="24"/>
          <w:lang w:val="en-GB"/>
        </w:rPr>
        <w:t>, what is still missing is</w:t>
      </w:r>
      <w:r w:rsidR="007B569F">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standardized end to end falsification pipeline to test</w:t>
      </w:r>
      <w:r w:rsidRPr="001F3E06">
        <w:rPr>
          <w:rFonts w:ascii="Times New Roman" w:hAnsi="Times New Roman" w:cs="Times New Roman"/>
          <w:sz w:val="24"/>
          <w:szCs w:val="24"/>
          <w:lang w:val="en-GB"/>
        </w:rPr>
        <w:t xml:space="preserve"> whether a stable unsupervised cluster retains its identity and biological interpretation after known acquisition effects are adjusted for.</w:t>
      </w:r>
    </w:p>
    <w:p w14:paraId="623F5988" w14:textId="77777777" w:rsidR="000C60D9" w:rsidRDefault="000C60D9" w:rsidP="000C60D9"/>
    <w:p w14:paraId="21BA9218" w14:textId="77777777" w:rsidR="00B9717E" w:rsidRDefault="00B9717E" w:rsidP="000C60D9"/>
    <w:p w14:paraId="05A50A46" w14:textId="77777777" w:rsidR="00B9717E" w:rsidRDefault="00B9717E" w:rsidP="000C60D9"/>
    <w:p w14:paraId="23452257" w14:textId="77777777" w:rsidR="00B9717E" w:rsidRDefault="00B9717E" w:rsidP="000C60D9"/>
    <w:p w14:paraId="61155890" w14:textId="77777777" w:rsidR="00B9717E" w:rsidRDefault="00B9717E" w:rsidP="000C60D9"/>
    <w:p w14:paraId="3A266F5D" w14:textId="77777777" w:rsidR="00B9717E" w:rsidRDefault="00B9717E" w:rsidP="000C60D9"/>
    <w:p w14:paraId="432FC1D4" w14:textId="77777777" w:rsidR="00B9717E" w:rsidRDefault="00B9717E" w:rsidP="000C60D9"/>
    <w:p w14:paraId="1A42D8B3" w14:textId="77777777" w:rsidR="00B9717E" w:rsidRDefault="00B9717E" w:rsidP="000C60D9"/>
    <w:p w14:paraId="786454BC" w14:textId="77777777" w:rsidR="00B9717E" w:rsidRDefault="00B9717E" w:rsidP="000C60D9"/>
    <w:p w14:paraId="5446C6CD" w14:textId="77777777" w:rsidR="00B9717E" w:rsidRDefault="00B9717E" w:rsidP="000C60D9"/>
    <w:p w14:paraId="15F9B585" w14:textId="77777777" w:rsidR="00B9717E" w:rsidRDefault="00B9717E" w:rsidP="000C60D9"/>
    <w:p w14:paraId="73CA00DB" w14:textId="77777777" w:rsidR="00B9717E" w:rsidRDefault="00B9717E" w:rsidP="000C60D9"/>
    <w:p w14:paraId="5274E2C3" w14:textId="77777777" w:rsidR="00B9717E" w:rsidRDefault="00B9717E" w:rsidP="000C60D9"/>
    <w:p w14:paraId="564EAADD" w14:textId="77777777" w:rsidR="00972A77" w:rsidRDefault="00972A77" w:rsidP="000C60D9"/>
    <w:p w14:paraId="7BF6C27E" w14:textId="77777777" w:rsidR="00972A77" w:rsidRDefault="00972A77" w:rsidP="000C60D9"/>
    <w:p w14:paraId="6D6DE24C" w14:textId="77777777" w:rsidR="00972A77" w:rsidRDefault="00972A77" w:rsidP="000C60D9"/>
    <w:p w14:paraId="383CA485" w14:textId="77777777" w:rsidR="00972A77" w:rsidRDefault="00972A77" w:rsidP="000C60D9"/>
    <w:p w14:paraId="18CD0534" w14:textId="77777777" w:rsidR="00972A77" w:rsidRDefault="00972A77" w:rsidP="000C60D9"/>
    <w:p w14:paraId="0D26F81C" w14:textId="77777777" w:rsidR="00972A77" w:rsidRDefault="00972A77" w:rsidP="000C60D9"/>
    <w:p w14:paraId="116DCCB3" w14:textId="77777777" w:rsidR="00972A77" w:rsidRDefault="00972A77" w:rsidP="000C60D9"/>
    <w:p w14:paraId="477EF410" w14:textId="77777777" w:rsidR="00972A77" w:rsidRDefault="00972A77" w:rsidP="000C60D9"/>
    <w:p w14:paraId="1D0EE181" w14:textId="77777777" w:rsidR="00972A77" w:rsidRDefault="00972A77" w:rsidP="000C60D9"/>
    <w:p w14:paraId="65928B6D" w14:textId="77777777" w:rsidR="00972A77" w:rsidRDefault="00972A77" w:rsidP="000C60D9"/>
    <w:p w14:paraId="60A66AC4" w14:textId="77777777" w:rsidR="00B9717E" w:rsidRPr="000C60D9" w:rsidRDefault="00B9717E" w:rsidP="000C60D9"/>
    <w:p w14:paraId="7A6F5966" w14:textId="41FBC969" w:rsidR="00084114" w:rsidRPr="00972A77" w:rsidRDefault="00000000" w:rsidP="00972A77">
      <w:pPr>
        <w:pStyle w:val="Heading1"/>
      </w:pPr>
      <w:r>
        <w:lastRenderedPageBreak/>
        <w:t>3. Materials and Methods</w:t>
      </w:r>
    </w:p>
    <w:p w14:paraId="48676110" w14:textId="3F1CB4DE" w:rsidR="007B569F" w:rsidRDefault="00000000" w:rsidP="00EE6786">
      <w:pPr>
        <w:pStyle w:val="Heading2"/>
      </w:pPr>
      <w:r>
        <w:t xml:space="preserve">3.1 </w:t>
      </w:r>
      <w:r w:rsidR="007B569F">
        <w:t>Data</w:t>
      </w:r>
    </w:p>
    <w:p w14:paraId="4731C35C" w14:textId="2C428BB6" w:rsidR="005536E1" w:rsidRPr="00EE6786" w:rsidRDefault="00AD0AAB" w:rsidP="00EE6786">
      <w:pPr>
        <w:spacing w:line="360" w:lineRule="auto"/>
        <w:jc w:val="both"/>
        <w:rPr>
          <w:rFonts w:ascii="Times New Roman" w:hAnsi="Times New Roman" w:cs="Times New Roman"/>
          <w:sz w:val="24"/>
          <w:szCs w:val="24"/>
        </w:rPr>
      </w:pPr>
      <w:proofErr w:type="gramStart"/>
      <w:r w:rsidRPr="00EE6786">
        <w:rPr>
          <w:rFonts w:ascii="Times New Roman" w:hAnsi="Times New Roman" w:cs="Times New Roman"/>
          <w:sz w:val="24"/>
          <w:szCs w:val="24"/>
        </w:rPr>
        <w:t>For the purpose of</w:t>
      </w:r>
      <w:proofErr w:type="gramEnd"/>
      <w:r w:rsidRPr="00EE6786">
        <w:rPr>
          <w:rFonts w:ascii="Times New Roman" w:hAnsi="Times New Roman" w:cs="Times New Roman"/>
          <w:sz w:val="24"/>
          <w:szCs w:val="24"/>
        </w:rPr>
        <w:t xml:space="preserve"> our </w:t>
      </w:r>
      <w:r w:rsidR="00000000" w:rsidRPr="00EE6786">
        <w:rPr>
          <w:rFonts w:ascii="Times New Roman" w:hAnsi="Times New Roman" w:cs="Times New Roman"/>
          <w:sz w:val="24"/>
          <w:szCs w:val="24"/>
        </w:rPr>
        <w:t>analysis</w:t>
      </w:r>
      <w:r w:rsidRPr="00EE6786">
        <w:rPr>
          <w:rFonts w:ascii="Times New Roman" w:hAnsi="Times New Roman" w:cs="Times New Roman"/>
          <w:sz w:val="24"/>
          <w:szCs w:val="24"/>
        </w:rPr>
        <w:t xml:space="preserve">, we make use of a </w:t>
      </w:r>
      <w:r w:rsidR="00000000" w:rsidRPr="00EE6786">
        <w:rPr>
          <w:rFonts w:ascii="Times New Roman" w:hAnsi="Times New Roman" w:cs="Times New Roman"/>
          <w:sz w:val="24"/>
          <w:szCs w:val="24"/>
        </w:rPr>
        <w:t>922-patient breast MRI</w:t>
      </w:r>
      <w:r w:rsidRPr="00EE6786">
        <w:rPr>
          <w:rFonts w:ascii="Times New Roman" w:hAnsi="Times New Roman" w:cs="Times New Roman"/>
          <w:sz w:val="24"/>
          <w:szCs w:val="24"/>
        </w:rPr>
        <w:t xml:space="preserve"> dataset</w:t>
      </w:r>
      <w:r w:rsidR="00000000" w:rsidRPr="00EE6786">
        <w:rPr>
          <w:rFonts w:ascii="Times New Roman" w:hAnsi="Times New Roman" w:cs="Times New Roman"/>
          <w:sz w:val="24"/>
          <w:szCs w:val="24"/>
        </w:rPr>
        <w:t xml:space="preserve"> with 529 quantitative MRI-derived radiomic features</w:t>
      </w:r>
      <w:r w:rsidR="005536E1" w:rsidRPr="00EE6786">
        <w:rPr>
          <w:rFonts w:ascii="Times New Roman" w:hAnsi="Times New Roman" w:cs="Times New Roman"/>
          <w:sz w:val="24"/>
          <w:szCs w:val="24"/>
        </w:rPr>
        <w:t xml:space="preserve"> (Saha et. </w:t>
      </w:r>
      <w:proofErr w:type="gramStart"/>
      <w:r w:rsidR="005536E1" w:rsidRPr="00EE6786">
        <w:rPr>
          <w:rFonts w:ascii="Times New Roman" w:hAnsi="Times New Roman" w:cs="Times New Roman"/>
          <w:sz w:val="24"/>
          <w:szCs w:val="24"/>
        </w:rPr>
        <w:t>al</w:t>
      </w:r>
      <w:proofErr w:type="gramEnd"/>
      <w:r w:rsidR="005536E1" w:rsidRPr="00EE6786">
        <w:rPr>
          <w:rFonts w:ascii="Times New Roman" w:hAnsi="Times New Roman" w:cs="Times New Roman"/>
          <w:sz w:val="24"/>
          <w:szCs w:val="24"/>
        </w:rPr>
        <w:t xml:space="preserve"> 2021)</w:t>
      </w:r>
      <w:r w:rsidR="00000000" w:rsidRPr="00EE6786">
        <w:rPr>
          <w:rFonts w:ascii="Times New Roman" w:hAnsi="Times New Roman" w:cs="Times New Roman"/>
          <w:sz w:val="24"/>
          <w:szCs w:val="24"/>
        </w:rPr>
        <w:t xml:space="preserve">. </w:t>
      </w:r>
      <w:r w:rsidR="005536E1" w:rsidRPr="00EE6786">
        <w:rPr>
          <w:rFonts w:ascii="Times New Roman" w:hAnsi="Times New Roman" w:cs="Times New Roman"/>
          <w:sz w:val="24"/>
          <w:szCs w:val="24"/>
        </w:rPr>
        <w:t xml:space="preserve">We </w:t>
      </w:r>
      <w:r w:rsidR="005536E1" w:rsidRPr="00EE6786">
        <w:rPr>
          <w:rFonts w:ascii="Times New Roman" w:hAnsi="Times New Roman" w:cs="Times New Roman"/>
          <w:sz w:val="24"/>
          <w:szCs w:val="24"/>
        </w:rPr>
        <w:t>retained variables with &lt;5% missingness and ≥ 2 unique values</w:t>
      </w:r>
      <w:r w:rsidR="00000000" w:rsidRPr="00EE6786">
        <w:rPr>
          <w:rFonts w:ascii="Times New Roman" w:hAnsi="Times New Roman" w:cs="Times New Roman"/>
          <w:sz w:val="24"/>
          <w:szCs w:val="24"/>
        </w:rPr>
        <w:t>.</w:t>
      </w:r>
      <w:r w:rsidR="005536E1" w:rsidRPr="00EE6786">
        <w:rPr>
          <w:rFonts w:ascii="Times New Roman" w:hAnsi="Times New Roman" w:cs="Times New Roman"/>
          <w:sz w:val="24"/>
          <w:szCs w:val="24"/>
        </w:rPr>
        <w:t xml:space="preserve"> </w:t>
      </w:r>
      <w:r w:rsidR="005536E1" w:rsidRPr="00EE6786">
        <w:rPr>
          <w:rFonts w:ascii="Times New Roman" w:hAnsi="Times New Roman" w:cs="Times New Roman"/>
          <w:sz w:val="24"/>
          <w:szCs w:val="24"/>
        </w:rPr>
        <w:t>Under these criteria, no features were removed</w:t>
      </w:r>
      <w:r w:rsidR="00EE6786">
        <w:rPr>
          <w:rFonts w:ascii="Times New Roman" w:hAnsi="Times New Roman" w:cs="Times New Roman"/>
          <w:sz w:val="24"/>
          <w:szCs w:val="24"/>
        </w:rPr>
        <w:t>. M</w:t>
      </w:r>
      <w:r w:rsidR="005536E1" w:rsidRPr="00EE6786">
        <w:rPr>
          <w:rFonts w:ascii="Times New Roman" w:hAnsi="Times New Roman" w:cs="Times New Roman"/>
          <w:sz w:val="24"/>
          <w:szCs w:val="24"/>
        </w:rPr>
        <w:t xml:space="preserve">issing values were imputed using the </w:t>
      </w:r>
      <w:proofErr w:type="gramStart"/>
      <w:r w:rsidR="005536E1" w:rsidRPr="00EE6786">
        <w:rPr>
          <w:rFonts w:ascii="Times New Roman" w:hAnsi="Times New Roman" w:cs="Times New Roman"/>
          <w:sz w:val="24"/>
          <w:szCs w:val="24"/>
        </w:rPr>
        <w:t>median</w:t>
      </w:r>
      <w:proofErr w:type="gramEnd"/>
      <w:r w:rsidR="005536E1" w:rsidRPr="00EE6786">
        <w:rPr>
          <w:rFonts w:ascii="Times New Roman" w:hAnsi="Times New Roman" w:cs="Times New Roman"/>
          <w:sz w:val="24"/>
          <w:szCs w:val="24"/>
        </w:rPr>
        <w:t xml:space="preserve"> and all features were standardized to have zero </w:t>
      </w:r>
      <w:proofErr w:type="gramStart"/>
      <w:r w:rsidR="005536E1" w:rsidRPr="00EE6786">
        <w:rPr>
          <w:rFonts w:ascii="Times New Roman" w:hAnsi="Times New Roman" w:cs="Times New Roman"/>
          <w:sz w:val="24"/>
          <w:szCs w:val="24"/>
        </w:rPr>
        <w:t>mean</w:t>
      </w:r>
      <w:proofErr w:type="gramEnd"/>
      <w:r w:rsidR="005536E1" w:rsidRPr="00EE6786">
        <w:rPr>
          <w:rFonts w:ascii="Times New Roman" w:hAnsi="Times New Roman" w:cs="Times New Roman"/>
          <w:sz w:val="24"/>
          <w:szCs w:val="24"/>
        </w:rPr>
        <w:t xml:space="preserve"> before PCA, clustering, harmonization, and survival modeling. The standardized 922 x 529 matrix is summarized in Table 2. Z-score scaling was necessary because our feature-set integrated data on enhancement kinetics, peak enhancement, signal-enhancement ratio, texture statistics, and various other feature-descriptors that were reported on different natural scales. Without standardization, methods like PCA and k-means that rely on variance would be biased by numerical scale rather than </w:t>
      </w:r>
      <w:r w:rsidR="005536E1" w:rsidRPr="00EE6786">
        <w:rPr>
          <w:rFonts w:ascii="Times New Roman" w:hAnsi="Times New Roman" w:cs="Times New Roman"/>
          <w:sz w:val="24"/>
          <w:szCs w:val="24"/>
        </w:rPr>
        <w:t>data</w:t>
      </w:r>
      <w:r w:rsidR="005536E1" w:rsidRPr="00EE6786">
        <w:rPr>
          <w:rFonts w:ascii="Times New Roman" w:hAnsi="Times New Roman" w:cs="Times New Roman"/>
          <w:sz w:val="24"/>
          <w:szCs w:val="24"/>
        </w:rPr>
        <w:t xml:space="preserve"> structure.</w:t>
      </w:r>
    </w:p>
    <w:p w14:paraId="1A63040F" w14:textId="5EBF4BA0" w:rsidR="00E46F45" w:rsidRDefault="00000000" w:rsidP="005536E1">
      <w:r>
        <w:t xml:space="preserve"> </w:t>
      </w:r>
    </w:p>
    <w:p w14:paraId="639F7F33" w14:textId="77777777" w:rsidR="00E46F45" w:rsidRDefault="00000000">
      <w:pPr>
        <w:pStyle w:val="Caption"/>
        <w:jc w:val="center"/>
      </w:pPr>
      <w:r>
        <w:t>Table 2. Radiomic matrix construction and preprocessing summary.</w:t>
      </w:r>
    </w:p>
    <w:tbl>
      <w:tblPr>
        <w:tblStyle w:val="TableGrid"/>
        <w:tblW w:w="0" w:type="auto"/>
        <w:jc w:val="center"/>
        <w:tblLook w:val="04A0" w:firstRow="1" w:lastRow="0" w:firstColumn="1" w:lastColumn="0" w:noHBand="0" w:noVBand="1"/>
      </w:tblPr>
      <w:tblGrid>
        <w:gridCol w:w="2301"/>
        <w:gridCol w:w="1008"/>
        <w:gridCol w:w="1008"/>
        <w:gridCol w:w="5753"/>
      </w:tblGrid>
      <w:tr w:rsidR="00E46F45" w14:paraId="594D61FE" w14:textId="77777777">
        <w:trPr>
          <w:jc w:val="center"/>
        </w:trPr>
        <w:tc>
          <w:tcPr>
            <w:tcW w:w="2304" w:type="dxa"/>
            <w:shd w:val="clear" w:color="auto" w:fill="D9EAF7"/>
            <w:tcMar>
              <w:top w:w="80" w:type="dxa"/>
              <w:left w:w="80" w:type="dxa"/>
              <w:bottom w:w="80" w:type="dxa"/>
              <w:right w:w="80" w:type="dxa"/>
            </w:tcMar>
            <w:vAlign w:val="center"/>
          </w:tcPr>
          <w:p w14:paraId="78DFB9DD" w14:textId="77777777" w:rsidR="00E46F45" w:rsidRDefault="00000000">
            <w:pPr>
              <w:spacing w:after="0"/>
            </w:pPr>
            <w:r>
              <w:rPr>
                <w:sz w:val="16"/>
              </w:rPr>
              <w:t>Step</w:t>
            </w:r>
          </w:p>
        </w:tc>
        <w:tc>
          <w:tcPr>
            <w:tcW w:w="1008" w:type="dxa"/>
            <w:shd w:val="clear" w:color="auto" w:fill="D9EAF7"/>
            <w:tcMar>
              <w:top w:w="80" w:type="dxa"/>
              <w:left w:w="80" w:type="dxa"/>
              <w:bottom w:w="80" w:type="dxa"/>
              <w:right w:w="80" w:type="dxa"/>
            </w:tcMar>
            <w:vAlign w:val="center"/>
          </w:tcPr>
          <w:p w14:paraId="39EA5A88" w14:textId="77777777" w:rsidR="00E46F45" w:rsidRDefault="00000000">
            <w:pPr>
              <w:spacing w:after="0"/>
            </w:pPr>
            <w:r>
              <w:rPr>
                <w:sz w:val="16"/>
              </w:rPr>
              <w:t>Patients</w:t>
            </w:r>
          </w:p>
        </w:tc>
        <w:tc>
          <w:tcPr>
            <w:tcW w:w="1008" w:type="dxa"/>
            <w:shd w:val="clear" w:color="auto" w:fill="D9EAF7"/>
            <w:tcMar>
              <w:top w:w="80" w:type="dxa"/>
              <w:left w:w="80" w:type="dxa"/>
              <w:bottom w:w="80" w:type="dxa"/>
              <w:right w:w="80" w:type="dxa"/>
            </w:tcMar>
            <w:vAlign w:val="center"/>
          </w:tcPr>
          <w:p w14:paraId="6E9FE7FF" w14:textId="77777777" w:rsidR="00E46F45" w:rsidRDefault="00000000">
            <w:pPr>
              <w:spacing w:after="0"/>
            </w:pPr>
            <w:r>
              <w:rPr>
                <w:sz w:val="16"/>
              </w:rPr>
              <w:t>Features</w:t>
            </w:r>
          </w:p>
        </w:tc>
        <w:tc>
          <w:tcPr>
            <w:tcW w:w="5760" w:type="dxa"/>
            <w:shd w:val="clear" w:color="auto" w:fill="D9EAF7"/>
            <w:tcMar>
              <w:top w:w="80" w:type="dxa"/>
              <w:left w:w="80" w:type="dxa"/>
              <w:bottom w:w="80" w:type="dxa"/>
              <w:right w:w="80" w:type="dxa"/>
            </w:tcMar>
            <w:vAlign w:val="center"/>
          </w:tcPr>
          <w:p w14:paraId="0794249D" w14:textId="77777777" w:rsidR="00E46F45" w:rsidRDefault="00000000">
            <w:pPr>
              <w:spacing w:after="0"/>
            </w:pPr>
            <w:r>
              <w:rPr>
                <w:sz w:val="16"/>
              </w:rPr>
              <w:t>Result</w:t>
            </w:r>
          </w:p>
        </w:tc>
      </w:tr>
      <w:tr w:rsidR="00E46F45" w14:paraId="777BCBF4" w14:textId="77777777">
        <w:trPr>
          <w:jc w:val="center"/>
        </w:trPr>
        <w:tc>
          <w:tcPr>
            <w:tcW w:w="2304" w:type="dxa"/>
            <w:tcMar>
              <w:top w:w="80" w:type="dxa"/>
              <w:left w:w="80" w:type="dxa"/>
              <w:bottom w:w="80" w:type="dxa"/>
              <w:right w:w="80" w:type="dxa"/>
            </w:tcMar>
            <w:vAlign w:val="center"/>
          </w:tcPr>
          <w:p w14:paraId="08B527A4" w14:textId="77777777" w:rsidR="00E46F45" w:rsidRDefault="00000000">
            <w:pPr>
              <w:spacing w:after="0"/>
            </w:pPr>
            <w:r>
              <w:rPr>
                <w:sz w:val="16"/>
              </w:rPr>
              <w:t>Raw imaging matrix</w:t>
            </w:r>
          </w:p>
        </w:tc>
        <w:tc>
          <w:tcPr>
            <w:tcW w:w="1008" w:type="dxa"/>
            <w:tcMar>
              <w:top w:w="80" w:type="dxa"/>
              <w:left w:w="80" w:type="dxa"/>
              <w:bottom w:w="80" w:type="dxa"/>
              <w:right w:w="80" w:type="dxa"/>
            </w:tcMar>
            <w:vAlign w:val="center"/>
          </w:tcPr>
          <w:p w14:paraId="28BE744E"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2D8090E1"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3842D896" w14:textId="77777777" w:rsidR="00E46F45" w:rsidRDefault="00000000">
            <w:pPr>
              <w:spacing w:after="0"/>
            </w:pPr>
            <w:r>
              <w:rPr>
                <w:sz w:val="16"/>
              </w:rPr>
              <w:t>Numeric MRI-derived radiomic feature matrix after patient ID removal.</w:t>
            </w:r>
          </w:p>
        </w:tc>
      </w:tr>
      <w:tr w:rsidR="00E46F45" w14:paraId="751998D4" w14:textId="77777777">
        <w:trPr>
          <w:jc w:val="center"/>
        </w:trPr>
        <w:tc>
          <w:tcPr>
            <w:tcW w:w="2304" w:type="dxa"/>
            <w:tcMar>
              <w:top w:w="80" w:type="dxa"/>
              <w:left w:w="80" w:type="dxa"/>
              <w:bottom w:w="80" w:type="dxa"/>
              <w:right w:w="80" w:type="dxa"/>
            </w:tcMar>
            <w:vAlign w:val="center"/>
          </w:tcPr>
          <w:p w14:paraId="634C4B32" w14:textId="77777777" w:rsidR="00E46F45" w:rsidRDefault="00000000">
            <w:pPr>
              <w:spacing w:after="0"/>
            </w:pPr>
            <w:r>
              <w:rPr>
                <w:sz w:val="16"/>
              </w:rPr>
              <w:t>Missingness filtering</w:t>
            </w:r>
          </w:p>
        </w:tc>
        <w:tc>
          <w:tcPr>
            <w:tcW w:w="1008" w:type="dxa"/>
            <w:tcMar>
              <w:top w:w="80" w:type="dxa"/>
              <w:left w:w="80" w:type="dxa"/>
              <w:bottom w:w="80" w:type="dxa"/>
              <w:right w:w="80" w:type="dxa"/>
            </w:tcMar>
            <w:vAlign w:val="center"/>
          </w:tcPr>
          <w:p w14:paraId="00EDAB3D"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38CEF01E"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75DE8823" w14:textId="77777777" w:rsidR="00E46F45" w:rsidRDefault="00000000">
            <w:pPr>
              <w:spacing w:after="0"/>
            </w:pPr>
            <w:r>
              <w:rPr>
                <w:sz w:val="16"/>
              </w:rPr>
              <w:t>No variables exceeded the &lt;5% missingness threshold.</w:t>
            </w:r>
          </w:p>
        </w:tc>
      </w:tr>
      <w:tr w:rsidR="00E46F45" w14:paraId="08847F9E" w14:textId="77777777">
        <w:trPr>
          <w:jc w:val="center"/>
        </w:trPr>
        <w:tc>
          <w:tcPr>
            <w:tcW w:w="2304" w:type="dxa"/>
            <w:tcMar>
              <w:top w:w="80" w:type="dxa"/>
              <w:left w:w="80" w:type="dxa"/>
              <w:bottom w:w="80" w:type="dxa"/>
              <w:right w:w="80" w:type="dxa"/>
            </w:tcMar>
            <w:vAlign w:val="center"/>
          </w:tcPr>
          <w:p w14:paraId="7208EF6E" w14:textId="77777777" w:rsidR="00E46F45" w:rsidRDefault="00000000">
            <w:pPr>
              <w:spacing w:after="0"/>
            </w:pPr>
            <w:r>
              <w:rPr>
                <w:sz w:val="16"/>
              </w:rPr>
              <w:t>Low-variance filtering</w:t>
            </w:r>
          </w:p>
        </w:tc>
        <w:tc>
          <w:tcPr>
            <w:tcW w:w="1008" w:type="dxa"/>
            <w:tcMar>
              <w:top w:w="80" w:type="dxa"/>
              <w:left w:w="80" w:type="dxa"/>
              <w:bottom w:w="80" w:type="dxa"/>
              <w:right w:w="80" w:type="dxa"/>
            </w:tcMar>
            <w:vAlign w:val="center"/>
          </w:tcPr>
          <w:p w14:paraId="5BD636E3"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40479E8"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7AC59225" w14:textId="77777777" w:rsidR="00E46F45" w:rsidRDefault="00000000">
            <w:pPr>
              <w:spacing w:after="0"/>
            </w:pPr>
            <w:r>
              <w:rPr>
                <w:sz w:val="16"/>
              </w:rPr>
              <w:t>No variables failed the &gt;=2 unique-value criterion.</w:t>
            </w:r>
          </w:p>
        </w:tc>
      </w:tr>
      <w:tr w:rsidR="00E46F45" w14:paraId="1A55ABA3" w14:textId="77777777">
        <w:trPr>
          <w:jc w:val="center"/>
        </w:trPr>
        <w:tc>
          <w:tcPr>
            <w:tcW w:w="2304" w:type="dxa"/>
            <w:tcMar>
              <w:top w:w="80" w:type="dxa"/>
              <w:left w:w="80" w:type="dxa"/>
              <w:bottom w:w="80" w:type="dxa"/>
              <w:right w:w="80" w:type="dxa"/>
            </w:tcMar>
            <w:vAlign w:val="center"/>
          </w:tcPr>
          <w:p w14:paraId="5E2092B5" w14:textId="77777777" w:rsidR="00E46F45" w:rsidRDefault="00000000">
            <w:pPr>
              <w:spacing w:after="0"/>
            </w:pPr>
            <w:r>
              <w:rPr>
                <w:sz w:val="16"/>
              </w:rPr>
              <w:t>Median imputation</w:t>
            </w:r>
          </w:p>
        </w:tc>
        <w:tc>
          <w:tcPr>
            <w:tcW w:w="1008" w:type="dxa"/>
            <w:tcMar>
              <w:top w:w="80" w:type="dxa"/>
              <w:left w:w="80" w:type="dxa"/>
              <w:bottom w:w="80" w:type="dxa"/>
              <w:right w:w="80" w:type="dxa"/>
            </w:tcMar>
            <w:vAlign w:val="center"/>
          </w:tcPr>
          <w:p w14:paraId="22A92071"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D4E5E1A"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527CD71F" w14:textId="77777777" w:rsidR="00E46F45" w:rsidRDefault="00000000">
            <w:pPr>
              <w:spacing w:after="0"/>
            </w:pPr>
            <w:r>
              <w:rPr>
                <w:sz w:val="16"/>
              </w:rPr>
              <w:t>Residual missing values imputed feature-wise.</w:t>
            </w:r>
          </w:p>
        </w:tc>
      </w:tr>
      <w:tr w:rsidR="00E46F45" w14:paraId="20F19F00" w14:textId="77777777">
        <w:trPr>
          <w:jc w:val="center"/>
        </w:trPr>
        <w:tc>
          <w:tcPr>
            <w:tcW w:w="2304" w:type="dxa"/>
            <w:tcMar>
              <w:top w:w="80" w:type="dxa"/>
              <w:left w:w="80" w:type="dxa"/>
              <w:bottom w:w="80" w:type="dxa"/>
              <w:right w:w="80" w:type="dxa"/>
            </w:tcMar>
            <w:vAlign w:val="center"/>
          </w:tcPr>
          <w:p w14:paraId="63A64ADA" w14:textId="77777777" w:rsidR="00E46F45" w:rsidRDefault="00000000">
            <w:pPr>
              <w:spacing w:after="0"/>
            </w:pPr>
            <w:r>
              <w:rPr>
                <w:sz w:val="16"/>
              </w:rPr>
              <w:t>Z-score standardization</w:t>
            </w:r>
          </w:p>
        </w:tc>
        <w:tc>
          <w:tcPr>
            <w:tcW w:w="1008" w:type="dxa"/>
            <w:tcMar>
              <w:top w:w="80" w:type="dxa"/>
              <w:left w:w="80" w:type="dxa"/>
              <w:bottom w:w="80" w:type="dxa"/>
              <w:right w:w="80" w:type="dxa"/>
            </w:tcMar>
            <w:vAlign w:val="center"/>
          </w:tcPr>
          <w:p w14:paraId="7D9287B3"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796CDD8D"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607C706B" w14:textId="77777777" w:rsidR="00E46F45" w:rsidRDefault="00000000">
            <w:pPr>
              <w:spacing w:after="0"/>
            </w:pPr>
            <w:r>
              <w:rPr>
                <w:sz w:val="16"/>
              </w:rPr>
              <w:t>Mean-centered and variance-scaled matrix generated.</w:t>
            </w:r>
          </w:p>
        </w:tc>
      </w:tr>
      <w:tr w:rsidR="00E46F45" w14:paraId="023BB60C" w14:textId="77777777">
        <w:trPr>
          <w:jc w:val="center"/>
        </w:trPr>
        <w:tc>
          <w:tcPr>
            <w:tcW w:w="2304" w:type="dxa"/>
            <w:tcMar>
              <w:top w:w="80" w:type="dxa"/>
              <w:left w:w="80" w:type="dxa"/>
              <w:bottom w:w="80" w:type="dxa"/>
              <w:right w:w="80" w:type="dxa"/>
            </w:tcMar>
            <w:vAlign w:val="center"/>
          </w:tcPr>
          <w:p w14:paraId="706D8C94" w14:textId="77777777" w:rsidR="00E46F45" w:rsidRDefault="00000000">
            <w:pPr>
              <w:spacing w:after="0"/>
            </w:pPr>
            <w:r>
              <w:rPr>
                <w:sz w:val="16"/>
              </w:rPr>
              <w:t>Final analysis matrix</w:t>
            </w:r>
          </w:p>
        </w:tc>
        <w:tc>
          <w:tcPr>
            <w:tcW w:w="1008" w:type="dxa"/>
            <w:tcMar>
              <w:top w:w="80" w:type="dxa"/>
              <w:left w:w="80" w:type="dxa"/>
              <w:bottom w:w="80" w:type="dxa"/>
              <w:right w:w="80" w:type="dxa"/>
            </w:tcMar>
            <w:vAlign w:val="center"/>
          </w:tcPr>
          <w:p w14:paraId="35B6F1D8" w14:textId="77777777" w:rsidR="00E46F45" w:rsidRDefault="00000000">
            <w:pPr>
              <w:spacing w:after="0"/>
            </w:pPr>
            <w:r>
              <w:rPr>
                <w:sz w:val="16"/>
              </w:rPr>
              <w:t>922</w:t>
            </w:r>
          </w:p>
        </w:tc>
        <w:tc>
          <w:tcPr>
            <w:tcW w:w="1008" w:type="dxa"/>
            <w:tcMar>
              <w:top w:w="80" w:type="dxa"/>
              <w:left w:w="80" w:type="dxa"/>
              <w:bottom w:w="80" w:type="dxa"/>
              <w:right w:w="80" w:type="dxa"/>
            </w:tcMar>
            <w:vAlign w:val="center"/>
          </w:tcPr>
          <w:p w14:paraId="4668AA7C" w14:textId="77777777" w:rsidR="00E46F45" w:rsidRDefault="00000000">
            <w:pPr>
              <w:spacing w:after="0"/>
            </w:pPr>
            <w:r>
              <w:rPr>
                <w:sz w:val="16"/>
              </w:rPr>
              <w:t>529</w:t>
            </w:r>
          </w:p>
        </w:tc>
        <w:tc>
          <w:tcPr>
            <w:tcW w:w="5760" w:type="dxa"/>
            <w:tcMar>
              <w:top w:w="80" w:type="dxa"/>
              <w:left w:w="80" w:type="dxa"/>
              <w:bottom w:w="80" w:type="dxa"/>
              <w:right w:w="80" w:type="dxa"/>
            </w:tcMar>
            <w:vAlign w:val="center"/>
          </w:tcPr>
          <w:p w14:paraId="386127AC" w14:textId="77777777" w:rsidR="00E46F45" w:rsidRDefault="00000000">
            <w:pPr>
              <w:spacing w:after="0"/>
            </w:pPr>
            <w:r>
              <w:rPr>
                <w:sz w:val="16"/>
              </w:rPr>
              <w:t>Input for PCA, clustering, harmonization, and survival modeling.</w:t>
            </w:r>
          </w:p>
        </w:tc>
      </w:tr>
    </w:tbl>
    <w:p w14:paraId="47C3A58D" w14:textId="77777777" w:rsidR="00E46F45" w:rsidRDefault="00E46F45"/>
    <w:p w14:paraId="37B2FF19" w14:textId="77777777" w:rsidR="00E46F45" w:rsidRDefault="00000000">
      <w:pPr>
        <w:pStyle w:val="Heading2"/>
      </w:pPr>
      <w:r>
        <w:t>3.2 Standard phenotype discovery</w:t>
      </w:r>
    </w:p>
    <w:p w14:paraId="15CF8E01" w14:textId="6DB6A5DB" w:rsidR="005536E1" w:rsidRDefault="005536E1" w:rsidP="00EE6786">
      <w:pPr>
        <w:spacing w:line="360" w:lineRule="auto"/>
        <w:jc w:val="both"/>
        <w:rPr>
          <w:rFonts w:ascii="Times New Roman" w:hAnsi="Times New Roman" w:cs="Times New Roman"/>
          <w:sz w:val="24"/>
          <w:szCs w:val="24"/>
        </w:rPr>
      </w:pPr>
      <w:r w:rsidRPr="00EE6786">
        <w:rPr>
          <w:rFonts w:ascii="Times New Roman" w:hAnsi="Times New Roman" w:cs="Times New Roman"/>
          <w:sz w:val="24"/>
          <w:szCs w:val="24"/>
        </w:rPr>
        <w:t xml:space="preserve">Principal component analysis (PCA) was applied to the standardized radiomic </w:t>
      </w:r>
      <w:r w:rsidR="00EE6786">
        <w:rPr>
          <w:rFonts w:ascii="Times New Roman" w:hAnsi="Times New Roman" w:cs="Times New Roman"/>
          <w:sz w:val="24"/>
          <w:szCs w:val="24"/>
        </w:rPr>
        <w:t>data</w:t>
      </w:r>
      <w:r w:rsidRPr="00EE6786">
        <w:rPr>
          <w:rFonts w:ascii="Times New Roman" w:hAnsi="Times New Roman" w:cs="Times New Roman"/>
          <w:sz w:val="24"/>
          <w:szCs w:val="24"/>
        </w:rPr>
        <w:t xml:space="preserve">. The PCs that explained the most variance were selected for exploratory visualization and clustering. Clustering was performed via K-means for a </w:t>
      </w:r>
      <w:r w:rsidR="00EE6786" w:rsidRPr="00EE6786">
        <w:rPr>
          <w:rFonts w:ascii="Times New Roman" w:hAnsi="Times New Roman" w:cs="Times New Roman"/>
          <w:sz w:val="24"/>
          <w:szCs w:val="24"/>
        </w:rPr>
        <w:t>group</w:t>
      </w:r>
      <w:r w:rsidRPr="00EE6786">
        <w:rPr>
          <w:rFonts w:ascii="Times New Roman" w:hAnsi="Times New Roman" w:cs="Times New Roman"/>
          <w:sz w:val="24"/>
          <w:szCs w:val="24"/>
        </w:rPr>
        <w:t xml:space="preserve"> of candidate k values. Internal validity metrics were summarized with silhouette score, Calinski-</w:t>
      </w:r>
      <w:proofErr w:type="spellStart"/>
      <w:r w:rsidRPr="00EE6786">
        <w:rPr>
          <w:rFonts w:ascii="Times New Roman" w:hAnsi="Times New Roman" w:cs="Times New Roman"/>
          <w:sz w:val="24"/>
          <w:szCs w:val="24"/>
        </w:rPr>
        <w:t>Harabasz</w:t>
      </w:r>
      <w:proofErr w:type="spellEnd"/>
      <w:r w:rsidRPr="00EE6786">
        <w:rPr>
          <w:rFonts w:ascii="Times New Roman" w:hAnsi="Times New Roman" w:cs="Times New Roman"/>
          <w:sz w:val="24"/>
          <w:szCs w:val="24"/>
        </w:rPr>
        <w:t xml:space="preserve"> index, and Davies-Bouldin index. Bootstrap stability was assessed by repeated 80% subsampling and reported with the adjusted Rand index (ARI). Feature differences between clusters were assessed via Welch tests</w:t>
      </w:r>
      <w:r w:rsidRPr="00EE6786">
        <w:rPr>
          <w:rFonts w:ascii="Times New Roman" w:hAnsi="Times New Roman" w:cs="Times New Roman"/>
          <w:sz w:val="24"/>
          <w:szCs w:val="24"/>
        </w:rPr>
        <w:t>. T</w:t>
      </w:r>
      <w:r w:rsidRPr="00EE6786">
        <w:rPr>
          <w:rFonts w:ascii="Times New Roman" w:hAnsi="Times New Roman" w:cs="Times New Roman"/>
          <w:sz w:val="24"/>
          <w:szCs w:val="24"/>
        </w:rPr>
        <w:t>his process was performed on the raw partition to determine whether the PCs possessed a coherent imaging interpretation before any technical challenge was applied.</w:t>
      </w:r>
    </w:p>
    <w:p w14:paraId="0076FD02" w14:textId="77777777" w:rsidR="00EE6786" w:rsidRDefault="00EE6786" w:rsidP="00EE6786">
      <w:pPr>
        <w:spacing w:line="360" w:lineRule="auto"/>
        <w:jc w:val="both"/>
        <w:rPr>
          <w:rFonts w:ascii="Times New Roman" w:hAnsi="Times New Roman" w:cs="Times New Roman"/>
          <w:sz w:val="24"/>
          <w:szCs w:val="24"/>
        </w:rPr>
      </w:pPr>
    </w:p>
    <w:p w14:paraId="584AC74F" w14:textId="77777777" w:rsidR="00EE6786" w:rsidRDefault="00EE6786" w:rsidP="00EE6786">
      <w:pPr>
        <w:spacing w:line="360" w:lineRule="auto"/>
        <w:jc w:val="both"/>
        <w:rPr>
          <w:rFonts w:ascii="Times New Roman" w:hAnsi="Times New Roman" w:cs="Times New Roman"/>
          <w:sz w:val="24"/>
          <w:szCs w:val="24"/>
        </w:rPr>
      </w:pPr>
    </w:p>
    <w:p w14:paraId="4B617EAF" w14:textId="77777777" w:rsidR="00EE6786" w:rsidRPr="00EE6786" w:rsidRDefault="00EE6786" w:rsidP="00EE6786">
      <w:pPr>
        <w:spacing w:line="360" w:lineRule="auto"/>
        <w:jc w:val="both"/>
        <w:rPr>
          <w:rFonts w:ascii="Times New Roman" w:hAnsi="Times New Roman" w:cs="Times New Roman"/>
          <w:sz w:val="24"/>
          <w:szCs w:val="24"/>
        </w:rPr>
      </w:pPr>
    </w:p>
    <w:p w14:paraId="0A70E7DA" w14:textId="77777777" w:rsidR="00E46F45" w:rsidRDefault="00000000">
      <w:pPr>
        <w:pStyle w:val="Heading2"/>
      </w:pPr>
      <w:r>
        <w:lastRenderedPageBreak/>
        <w:t>3.3 Falsification chain and technical adjudication</w:t>
      </w:r>
    </w:p>
    <w:p w14:paraId="2371D829" w14:textId="77777777" w:rsidR="00EE6786" w:rsidRPr="00EE6786" w:rsidRDefault="00EE6786" w:rsidP="00EE6786"/>
    <w:p w14:paraId="04D267BD" w14:textId="64A73782" w:rsidR="005536E1" w:rsidRPr="00EE6786" w:rsidRDefault="005536E1" w:rsidP="00EE6786">
      <w:pPr>
        <w:spacing w:line="360" w:lineRule="auto"/>
        <w:jc w:val="both"/>
        <w:rPr>
          <w:rFonts w:ascii="Times New Roman" w:hAnsi="Times New Roman" w:cs="Times New Roman"/>
          <w:sz w:val="24"/>
          <w:szCs w:val="24"/>
        </w:rPr>
      </w:pPr>
      <w:r w:rsidRPr="00EE6786">
        <w:rPr>
          <w:rFonts w:ascii="Times New Roman" w:hAnsi="Times New Roman" w:cs="Times New Roman"/>
          <w:sz w:val="24"/>
          <w:szCs w:val="24"/>
        </w:rPr>
        <w:t xml:space="preserve">The falsification chain consisted of four </w:t>
      </w:r>
      <w:r w:rsidRPr="00EE6786">
        <w:rPr>
          <w:rFonts w:ascii="Times New Roman" w:hAnsi="Times New Roman" w:cs="Times New Roman"/>
          <w:sz w:val="24"/>
          <w:szCs w:val="24"/>
        </w:rPr>
        <w:t>steps</w:t>
      </w:r>
      <w:r w:rsidRPr="00EE6786">
        <w:rPr>
          <w:rFonts w:ascii="Times New Roman" w:hAnsi="Times New Roman" w:cs="Times New Roman"/>
          <w:sz w:val="24"/>
          <w:szCs w:val="24"/>
        </w:rPr>
        <w:t>. Technical enrichment was first measured by comparing cluster labels and PC structure with acquisition variables</w:t>
      </w:r>
      <w:r w:rsidRPr="00EE6786">
        <w:rPr>
          <w:rFonts w:ascii="Times New Roman" w:hAnsi="Times New Roman" w:cs="Times New Roman"/>
          <w:sz w:val="24"/>
          <w:szCs w:val="24"/>
        </w:rPr>
        <w:t>, then</w:t>
      </w:r>
      <w:r w:rsidRPr="00EE6786">
        <w:rPr>
          <w:rFonts w:ascii="Times New Roman" w:hAnsi="Times New Roman" w:cs="Times New Roman"/>
          <w:sz w:val="24"/>
          <w:szCs w:val="24"/>
        </w:rPr>
        <w:t xml:space="preserve"> Phenotype discovery was secondly repeated after manufacturer residualization and ComBat harmonization. Partition identity was thirdly quantified by comparing harmonized labels with raw labels using ARI. Finally, clinical interpretability was retested after manufacturer adjustment</w:t>
      </w:r>
      <w:r w:rsidR="00EE6786">
        <w:rPr>
          <w:rFonts w:ascii="Times New Roman" w:hAnsi="Times New Roman" w:cs="Times New Roman"/>
          <w:sz w:val="24"/>
          <w:szCs w:val="24"/>
        </w:rPr>
        <w:t>.</w:t>
      </w:r>
    </w:p>
    <w:p w14:paraId="51A1F951" w14:textId="77777777" w:rsidR="00E46F45" w:rsidRDefault="00000000">
      <w:pPr>
        <w:pStyle w:val="Heading2"/>
      </w:pPr>
      <w:r>
        <w:t>3.4 Clinical and biomarker evaluation</w:t>
      </w:r>
    </w:p>
    <w:p w14:paraId="24198746" w14:textId="24AAC68F" w:rsidR="00B9717E" w:rsidRDefault="005536E1" w:rsidP="00EE6786">
      <w:pPr>
        <w:spacing w:line="360" w:lineRule="auto"/>
        <w:jc w:val="both"/>
      </w:pPr>
      <w:r w:rsidRPr="005536E1">
        <w:t>The top screen was assessed for recurrence-free survival in the HR+/HER2+ subgroup first, as this is where the raw phenotype exhibited its most significant survival split. Kaplan-Meier curves, log-rank tests and Cox proportional-hazards modeling were utilized. The cluster effect was then subjected to manufacturer-adjusted Cox modeling to determine whether an effect could still be interpreted after technical adjustment. Association of this post-harmonization structure with prespecified biomarker criteria was then evaluated. These criteria are deliberately minimal standards for identification and are not confirmation of biological validity.</w:t>
      </w:r>
    </w:p>
    <w:p w14:paraId="4F0752B8" w14:textId="77777777" w:rsidR="00B9717E" w:rsidRDefault="00B9717E"/>
    <w:p w14:paraId="1A3EEABA" w14:textId="77777777" w:rsidR="00B9717E" w:rsidRDefault="00B9717E"/>
    <w:p w14:paraId="2560A108" w14:textId="77777777" w:rsidR="00B9717E" w:rsidRDefault="00B9717E"/>
    <w:p w14:paraId="4E6EF39E" w14:textId="77777777" w:rsidR="00B9717E" w:rsidRDefault="00B9717E"/>
    <w:p w14:paraId="5CCE1B73" w14:textId="77777777" w:rsidR="00972A77" w:rsidRDefault="00972A77"/>
    <w:p w14:paraId="1A2E84D9" w14:textId="77777777" w:rsidR="00972A77" w:rsidRDefault="00972A77"/>
    <w:p w14:paraId="13CC98FE" w14:textId="77777777" w:rsidR="00972A77" w:rsidRDefault="00972A77"/>
    <w:p w14:paraId="087B62FE" w14:textId="77777777" w:rsidR="00972A77" w:rsidRDefault="00972A77"/>
    <w:p w14:paraId="6136FDE8" w14:textId="77777777" w:rsidR="00972A77" w:rsidRDefault="00972A77"/>
    <w:p w14:paraId="3F8AAD95" w14:textId="77777777" w:rsidR="00972A77" w:rsidRDefault="00972A77"/>
    <w:p w14:paraId="0A4A725C" w14:textId="77777777" w:rsidR="00972A77" w:rsidRDefault="00972A77"/>
    <w:p w14:paraId="7DF5D324" w14:textId="77777777" w:rsidR="00972A77" w:rsidRDefault="00972A77"/>
    <w:p w14:paraId="7BA7D6A9" w14:textId="77777777" w:rsidR="00972A77" w:rsidRDefault="00972A77"/>
    <w:p w14:paraId="52468AFB" w14:textId="77777777" w:rsidR="00972A77" w:rsidRDefault="00972A77"/>
    <w:p w14:paraId="1E4E4179" w14:textId="77777777" w:rsidR="00972A77" w:rsidRDefault="00972A77"/>
    <w:p w14:paraId="1C763A4E" w14:textId="77777777" w:rsidR="00972A77" w:rsidRDefault="00972A77"/>
    <w:p w14:paraId="7B53A7BA" w14:textId="77777777" w:rsidR="00972A77" w:rsidRDefault="00972A77"/>
    <w:p w14:paraId="3BCB8C05" w14:textId="77777777" w:rsidR="00972A77" w:rsidRDefault="00972A77"/>
    <w:p w14:paraId="2010AA2E" w14:textId="77777777" w:rsidR="00972A77" w:rsidRDefault="00972A77"/>
    <w:p w14:paraId="2E506775" w14:textId="77777777" w:rsidR="00972A77" w:rsidRDefault="00972A77"/>
    <w:p w14:paraId="0A40161E" w14:textId="77777777" w:rsidR="00972A77" w:rsidRDefault="00972A77"/>
    <w:p w14:paraId="45A5F56A" w14:textId="77777777" w:rsidR="00972A77" w:rsidRDefault="00972A77"/>
    <w:p w14:paraId="3B0AD533" w14:textId="77777777" w:rsidR="00972A77" w:rsidRDefault="00972A77"/>
    <w:p w14:paraId="4164D1EF" w14:textId="77777777" w:rsidR="00972A77" w:rsidRDefault="00972A77"/>
    <w:p w14:paraId="69ECCD48" w14:textId="77777777" w:rsidR="00972A77" w:rsidRDefault="00972A77"/>
    <w:p w14:paraId="6A2C672C" w14:textId="77777777" w:rsidR="00972A77" w:rsidRDefault="00972A77"/>
    <w:p w14:paraId="54C75B58" w14:textId="77777777" w:rsidR="00972A77" w:rsidRDefault="00972A77"/>
    <w:p w14:paraId="7819476C" w14:textId="77777777" w:rsidR="00972A77" w:rsidRDefault="00972A77"/>
    <w:p w14:paraId="64FB5FFC" w14:textId="42BFBFEF" w:rsidR="00972A77" w:rsidRPr="00972A77" w:rsidRDefault="00000000" w:rsidP="00972A77">
      <w:pPr>
        <w:pStyle w:val="Heading1"/>
      </w:pPr>
      <w:r>
        <w:t>4. Results</w:t>
      </w:r>
    </w:p>
    <w:p w14:paraId="0A21D2EA" w14:textId="747E1F43" w:rsidR="00E46F45" w:rsidRDefault="00000000">
      <w:pPr>
        <w:pStyle w:val="Heading2"/>
      </w:pPr>
      <w:r>
        <w:t xml:space="preserve">4.1 Key message 1: a standard workflow creates a plausible but fragile </w:t>
      </w:r>
      <w:r w:rsidR="00D045E3">
        <w:t>discovery</w:t>
      </w:r>
    </w:p>
    <w:p w14:paraId="32257B06" w14:textId="77777777" w:rsidR="007B569F" w:rsidRPr="007B569F" w:rsidRDefault="007B569F" w:rsidP="007B569F"/>
    <w:p w14:paraId="1CE5ACF3" w14:textId="39481371" w:rsidR="007B569F" w:rsidRPr="00A64649" w:rsidRDefault="00855B65" w:rsidP="00A64649">
      <w:pPr>
        <w:spacing w:line="360" w:lineRule="auto"/>
        <w:jc w:val="both"/>
        <w:rPr>
          <w:rFonts w:ascii="Times New Roman" w:hAnsi="Times New Roman" w:cs="Times New Roman"/>
          <w:sz w:val="24"/>
          <w:szCs w:val="24"/>
        </w:rPr>
      </w:pPr>
      <w:r w:rsidRPr="00A64649">
        <w:rPr>
          <w:rFonts w:ascii="Times New Roman" w:hAnsi="Times New Roman" w:cs="Times New Roman"/>
          <w:sz w:val="24"/>
          <w:szCs w:val="24"/>
        </w:rPr>
        <w:t xml:space="preserve">At first glance, the results give of a valid impression of a phenotypic discovery. First </w:t>
      </w:r>
      <w:proofErr w:type="gramStart"/>
      <w:r w:rsidRPr="00A64649">
        <w:rPr>
          <w:rFonts w:ascii="Times New Roman" w:hAnsi="Times New Roman" w:cs="Times New Roman"/>
          <w:sz w:val="24"/>
          <w:szCs w:val="24"/>
        </w:rPr>
        <w:t>principle</w:t>
      </w:r>
      <w:proofErr w:type="gramEnd"/>
      <w:r w:rsidRPr="00A64649">
        <w:rPr>
          <w:rFonts w:ascii="Times New Roman" w:hAnsi="Times New Roman" w:cs="Times New Roman"/>
          <w:sz w:val="24"/>
          <w:szCs w:val="24"/>
        </w:rPr>
        <w:t xml:space="preserve"> component analysis a structured feature space where the top 10 principal components </w:t>
      </w:r>
      <w:proofErr w:type="gramStart"/>
      <w:r w:rsidRPr="00A64649">
        <w:rPr>
          <w:rFonts w:ascii="Times New Roman" w:hAnsi="Times New Roman" w:cs="Times New Roman"/>
          <w:sz w:val="24"/>
          <w:szCs w:val="24"/>
        </w:rPr>
        <w:t>are able to</w:t>
      </w:r>
      <w:proofErr w:type="gramEnd"/>
      <w:r w:rsidRPr="00A64649">
        <w:rPr>
          <w:rFonts w:ascii="Times New Roman" w:hAnsi="Times New Roman" w:cs="Times New Roman"/>
          <w:sz w:val="24"/>
          <w:szCs w:val="24"/>
        </w:rPr>
        <w:t xml:space="preserve"> explain 58% of the variance (See Table 3), with </w:t>
      </w:r>
      <w:r w:rsidRPr="00A64649">
        <w:rPr>
          <w:rFonts w:ascii="Times New Roman" w:hAnsi="Times New Roman" w:cs="Times New Roman"/>
          <w:sz w:val="24"/>
          <w:szCs w:val="24"/>
        </w:rPr>
        <w:t>principal component</w:t>
      </w:r>
      <w:r w:rsidRPr="00A64649">
        <w:rPr>
          <w:rFonts w:ascii="Times New Roman" w:hAnsi="Times New Roman" w:cs="Times New Roman"/>
          <w:sz w:val="24"/>
          <w:szCs w:val="24"/>
        </w:rPr>
        <w:t xml:space="preserve"> one, two and three </w:t>
      </w:r>
      <w:proofErr w:type="spellStart"/>
      <w:r w:rsidRPr="00A64649">
        <w:rPr>
          <w:rFonts w:ascii="Times New Roman" w:hAnsi="Times New Roman" w:cs="Times New Roman"/>
          <w:sz w:val="24"/>
          <w:szCs w:val="24"/>
        </w:rPr>
        <w:t>explaiiing</w:t>
      </w:r>
      <w:proofErr w:type="spellEnd"/>
      <w:r w:rsidRPr="00A64649">
        <w:rPr>
          <w:rFonts w:ascii="Times New Roman" w:hAnsi="Times New Roman" w:cs="Times New Roman"/>
          <w:sz w:val="24"/>
          <w:szCs w:val="24"/>
        </w:rPr>
        <w:t xml:space="preserve"> 15.5%, 9.6% and 7.8% respectively. Scree plots </w:t>
      </w:r>
      <w:proofErr w:type="gramStart"/>
      <w:r w:rsidRPr="00A64649">
        <w:rPr>
          <w:rFonts w:ascii="Times New Roman" w:hAnsi="Times New Roman" w:cs="Times New Roman"/>
          <w:sz w:val="24"/>
          <w:szCs w:val="24"/>
        </w:rPr>
        <w:t>an</w:t>
      </w:r>
      <w:proofErr w:type="gramEnd"/>
      <w:r w:rsidRPr="00A64649">
        <w:rPr>
          <w:rFonts w:ascii="Times New Roman" w:hAnsi="Times New Roman" w:cs="Times New Roman"/>
          <w:sz w:val="24"/>
          <w:szCs w:val="24"/>
        </w:rPr>
        <w:t xml:space="preserve"> PC1-PC2 projections are reported below in Figures 1 and 2, where it is </w:t>
      </w:r>
      <w:proofErr w:type="gramStart"/>
      <w:r w:rsidRPr="00A64649">
        <w:rPr>
          <w:rFonts w:ascii="Times New Roman" w:hAnsi="Times New Roman" w:cs="Times New Roman"/>
          <w:sz w:val="24"/>
          <w:szCs w:val="24"/>
        </w:rPr>
        <w:t>showcased</w:t>
      </w:r>
      <w:proofErr w:type="gramEnd"/>
      <w:r w:rsidRPr="00A64649">
        <w:rPr>
          <w:rFonts w:ascii="Times New Roman" w:hAnsi="Times New Roman" w:cs="Times New Roman"/>
          <w:sz w:val="24"/>
          <w:szCs w:val="24"/>
        </w:rPr>
        <w:t xml:space="preserve"> that p</w:t>
      </w:r>
      <w:r w:rsidRPr="00A64649">
        <w:rPr>
          <w:rFonts w:ascii="Times New Roman" w:hAnsi="Times New Roman" w:cs="Times New Roman"/>
          <w:sz w:val="24"/>
          <w:szCs w:val="24"/>
        </w:rPr>
        <w:t>atient distribution took the form of a continuum, rather than abrupt separation</w:t>
      </w:r>
      <w:r w:rsidRPr="00A64649">
        <w:rPr>
          <w:rFonts w:ascii="Times New Roman" w:hAnsi="Times New Roman" w:cs="Times New Roman"/>
          <w:sz w:val="24"/>
          <w:szCs w:val="24"/>
        </w:rPr>
        <w:t xml:space="preserve">, implying any form of clustering would </w:t>
      </w:r>
      <w:proofErr w:type="spellStart"/>
      <w:r w:rsidRPr="00A64649">
        <w:rPr>
          <w:rFonts w:ascii="Times New Roman" w:hAnsi="Times New Roman" w:cs="Times New Roman"/>
          <w:sz w:val="24"/>
          <w:szCs w:val="24"/>
        </w:rPr>
        <w:t>reguire</w:t>
      </w:r>
      <w:proofErr w:type="spellEnd"/>
      <w:r w:rsidRPr="00A64649">
        <w:rPr>
          <w:rFonts w:ascii="Times New Roman" w:hAnsi="Times New Roman" w:cs="Times New Roman"/>
          <w:sz w:val="24"/>
          <w:szCs w:val="24"/>
        </w:rPr>
        <w:t xml:space="preserve"> gradient borders rather than clear boundaries. </w:t>
      </w:r>
    </w:p>
    <w:p w14:paraId="3E73C24F" w14:textId="01C36B8A" w:rsidR="00855B65" w:rsidRPr="00A64649" w:rsidRDefault="00855B65" w:rsidP="00A64649">
      <w:pPr>
        <w:spacing w:line="360" w:lineRule="auto"/>
        <w:jc w:val="both"/>
        <w:rPr>
          <w:rFonts w:ascii="Times New Roman" w:hAnsi="Times New Roman" w:cs="Times New Roman"/>
          <w:sz w:val="24"/>
          <w:szCs w:val="24"/>
        </w:rPr>
      </w:pPr>
      <w:r w:rsidRPr="00A64649">
        <w:rPr>
          <w:rFonts w:ascii="Times New Roman" w:hAnsi="Times New Roman" w:cs="Times New Roman"/>
          <w:sz w:val="24"/>
          <w:szCs w:val="24"/>
        </w:rPr>
        <w:t>K-means clustering algorithms identified k</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2 as the best partition according to the main internal validity metrics. Specifically, k</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 xml:space="preserve">2 achieved the highest silhouette score (0.196) and </w:t>
      </w:r>
      <w:proofErr w:type="spellStart"/>
      <w:r w:rsidRPr="00A64649">
        <w:rPr>
          <w:rFonts w:ascii="Times New Roman" w:hAnsi="Times New Roman" w:cs="Times New Roman"/>
          <w:sz w:val="24"/>
          <w:szCs w:val="24"/>
        </w:rPr>
        <w:t>Calinski-Harabasz</w:t>
      </w:r>
      <w:proofErr w:type="spellEnd"/>
      <w:r w:rsidRPr="00A64649">
        <w:rPr>
          <w:rFonts w:ascii="Times New Roman" w:hAnsi="Times New Roman" w:cs="Times New Roman"/>
          <w:sz w:val="24"/>
          <w:szCs w:val="24"/>
        </w:rPr>
        <w:t xml:space="preserve"> index (200.93), with values decreasing as k increased (Table 4). Bootstrap stability was also good: raw k</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 xml:space="preserve">2 </w:t>
      </w:r>
      <w:proofErr w:type="gramStart"/>
      <w:r w:rsidRPr="00A64649">
        <w:rPr>
          <w:rFonts w:ascii="Times New Roman" w:hAnsi="Times New Roman" w:cs="Times New Roman"/>
          <w:sz w:val="24"/>
          <w:szCs w:val="24"/>
        </w:rPr>
        <w:t>partition</w:t>
      </w:r>
      <w:proofErr w:type="gramEnd"/>
      <w:r w:rsidRPr="00A64649">
        <w:rPr>
          <w:rFonts w:ascii="Times New Roman" w:hAnsi="Times New Roman" w:cs="Times New Roman"/>
          <w:sz w:val="24"/>
          <w:szCs w:val="24"/>
        </w:rPr>
        <w:t xml:space="preserve"> attained mean ARI of 0.893 with standard deviation of 0.084 (Table 5).</w:t>
      </w:r>
    </w:p>
    <w:p w14:paraId="62DA0890" w14:textId="167B2B31" w:rsidR="00A64649" w:rsidRPr="00A64649" w:rsidRDefault="00A64649" w:rsidP="00A64649">
      <w:pPr>
        <w:spacing w:line="360" w:lineRule="auto"/>
        <w:jc w:val="both"/>
        <w:rPr>
          <w:rFonts w:ascii="Times New Roman" w:hAnsi="Times New Roman" w:cs="Times New Roman"/>
          <w:sz w:val="24"/>
          <w:szCs w:val="24"/>
        </w:rPr>
      </w:pPr>
      <w:r w:rsidRPr="00A64649">
        <w:rPr>
          <w:rFonts w:ascii="Times New Roman" w:hAnsi="Times New Roman" w:cs="Times New Roman"/>
          <w:sz w:val="24"/>
          <w:szCs w:val="24"/>
        </w:rPr>
        <w:t>Feature-level inspection provided</w:t>
      </w:r>
      <w:r w:rsidRPr="00A64649">
        <w:rPr>
          <w:rFonts w:ascii="Times New Roman" w:hAnsi="Times New Roman" w:cs="Times New Roman"/>
          <w:sz w:val="24"/>
          <w:szCs w:val="24"/>
        </w:rPr>
        <w:t xml:space="preserve"> us with </w:t>
      </w:r>
      <w:proofErr w:type="gramStart"/>
      <w:r w:rsidRPr="00A64649">
        <w:rPr>
          <w:rFonts w:ascii="Times New Roman" w:hAnsi="Times New Roman" w:cs="Times New Roman"/>
          <w:sz w:val="24"/>
          <w:szCs w:val="24"/>
        </w:rPr>
        <w:t xml:space="preserve">a </w:t>
      </w:r>
      <w:r w:rsidRPr="00A64649">
        <w:rPr>
          <w:rFonts w:ascii="Times New Roman" w:hAnsi="Times New Roman" w:cs="Times New Roman"/>
          <w:sz w:val="24"/>
          <w:szCs w:val="24"/>
        </w:rPr>
        <w:t xml:space="preserve"> biologically</w:t>
      </w:r>
      <w:proofErr w:type="gramEnd"/>
      <w:r w:rsidRPr="00A64649">
        <w:rPr>
          <w:rFonts w:ascii="Times New Roman" w:hAnsi="Times New Roman" w:cs="Times New Roman"/>
          <w:sz w:val="24"/>
          <w:szCs w:val="24"/>
        </w:rPr>
        <w:t>-plausible interpretation</w:t>
      </w:r>
      <w:r w:rsidRPr="00A64649">
        <w:rPr>
          <w:rFonts w:ascii="Times New Roman" w:hAnsi="Times New Roman" w:cs="Times New Roman"/>
          <w:sz w:val="24"/>
          <w:szCs w:val="24"/>
        </w:rPr>
        <w:t>, where the t</w:t>
      </w:r>
      <w:r w:rsidRPr="00A64649">
        <w:rPr>
          <w:rFonts w:ascii="Times New Roman" w:hAnsi="Times New Roman" w:cs="Times New Roman"/>
          <w:sz w:val="24"/>
          <w:szCs w:val="24"/>
        </w:rPr>
        <w:t>op-ranked cluster-separating variables were dominated by signal-enhancement ratio (SER), peak-enhancement (PE), entropy, homogeneity, and similar enhancement-texture descriptors. Cohen d values exceeded 2.2 for top-ranked SER entropy and sum-entropy features (</w:t>
      </w:r>
      <w:r w:rsidRPr="00A64649">
        <w:rPr>
          <w:rFonts w:ascii="Times New Roman" w:hAnsi="Times New Roman" w:cs="Times New Roman"/>
          <w:sz w:val="24"/>
          <w:szCs w:val="24"/>
        </w:rPr>
        <w:t xml:space="preserve">See </w:t>
      </w:r>
      <w:r w:rsidRPr="00A64649">
        <w:rPr>
          <w:rFonts w:ascii="Times New Roman" w:hAnsi="Times New Roman" w:cs="Times New Roman"/>
          <w:sz w:val="24"/>
          <w:szCs w:val="24"/>
        </w:rPr>
        <w:t>Table 6).</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This clustering phenotype’s appearance is arguably vascularity-like: one group manifests more spatially heterogeneous enhancement while the other manifests relatively homogeneous enhancement behavior</w:t>
      </w:r>
      <w:r w:rsidRPr="00A64649">
        <w:rPr>
          <w:rFonts w:ascii="Times New Roman" w:hAnsi="Times New Roman" w:cs="Times New Roman"/>
          <w:sz w:val="24"/>
          <w:szCs w:val="24"/>
        </w:rPr>
        <w:t>. Whether a genuine biological foundation is true or not in irrelevant in this case as this is used to showcase how “biological plausibility” can be attached to the partitions.</w:t>
      </w:r>
    </w:p>
    <w:p w14:paraId="75033610" w14:textId="384393F6" w:rsidR="00A64649" w:rsidRPr="00A64649" w:rsidRDefault="00A64649" w:rsidP="00A64649">
      <w:pPr>
        <w:spacing w:line="360" w:lineRule="auto"/>
        <w:jc w:val="both"/>
        <w:rPr>
          <w:rFonts w:ascii="Times New Roman" w:hAnsi="Times New Roman" w:cs="Times New Roman"/>
          <w:sz w:val="24"/>
          <w:szCs w:val="24"/>
        </w:rPr>
      </w:pPr>
      <w:r w:rsidRPr="00A64649">
        <w:rPr>
          <w:rFonts w:ascii="Times New Roman" w:hAnsi="Times New Roman" w:cs="Times New Roman"/>
          <w:sz w:val="24"/>
          <w:szCs w:val="24"/>
        </w:rPr>
        <w:t>Finally, raw partition looked prognostically meaningful in the HR+/HER2+ subgroup. Of the 101 patients with successful follow-up truncation, Cluster 0 had 55 patients and 2 recurrences while Cluster 1 had 46 patients and 8 recurrences. Kaplan-Meier curves were visibly separated (Figure 3), log-rank test was significant (p</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0.010), and unadjusted Cox model estimated HR</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w:t>
      </w:r>
      <w:r w:rsidRPr="00A64649">
        <w:rPr>
          <w:rFonts w:ascii="Times New Roman" w:hAnsi="Times New Roman" w:cs="Times New Roman"/>
          <w:sz w:val="24"/>
          <w:szCs w:val="24"/>
        </w:rPr>
        <w:t xml:space="preserve"> </w:t>
      </w:r>
      <w:r w:rsidRPr="00A64649">
        <w:rPr>
          <w:rFonts w:ascii="Times New Roman" w:hAnsi="Times New Roman" w:cs="Times New Roman"/>
          <w:sz w:val="24"/>
          <w:szCs w:val="24"/>
        </w:rPr>
        <w:t xml:space="preserve">4.76 for Cluster 1 vs Cluster 0 (95% </w:t>
      </w:r>
      <w:r w:rsidRPr="00A64649">
        <w:rPr>
          <w:rFonts w:ascii="Times New Roman" w:hAnsi="Times New Roman" w:cs="Times New Roman"/>
          <w:sz w:val="24"/>
          <w:szCs w:val="24"/>
        </w:rPr>
        <w:lastRenderedPageBreak/>
        <w:t>CI 1.22-18.61; p=0.02) as seen in Table 7. In conventional circumstances, those results might validate as a reproducible vascularity-like prognostic phenotype. In this manuscript, they form the counterexample challenged by the falsification chain.</w:t>
      </w:r>
    </w:p>
    <w:p w14:paraId="08268664" w14:textId="77777777" w:rsidR="00A64649" w:rsidRPr="007B569F" w:rsidRDefault="00A64649" w:rsidP="007B569F"/>
    <w:p w14:paraId="6AAF0633" w14:textId="19D64508" w:rsidR="00E46F45" w:rsidRPr="007B569F" w:rsidRDefault="00E46F45" w:rsidP="007B569F">
      <w:pPr>
        <w:spacing w:line="360" w:lineRule="auto"/>
        <w:jc w:val="both"/>
        <w:rPr>
          <w:rFonts w:ascii="Times New Roman" w:hAnsi="Times New Roman" w:cs="Times New Roman"/>
          <w:sz w:val="24"/>
          <w:szCs w:val="24"/>
          <w:highlight w:val="yellow"/>
        </w:rPr>
      </w:pPr>
    </w:p>
    <w:p w14:paraId="59B04669" w14:textId="77777777" w:rsidR="006C5A94" w:rsidRDefault="006C5A94" w:rsidP="007B569F">
      <w:pPr>
        <w:spacing w:line="360" w:lineRule="auto"/>
        <w:jc w:val="both"/>
        <w:rPr>
          <w:rFonts w:ascii="Times New Roman" w:hAnsi="Times New Roman" w:cs="Times New Roman"/>
          <w:sz w:val="24"/>
          <w:szCs w:val="24"/>
        </w:rPr>
      </w:pPr>
    </w:p>
    <w:p w14:paraId="7EB5EA76" w14:textId="77777777" w:rsidR="006C5A94" w:rsidRDefault="006C5A94" w:rsidP="007B569F">
      <w:pPr>
        <w:spacing w:line="360" w:lineRule="auto"/>
        <w:jc w:val="both"/>
        <w:rPr>
          <w:rFonts w:ascii="Times New Roman" w:hAnsi="Times New Roman" w:cs="Times New Roman"/>
          <w:sz w:val="24"/>
          <w:szCs w:val="24"/>
        </w:rPr>
      </w:pPr>
    </w:p>
    <w:p w14:paraId="637DF498" w14:textId="77777777" w:rsidR="006C5A94" w:rsidRPr="007B569F" w:rsidRDefault="006C5A94" w:rsidP="007B569F">
      <w:pPr>
        <w:spacing w:line="360" w:lineRule="auto"/>
        <w:jc w:val="both"/>
        <w:rPr>
          <w:rFonts w:ascii="Times New Roman" w:hAnsi="Times New Roman" w:cs="Times New Roman"/>
          <w:sz w:val="24"/>
          <w:szCs w:val="24"/>
        </w:rPr>
      </w:pPr>
    </w:p>
    <w:p w14:paraId="7419E14A" w14:textId="77777777" w:rsidR="00E46F45" w:rsidRDefault="00000000">
      <w:pPr>
        <w:pStyle w:val="Caption"/>
        <w:jc w:val="center"/>
      </w:pPr>
      <w:r>
        <w:t>Table 3. Variance explained by the leading principal components.</w:t>
      </w:r>
    </w:p>
    <w:tbl>
      <w:tblPr>
        <w:tblStyle w:val="TableGrid"/>
        <w:tblW w:w="0" w:type="auto"/>
        <w:jc w:val="center"/>
        <w:tblLook w:val="04A0" w:firstRow="1" w:lastRow="0" w:firstColumn="1" w:lastColumn="0" w:noHBand="0" w:noVBand="1"/>
      </w:tblPr>
      <w:tblGrid>
        <w:gridCol w:w="3168"/>
        <w:gridCol w:w="2880"/>
      </w:tblGrid>
      <w:tr w:rsidR="00E46F45" w14:paraId="0FD878F7" w14:textId="77777777">
        <w:trPr>
          <w:jc w:val="center"/>
        </w:trPr>
        <w:tc>
          <w:tcPr>
            <w:tcW w:w="3168" w:type="dxa"/>
            <w:shd w:val="clear" w:color="auto" w:fill="D9EAF7"/>
            <w:tcMar>
              <w:top w:w="80" w:type="dxa"/>
              <w:left w:w="80" w:type="dxa"/>
              <w:bottom w:w="80" w:type="dxa"/>
              <w:right w:w="80" w:type="dxa"/>
            </w:tcMar>
            <w:vAlign w:val="center"/>
          </w:tcPr>
          <w:p w14:paraId="1FE4B97D" w14:textId="77777777" w:rsidR="00E46F45" w:rsidRDefault="00000000">
            <w:pPr>
              <w:spacing w:after="0"/>
            </w:pPr>
            <w:r>
              <w:rPr>
                <w:sz w:val="17"/>
              </w:rPr>
              <w:t>Principal component</w:t>
            </w:r>
          </w:p>
        </w:tc>
        <w:tc>
          <w:tcPr>
            <w:tcW w:w="2880" w:type="dxa"/>
            <w:shd w:val="clear" w:color="auto" w:fill="D9EAF7"/>
            <w:tcMar>
              <w:top w:w="80" w:type="dxa"/>
              <w:left w:w="80" w:type="dxa"/>
              <w:bottom w:w="80" w:type="dxa"/>
              <w:right w:w="80" w:type="dxa"/>
            </w:tcMar>
            <w:vAlign w:val="center"/>
          </w:tcPr>
          <w:p w14:paraId="24ACAF94" w14:textId="77777777" w:rsidR="00E46F45" w:rsidRDefault="00000000">
            <w:pPr>
              <w:spacing w:after="0"/>
            </w:pPr>
            <w:r>
              <w:rPr>
                <w:sz w:val="17"/>
              </w:rPr>
              <w:t>Explained variance ratio</w:t>
            </w:r>
          </w:p>
        </w:tc>
      </w:tr>
      <w:tr w:rsidR="00E46F45" w14:paraId="4719AD96" w14:textId="77777777">
        <w:trPr>
          <w:jc w:val="center"/>
        </w:trPr>
        <w:tc>
          <w:tcPr>
            <w:tcW w:w="3168" w:type="dxa"/>
            <w:tcMar>
              <w:top w:w="80" w:type="dxa"/>
              <w:left w:w="80" w:type="dxa"/>
              <w:bottom w:w="80" w:type="dxa"/>
              <w:right w:w="80" w:type="dxa"/>
            </w:tcMar>
            <w:vAlign w:val="center"/>
          </w:tcPr>
          <w:p w14:paraId="7EA5580B" w14:textId="77777777" w:rsidR="00E46F45" w:rsidRDefault="00000000">
            <w:pPr>
              <w:spacing w:after="0"/>
            </w:pPr>
            <w:r>
              <w:rPr>
                <w:sz w:val="17"/>
              </w:rPr>
              <w:t>PC1</w:t>
            </w:r>
          </w:p>
        </w:tc>
        <w:tc>
          <w:tcPr>
            <w:tcW w:w="2880" w:type="dxa"/>
            <w:tcMar>
              <w:top w:w="80" w:type="dxa"/>
              <w:left w:w="80" w:type="dxa"/>
              <w:bottom w:w="80" w:type="dxa"/>
              <w:right w:w="80" w:type="dxa"/>
            </w:tcMar>
            <w:vAlign w:val="center"/>
          </w:tcPr>
          <w:p w14:paraId="282FA6AB" w14:textId="77777777" w:rsidR="00E46F45" w:rsidRDefault="00000000">
            <w:pPr>
              <w:spacing w:after="0"/>
            </w:pPr>
            <w:r>
              <w:rPr>
                <w:sz w:val="17"/>
              </w:rPr>
              <w:t>0.1549</w:t>
            </w:r>
          </w:p>
        </w:tc>
      </w:tr>
      <w:tr w:rsidR="00E46F45" w14:paraId="2CBA0C08" w14:textId="77777777">
        <w:trPr>
          <w:jc w:val="center"/>
        </w:trPr>
        <w:tc>
          <w:tcPr>
            <w:tcW w:w="3168" w:type="dxa"/>
            <w:tcMar>
              <w:top w:w="80" w:type="dxa"/>
              <w:left w:w="80" w:type="dxa"/>
              <w:bottom w:w="80" w:type="dxa"/>
              <w:right w:w="80" w:type="dxa"/>
            </w:tcMar>
            <w:vAlign w:val="center"/>
          </w:tcPr>
          <w:p w14:paraId="3F252790" w14:textId="77777777" w:rsidR="00E46F45" w:rsidRDefault="00000000">
            <w:pPr>
              <w:spacing w:after="0"/>
            </w:pPr>
            <w:r>
              <w:rPr>
                <w:sz w:val="17"/>
              </w:rPr>
              <w:t>PC2</w:t>
            </w:r>
          </w:p>
        </w:tc>
        <w:tc>
          <w:tcPr>
            <w:tcW w:w="2880" w:type="dxa"/>
            <w:tcMar>
              <w:top w:w="80" w:type="dxa"/>
              <w:left w:w="80" w:type="dxa"/>
              <w:bottom w:w="80" w:type="dxa"/>
              <w:right w:w="80" w:type="dxa"/>
            </w:tcMar>
            <w:vAlign w:val="center"/>
          </w:tcPr>
          <w:p w14:paraId="0F6B9183" w14:textId="77777777" w:rsidR="00E46F45" w:rsidRDefault="00000000">
            <w:pPr>
              <w:spacing w:after="0"/>
            </w:pPr>
            <w:r>
              <w:rPr>
                <w:sz w:val="17"/>
              </w:rPr>
              <w:t>0.0958</w:t>
            </w:r>
          </w:p>
        </w:tc>
      </w:tr>
      <w:tr w:rsidR="00E46F45" w14:paraId="3E15390D" w14:textId="77777777">
        <w:trPr>
          <w:jc w:val="center"/>
        </w:trPr>
        <w:tc>
          <w:tcPr>
            <w:tcW w:w="3168" w:type="dxa"/>
            <w:tcMar>
              <w:top w:w="80" w:type="dxa"/>
              <w:left w:w="80" w:type="dxa"/>
              <w:bottom w:w="80" w:type="dxa"/>
              <w:right w:w="80" w:type="dxa"/>
            </w:tcMar>
            <w:vAlign w:val="center"/>
          </w:tcPr>
          <w:p w14:paraId="786C66A5" w14:textId="77777777" w:rsidR="00E46F45" w:rsidRDefault="00000000">
            <w:pPr>
              <w:spacing w:after="0"/>
            </w:pPr>
            <w:r>
              <w:rPr>
                <w:sz w:val="17"/>
              </w:rPr>
              <w:t>PC3</w:t>
            </w:r>
          </w:p>
        </w:tc>
        <w:tc>
          <w:tcPr>
            <w:tcW w:w="2880" w:type="dxa"/>
            <w:tcMar>
              <w:top w:w="80" w:type="dxa"/>
              <w:left w:w="80" w:type="dxa"/>
              <w:bottom w:w="80" w:type="dxa"/>
              <w:right w:w="80" w:type="dxa"/>
            </w:tcMar>
            <w:vAlign w:val="center"/>
          </w:tcPr>
          <w:p w14:paraId="71AABCAD" w14:textId="77777777" w:rsidR="00E46F45" w:rsidRDefault="00000000">
            <w:pPr>
              <w:spacing w:after="0"/>
            </w:pPr>
            <w:r>
              <w:rPr>
                <w:sz w:val="17"/>
              </w:rPr>
              <w:t>0.0775</w:t>
            </w:r>
          </w:p>
        </w:tc>
      </w:tr>
      <w:tr w:rsidR="00E46F45" w14:paraId="3126EABF" w14:textId="77777777">
        <w:trPr>
          <w:jc w:val="center"/>
        </w:trPr>
        <w:tc>
          <w:tcPr>
            <w:tcW w:w="3168" w:type="dxa"/>
            <w:tcMar>
              <w:top w:w="80" w:type="dxa"/>
              <w:left w:w="80" w:type="dxa"/>
              <w:bottom w:w="80" w:type="dxa"/>
              <w:right w:w="80" w:type="dxa"/>
            </w:tcMar>
            <w:vAlign w:val="center"/>
          </w:tcPr>
          <w:p w14:paraId="4F3A7978" w14:textId="77777777" w:rsidR="00E46F45" w:rsidRDefault="00000000">
            <w:pPr>
              <w:spacing w:after="0"/>
            </w:pPr>
            <w:r>
              <w:rPr>
                <w:sz w:val="17"/>
              </w:rPr>
              <w:t>PC4</w:t>
            </w:r>
          </w:p>
        </w:tc>
        <w:tc>
          <w:tcPr>
            <w:tcW w:w="2880" w:type="dxa"/>
            <w:tcMar>
              <w:top w:w="80" w:type="dxa"/>
              <w:left w:w="80" w:type="dxa"/>
              <w:bottom w:w="80" w:type="dxa"/>
              <w:right w:w="80" w:type="dxa"/>
            </w:tcMar>
            <w:vAlign w:val="center"/>
          </w:tcPr>
          <w:p w14:paraId="1152D0F4" w14:textId="77777777" w:rsidR="00E46F45" w:rsidRDefault="00000000">
            <w:pPr>
              <w:spacing w:after="0"/>
            </w:pPr>
            <w:r>
              <w:rPr>
                <w:sz w:val="17"/>
              </w:rPr>
              <w:t>0.0532</w:t>
            </w:r>
          </w:p>
        </w:tc>
      </w:tr>
      <w:tr w:rsidR="00E46F45" w14:paraId="42676D6C" w14:textId="77777777">
        <w:trPr>
          <w:jc w:val="center"/>
        </w:trPr>
        <w:tc>
          <w:tcPr>
            <w:tcW w:w="3168" w:type="dxa"/>
            <w:tcMar>
              <w:top w:w="80" w:type="dxa"/>
              <w:left w:w="80" w:type="dxa"/>
              <w:bottom w:w="80" w:type="dxa"/>
              <w:right w:w="80" w:type="dxa"/>
            </w:tcMar>
            <w:vAlign w:val="center"/>
          </w:tcPr>
          <w:p w14:paraId="3D086D84" w14:textId="77777777" w:rsidR="00E46F45" w:rsidRDefault="00000000">
            <w:pPr>
              <w:spacing w:after="0"/>
            </w:pPr>
            <w:r>
              <w:rPr>
                <w:sz w:val="17"/>
              </w:rPr>
              <w:t>PC5</w:t>
            </w:r>
          </w:p>
        </w:tc>
        <w:tc>
          <w:tcPr>
            <w:tcW w:w="2880" w:type="dxa"/>
            <w:tcMar>
              <w:top w:w="80" w:type="dxa"/>
              <w:left w:w="80" w:type="dxa"/>
              <w:bottom w:w="80" w:type="dxa"/>
              <w:right w:w="80" w:type="dxa"/>
            </w:tcMar>
            <w:vAlign w:val="center"/>
          </w:tcPr>
          <w:p w14:paraId="075E296A" w14:textId="77777777" w:rsidR="00E46F45" w:rsidRDefault="00000000">
            <w:pPr>
              <w:spacing w:after="0"/>
            </w:pPr>
            <w:r>
              <w:rPr>
                <w:sz w:val="17"/>
              </w:rPr>
              <w:t>0.0495</w:t>
            </w:r>
          </w:p>
        </w:tc>
      </w:tr>
      <w:tr w:rsidR="00E46F45" w14:paraId="5306CDD2" w14:textId="77777777">
        <w:trPr>
          <w:jc w:val="center"/>
        </w:trPr>
        <w:tc>
          <w:tcPr>
            <w:tcW w:w="3168" w:type="dxa"/>
            <w:tcMar>
              <w:top w:w="80" w:type="dxa"/>
              <w:left w:w="80" w:type="dxa"/>
              <w:bottom w:w="80" w:type="dxa"/>
              <w:right w:w="80" w:type="dxa"/>
            </w:tcMar>
            <w:vAlign w:val="center"/>
          </w:tcPr>
          <w:p w14:paraId="14DD9EA1" w14:textId="77777777" w:rsidR="00E46F45" w:rsidRDefault="00000000">
            <w:pPr>
              <w:spacing w:after="0"/>
            </w:pPr>
            <w:r>
              <w:rPr>
                <w:sz w:val="17"/>
              </w:rPr>
              <w:t>PC6</w:t>
            </w:r>
          </w:p>
        </w:tc>
        <w:tc>
          <w:tcPr>
            <w:tcW w:w="2880" w:type="dxa"/>
            <w:tcMar>
              <w:top w:w="80" w:type="dxa"/>
              <w:left w:w="80" w:type="dxa"/>
              <w:bottom w:w="80" w:type="dxa"/>
              <w:right w:w="80" w:type="dxa"/>
            </w:tcMar>
            <w:vAlign w:val="center"/>
          </w:tcPr>
          <w:p w14:paraId="151B4A87" w14:textId="77777777" w:rsidR="00E46F45" w:rsidRDefault="00000000">
            <w:pPr>
              <w:spacing w:after="0"/>
            </w:pPr>
            <w:r>
              <w:rPr>
                <w:sz w:val="17"/>
              </w:rPr>
              <w:t>0.0374</w:t>
            </w:r>
          </w:p>
        </w:tc>
      </w:tr>
      <w:tr w:rsidR="00E46F45" w14:paraId="6B1AEEE5" w14:textId="77777777">
        <w:trPr>
          <w:jc w:val="center"/>
        </w:trPr>
        <w:tc>
          <w:tcPr>
            <w:tcW w:w="3168" w:type="dxa"/>
            <w:tcMar>
              <w:top w:w="80" w:type="dxa"/>
              <w:left w:w="80" w:type="dxa"/>
              <w:bottom w:w="80" w:type="dxa"/>
              <w:right w:w="80" w:type="dxa"/>
            </w:tcMar>
            <w:vAlign w:val="center"/>
          </w:tcPr>
          <w:p w14:paraId="4712D4A5" w14:textId="77777777" w:rsidR="00E46F45" w:rsidRDefault="00000000">
            <w:pPr>
              <w:spacing w:after="0"/>
            </w:pPr>
            <w:r>
              <w:rPr>
                <w:sz w:val="17"/>
              </w:rPr>
              <w:t>PC7</w:t>
            </w:r>
          </w:p>
        </w:tc>
        <w:tc>
          <w:tcPr>
            <w:tcW w:w="2880" w:type="dxa"/>
            <w:tcMar>
              <w:top w:w="80" w:type="dxa"/>
              <w:left w:w="80" w:type="dxa"/>
              <w:bottom w:w="80" w:type="dxa"/>
              <w:right w:w="80" w:type="dxa"/>
            </w:tcMar>
            <w:vAlign w:val="center"/>
          </w:tcPr>
          <w:p w14:paraId="3874923D" w14:textId="77777777" w:rsidR="00E46F45" w:rsidRDefault="00000000">
            <w:pPr>
              <w:spacing w:after="0"/>
            </w:pPr>
            <w:r>
              <w:rPr>
                <w:sz w:val="17"/>
              </w:rPr>
              <w:t>0.0354</w:t>
            </w:r>
          </w:p>
        </w:tc>
      </w:tr>
      <w:tr w:rsidR="00E46F45" w14:paraId="531A4F8C" w14:textId="77777777">
        <w:trPr>
          <w:jc w:val="center"/>
        </w:trPr>
        <w:tc>
          <w:tcPr>
            <w:tcW w:w="3168" w:type="dxa"/>
            <w:tcMar>
              <w:top w:w="80" w:type="dxa"/>
              <w:left w:w="80" w:type="dxa"/>
              <w:bottom w:w="80" w:type="dxa"/>
              <w:right w:w="80" w:type="dxa"/>
            </w:tcMar>
            <w:vAlign w:val="center"/>
          </w:tcPr>
          <w:p w14:paraId="034BC500" w14:textId="77777777" w:rsidR="00E46F45" w:rsidRDefault="00000000">
            <w:pPr>
              <w:spacing w:after="0"/>
            </w:pPr>
            <w:r>
              <w:rPr>
                <w:sz w:val="17"/>
              </w:rPr>
              <w:t>PC8</w:t>
            </w:r>
          </w:p>
        </w:tc>
        <w:tc>
          <w:tcPr>
            <w:tcW w:w="2880" w:type="dxa"/>
            <w:tcMar>
              <w:top w:w="80" w:type="dxa"/>
              <w:left w:w="80" w:type="dxa"/>
              <w:bottom w:w="80" w:type="dxa"/>
              <w:right w:w="80" w:type="dxa"/>
            </w:tcMar>
            <w:vAlign w:val="center"/>
          </w:tcPr>
          <w:p w14:paraId="0CD14394" w14:textId="77777777" w:rsidR="00E46F45" w:rsidRDefault="00000000">
            <w:pPr>
              <w:spacing w:after="0"/>
            </w:pPr>
            <w:r>
              <w:rPr>
                <w:sz w:val="17"/>
              </w:rPr>
              <w:t>0.0296</w:t>
            </w:r>
          </w:p>
        </w:tc>
      </w:tr>
      <w:tr w:rsidR="00E46F45" w14:paraId="67174F1D" w14:textId="77777777">
        <w:trPr>
          <w:jc w:val="center"/>
        </w:trPr>
        <w:tc>
          <w:tcPr>
            <w:tcW w:w="3168" w:type="dxa"/>
            <w:tcMar>
              <w:top w:w="80" w:type="dxa"/>
              <w:left w:w="80" w:type="dxa"/>
              <w:bottom w:w="80" w:type="dxa"/>
              <w:right w:w="80" w:type="dxa"/>
            </w:tcMar>
            <w:vAlign w:val="center"/>
          </w:tcPr>
          <w:p w14:paraId="336A82F8" w14:textId="77777777" w:rsidR="00E46F45" w:rsidRDefault="00000000">
            <w:pPr>
              <w:spacing w:after="0"/>
            </w:pPr>
            <w:r>
              <w:rPr>
                <w:sz w:val="17"/>
              </w:rPr>
              <w:t>PC9</w:t>
            </w:r>
          </w:p>
        </w:tc>
        <w:tc>
          <w:tcPr>
            <w:tcW w:w="2880" w:type="dxa"/>
            <w:tcMar>
              <w:top w:w="80" w:type="dxa"/>
              <w:left w:w="80" w:type="dxa"/>
              <w:bottom w:w="80" w:type="dxa"/>
              <w:right w:w="80" w:type="dxa"/>
            </w:tcMar>
            <w:vAlign w:val="center"/>
          </w:tcPr>
          <w:p w14:paraId="182F3BD6" w14:textId="77777777" w:rsidR="00E46F45" w:rsidRDefault="00000000">
            <w:pPr>
              <w:spacing w:after="0"/>
            </w:pPr>
            <w:r>
              <w:rPr>
                <w:sz w:val="17"/>
              </w:rPr>
              <w:t>0.0241</w:t>
            </w:r>
          </w:p>
        </w:tc>
      </w:tr>
      <w:tr w:rsidR="00E46F45" w14:paraId="4499797D" w14:textId="77777777">
        <w:trPr>
          <w:jc w:val="center"/>
        </w:trPr>
        <w:tc>
          <w:tcPr>
            <w:tcW w:w="3168" w:type="dxa"/>
            <w:tcMar>
              <w:top w:w="80" w:type="dxa"/>
              <w:left w:w="80" w:type="dxa"/>
              <w:bottom w:w="80" w:type="dxa"/>
              <w:right w:w="80" w:type="dxa"/>
            </w:tcMar>
            <w:vAlign w:val="center"/>
          </w:tcPr>
          <w:p w14:paraId="04430B97" w14:textId="77777777" w:rsidR="00E46F45" w:rsidRDefault="00000000">
            <w:pPr>
              <w:spacing w:after="0"/>
            </w:pPr>
            <w:r>
              <w:rPr>
                <w:sz w:val="17"/>
              </w:rPr>
              <w:t>PC10</w:t>
            </w:r>
          </w:p>
        </w:tc>
        <w:tc>
          <w:tcPr>
            <w:tcW w:w="2880" w:type="dxa"/>
            <w:tcMar>
              <w:top w:w="80" w:type="dxa"/>
              <w:left w:w="80" w:type="dxa"/>
              <w:bottom w:w="80" w:type="dxa"/>
              <w:right w:w="80" w:type="dxa"/>
            </w:tcMar>
            <w:vAlign w:val="center"/>
          </w:tcPr>
          <w:p w14:paraId="1B206398" w14:textId="77777777" w:rsidR="00E46F45" w:rsidRDefault="00000000">
            <w:pPr>
              <w:spacing w:after="0"/>
            </w:pPr>
            <w:r>
              <w:rPr>
                <w:sz w:val="17"/>
              </w:rPr>
              <w:t>0.0215</w:t>
            </w:r>
          </w:p>
        </w:tc>
      </w:tr>
    </w:tbl>
    <w:p w14:paraId="4ED67DE3" w14:textId="77777777" w:rsidR="00E46F45" w:rsidRDefault="00E46F45"/>
    <w:p w14:paraId="15A84043" w14:textId="77777777" w:rsidR="00E46F45" w:rsidRDefault="00000000">
      <w:pPr>
        <w:jc w:val="center"/>
      </w:pPr>
      <w:r>
        <w:rPr>
          <w:noProof/>
        </w:rPr>
        <w:lastRenderedPageBreak/>
        <w:drawing>
          <wp:inline distT="0" distB="0" distL="0" distR="0" wp14:anchorId="6D21EBE5" wp14:editId="4963962B">
            <wp:extent cx="5577840" cy="3323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77840" cy="3323256"/>
                    </a:xfrm>
                    <a:prstGeom prst="rect">
                      <a:avLst/>
                    </a:prstGeom>
                  </pic:spPr>
                </pic:pic>
              </a:graphicData>
            </a:graphic>
          </wp:inline>
        </w:drawing>
      </w:r>
    </w:p>
    <w:p w14:paraId="72B61929" w14:textId="77777777" w:rsidR="00E46F45" w:rsidRDefault="00000000">
      <w:pPr>
        <w:pStyle w:val="Caption"/>
        <w:jc w:val="center"/>
      </w:pPr>
      <w:r>
        <w:t>Figure 1. Scree plot of the top 20 principal components. Variance declines gradually after the first few PCs, indicating structure without a sharply discrete low-dimensional phenotype.</w:t>
      </w:r>
    </w:p>
    <w:p w14:paraId="4EF03D65" w14:textId="77777777" w:rsidR="00E46F45" w:rsidRDefault="00E46F45"/>
    <w:p w14:paraId="71701D23" w14:textId="77777777" w:rsidR="00E46F45" w:rsidRDefault="00000000">
      <w:pPr>
        <w:jc w:val="center"/>
      </w:pPr>
      <w:r>
        <w:rPr>
          <w:noProof/>
        </w:rPr>
        <w:drawing>
          <wp:inline distT="0" distB="0" distL="0" distR="0" wp14:anchorId="0C84D1B5" wp14:editId="5E6DB750">
            <wp:extent cx="5394960" cy="4028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94960" cy="4028455"/>
                    </a:xfrm>
                    <a:prstGeom prst="rect">
                      <a:avLst/>
                    </a:prstGeom>
                  </pic:spPr>
                </pic:pic>
              </a:graphicData>
            </a:graphic>
          </wp:inline>
        </w:drawing>
      </w:r>
    </w:p>
    <w:p w14:paraId="751AB28F" w14:textId="77777777" w:rsidR="00E46F45" w:rsidRDefault="00000000">
      <w:pPr>
        <w:pStyle w:val="Caption"/>
        <w:jc w:val="center"/>
      </w:pPr>
      <w:r>
        <w:t>Figure 2. Projection of patients onto PC1 and PC2. The cohort forms a continuous cloud rather than a cleanly separated set of natural subgroups.</w:t>
      </w:r>
    </w:p>
    <w:p w14:paraId="1C41190E" w14:textId="77777777" w:rsidR="00E46F45" w:rsidRDefault="00E46F45"/>
    <w:p w14:paraId="086AE05E" w14:textId="77777777" w:rsidR="00E46F45" w:rsidRDefault="00000000">
      <w:pPr>
        <w:pStyle w:val="Caption"/>
        <w:jc w:val="center"/>
      </w:pPr>
      <w:r>
        <w:lastRenderedPageBreak/>
        <w:t>Table 4. Internal cluster validity across candidate k values.</w:t>
      </w:r>
    </w:p>
    <w:tbl>
      <w:tblPr>
        <w:tblStyle w:val="TableGrid"/>
        <w:tblW w:w="0" w:type="auto"/>
        <w:jc w:val="center"/>
        <w:tblLook w:val="04A0" w:firstRow="1" w:lastRow="0" w:firstColumn="1" w:lastColumn="0" w:noHBand="0" w:noVBand="1"/>
      </w:tblPr>
      <w:tblGrid>
        <w:gridCol w:w="720"/>
        <w:gridCol w:w="2304"/>
        <w:gridCol w:w="2592"/>
        <w:gridCol w:w="2592"/>
      </w:tblGrid>
      <w:tr w:rsidR="00E46F45" w14:paraId="7F7058E3" w14:textId="77777777">
        <w:trPr>
          <w:jc w:val="center"/>
        </w:trPr>
        <w:tc>
          <w:tcPr>
            <w:tcW w:w="720" w:type="dxa"/>
            <w:shd w:val="clear" w:color="auto" w:fill="D9EAF7"/>
            <w:tcMar>
              <w:top w:w="80" w:type="dxa"/>
              <w:left w:w="80" w:type="dxa"/>
              <w:bottom w:w="80" w:type="dxa"/>
              <w:right w:w="80" w:type="dxa"/>
            </w:tcMar>
            <w:vAlign w:val="center"/>
          </w:tcPr>
          <w:p w14:paraId="072E250F" w14:textId="77777777" w:rsidR="00E46F45" w:rsidRDefault="00000000">
            <w:pPr>
              <w:spacing w:after="0"/>
            </w:pPr>
            <w:r>
              <w:rPr>
                <w:sz w:val="16"/>
              </w:rPr>
              <w:t>k</w:t>
            </w:r>
          </w:p>
        </w:tc>
        <w:tc>
          <w:tcPr>
            <w:tcW w:w="2304" w:type="dxa"/>
            <w:shd w:val="clear" w:color="auto" w:fill="D9EAF7"/>
            <w:tcMar>
              <w:top w:w="80" w:type="dxa"/>
              <w:left w:w="80" w:type="dxa"/>
              <w:bottom w:w="80" w:type="dxa"/>
              <w:right w:w="80" w:type="dxa"/>
            </w:tcMar>
            <w:vAlign w:val="center"/>
          </w:tcPr>
          <w:p w14:paraId="105058B0" w14:textId="77777777" w:rsidR="00E46F45" w:rsidRDefault="00000000">
            <w:pPr>
              <w:spacing w:after="0"/>
            </w:pPr>
            <w:r>
              <w:rPr>
                <w:sz w:val="16"/>
              </w:rPr>
              <w:t>Silhouette score</w:t>
            </w:r>
          </w:p>
        </w:tc>
        <w:tc>
          <w:tcPr>
            <w:tcW w:w="2592" w:type="dxa"/>
            <w:shd w:val="clear" w:color="auto" w:fill="D9EAF7"/>
            <w:tcMar>
              <w:top w:w="80" w:type="dxa"/>
              <w:left w:w="80" w:type="dxa"/>
              <w:bottom w:w="80" w:type="dxa"/>
              <w:right w:w="80" w:type="dxa"/>
            </w:tcMar>
            <w:vAlign w:val="center"/>
          </w:tcPr>
          <w:p w14:paraId="7567202A" w14:textId="77777777" w:rsidR="00E46F45" w:rsidRDefault="00000000">
            <w:pPr>
              <w:spacing w:after="0"/>
            </w:pPr>
            <w:r>
              <w:rPr>
                <w:sz w:val="16"/>
              </w:rPr>
              <w:t>Calinski-Harabasz index</w:t>
            </w:r>
          </w:p>
        </w:tc>
        <w:tc>
          <w:tcPr>
            <w:tcW w:w="2592" w:type="dxa"/>
            <w:shd w:val="clear" w:color="auto" w:fill="D9EAF7"/>
            <w:tcMar>
              <w:top w:w="80" w:type="dxa"/>
              <w:left w:w="80" w:type="dxa"/>
              <w:bottom w:w="80" w:type="dxa"/>
              <w:right w:w="80" w:type="dxa"/>
            </w:tcMar>
            <w:vAlign w:val="center"/>
          </w:tcPr>
          <w:p w14:paraId="1049EF5C" w14:textId="77777777" w:rsidR="00E46F45" w:rsidRDefault="00000000">
            <w:pPr>
              <w:spacing w:after="0"/>
            </w:pPr>
            <w:r>
              <w:rPr>
                <w:sz w:val="16"/>
              </w:rPr>
              <w:t>Davies-Bouldin index</w:t>
            </w:r>
          </w:p>
        </w:tc>
      </w:tr>
      <w:tr w:rsidR="00E46F45" w14:paraId="7DDED21C" w14:textId="77777777">
        <w:trPr>
          <w:jc w:val="center"/>
        </w:trPr>
        <w:tc>
          <w:tcPr>
            <w:tcW w:w="720" w:type="dxa"/>
            <w:tcMar>
              <w:top w:w="80" w:type="dxa"/>
              <w:left w:w="80" w:type="dxa"/>
              <w:bottom w:w="80" w:type="dxa"/>
              <w:right w:w="80" w:type="dxa"/>
            </w:tcMar>
            <w:vAlign w:val="center"/>
          </w:tcPr>
          <w:p w14:paraId="140EECB6" w14:textId="77777777" w:rsidR="00E46F45" w:rsidRDefault="00000000">
            <w:pPr>
              <w:spacing w:after="0"/>
            </w:pPr>
            <w:r>
              <w:rPr>
                <w:sz w:val="16"/>
              </w:rPr>
              <w:t>2</w:t>
            </w:r>
          </w:p>
        </w:tc>
        <w:tc>
          <w:tcPr>
            <w:tcW w:w="2304" w:type="dxa"/>
            <w:tcMar>
              <w:top w:w="80" w:type="dxa"/>
              <w:left w:w="80" w:type="dxa"/>
              <w:bottom w:w="80" w:type="dxa"/>
              <w:right w:w="80" w:type="dxa"/>
            </w:tcMar>
            <w:vAlign w:val="center"/>
          </w:tcPr>
          <w:p w14:paraId="1B9BB97E" w14:textId="77777777" w:rsidR="00E46F45" w:rsidRDefault="00000000">
            <w:pPr>
              <w:spacing w:after="0"/>
            </w:pPr>
            <w:r>
              <w:rPr>
                <w:sz w:val="16"/>
              </w:rPr>
              <w:t>0.195653</w:t>
            </w:r>
          </w:p>
        </w:tc>
        <w:tc>
          <w:tcPr>
            <w:tcW w:w="2592" w:type="dxa"/>
            <w:tcMar>
              <w:top w:w="80" w:type="dxa"/>
              <w:left w:w="80" w:type="dxa"/>
              <w:bottom w:w="80" w:type="dxa"/>
              <w:right w:w="80" w:type="dxa"/>
            </w:tcMar>
            <w:vAlign w:val="center"/>
          </w:tcPr>
          <w:p w14:paraId="4027D32A" w14:textId="77777777" w:rsidR="00E46F45" w:rsidRDefault="00000000">
            <w:pPr>
              <w:spacing w:after="0"/>
            </w:pPr>
            <w:r>
              <w:rPr>
                <w:sz w:val="16"/>
              </w:rPr>
              <w:t>200.929867</w:t>
            </w:r>
          </w:p>
        </w:tc>
        <w:tc>
          <w:tcPr>
            <w:tcW w:w="2592" w:type="dxa"/>
            <w:tcMar>
              <w:top w:w="80" w:type="dxa"/>
              <w:left w:w="80" w:type="dxa"/>
              <w:bottom w:w="80" w:type="dxa"/>
              <w:right w:w="80" w:type="dxa"/>
            </w:tcMar>
            <w:vAlign w:val="center"/>
          </w:tcPr>
          <w:p w14:paraId="52DCDB88" w14:textId="77777777" w:rsidR="00E46F45" w:rsidRDefault="00000000">
            <w:pPr>
              <w:spacing w:after="0"/>
            </w:pPr>
            <w:r>
              <w:rPr>
                <w:sz w:val="16"/>
              </w:rPr>
              <w:t>1.955482</w:t>
            </w:r>
          </w:p>
        </w:tc>
      </w:tr>
      <w:tr w:rsidR="00E46F45" w14:paraId="2C38F673" w14:textId="77777777">
        <w:trPr>
          <w:jc w:val="center"/>
        </w:trPr>
        <w:tc>
          <w:tcPr>
            <w:tcW w:w="720" w:type="dxa"/>
            <w:tcMar>
              <w:top w:w="80" w:type="dxa"/>
              <w:left w:w="80" w:type="dxa"/>
              <w:bottom w:w="80" w:type="dxa"/>
              <w:right w:w="80" w:type="dxa"/>
            </w:tcMar>
            <w:vAlign w:val="center"/>
          </w:tcPr>
          <w:p w14:paraId="682F76FA" w14:textId="77777777" w:rsidR="00E46F45" w:rsidRDefault="00000000">
            <w:pPr>
              <w:spacing w:after="0"/>
            </w:pPr>
            <w:r>
              <w:rPr>
                <w:sz w:val="16"/>
              </w:rPr>
              <w:t>3</w:t>
            </w:r>
          </w:p>
        </w:tc>
        <w:tc>
          <w:tcPr>
            <w:tcW w:w="2304" w:type="dxa"/>
            <w:tcMar>
              <w:top w:w="80" w:type="dxa"/>
              <w:left w:w="80" w:type="dxa"/>
              <w:bottom w:w="80" w:type="dxa"/>
              <w:right w:w="80" w:type="dxa"/>
            </w:tcMar>
            <w:vAlign w:val="center"/>
          </w:tcPr>
          <w:p w14:paraId="7FF449EE" w14:textId="77777777" w:rsidR="00E46F45" w:rsidRDefault="00000000">
            <w:pPr>
              <w:spacing w:after="0"/>
            </w:pPr>
            <w:r>
              <w:rPr>
                <w:sz w:val="16"/>
              </w:rPr>
              <w:t>0.157827</w:t>
            </w:r>
          </w:p>
        </w:tc>
        <w:tc>
          <w:tcPr>
            <w:tcW w:w="2592" w:type="dxa"/>
            <w:tcMar>
              <w:top w:w="80" w:type="dxa"/>
              <w:left w:w="80" w:type="dxa"/>
              <w:bottom w:w="80" w:type="dxa"/>
              <w:right w:w="80" w:type="dxa"/>
            </w:tcMar>
            <w:vAlign w:val="center"/>
          </w:tcPr>
          <w:p w14:paraId="59C52BFE" w14:textId="77777777" w:rsidR="00E46F45" w:rsidRDefault="00000000">
            <w:pPr>
              <w:spacing w:after="0"/>
            </w:pPr>
            <w:r>
              <w:rPr>
                <w:sz w:val="16"/>
              </w:rPr>
              <w:t>179.178568</w:t>
            </w:r>
          </w:p>
        </w:tc>
        <w:tc>
          <w:tcPr>
            <w:tcW w:w="2592" w:type="dxa"/>
            <w:tcMar>
              <w:top w:w="80" w:type="dxa"/>
              <w:left w:w="80" w:type="dxa"/>
              <w:bottom w:w="80" w:type="dxa"/>
              <w:right w:w="80" w:type="dxa"/>
            </w:tcMar>
            <w:vAlign w:val="center"/>
          </w:tcPr>
          <w:p w14:paraId="7C3584EA" w14:textId="77777777" w:rsidR="00E46F45" w:rsidRDefault="00000000">
            <w:pPr>
              <w:spacing w:after="0"/>
            </w:pPr>
            <w:r>
              <w:rPr>
                <w:sz w:val="16"/>
              </w:rPr>
              <w:t>1.932912</w:t>
            </w:r>
          </w:p>
        </w:tc>
      </w:tr>
      <w:tr w:rsidR="00E46F45" w14:paraId="453DA22A" w14:textId="77777777">
        <w:trPr>
          <w:jc w:val="center"/>
        </w:trPr>
        <w:tc>
          <w:tcPr>
            <w:tcW w:w="720" w:type="dxa"/>
            <w:tcMar>
              <w:top w:w="80" w:type="dxa"/>
              <w:left w:w="80" w:type="dxa"/>
              <w:bottom w:w="80" w:type="dxa"/>
              <w:right w:w="80" w:type="dxa"/>
            </w:tcMar>
            <w:vAlign w:val="center"/>
          </w:tcPr>
          <w:p w14:paraId="205373EB" w14:textId="77777777" w:rsidR="00E46F45" w:rsidRDefault="00000000">
            <w:pPr>
              <w:spacing w:after="0"/>
            </w:pPr>
            <w:r>
              <w:rPr>
                <w:sz w:val="16"/>
              </w:rPr>
              <w:t>4</w:t>
            </w:r>
          </w:p>
        </w:tc>
        <w:tc>
          <w:tcPr>
            <w:tcW w:w="2304" w:type="dxa"/>
            <w:tcMar>
              <w:top w:w="80" w:type="dxa"/>
              <w:left w:w="80" w:type="dxa"/>
              <w:bottom w:w="80" w:type="dxa"/>
              <w:right w:w="80" w:type="dxa"/>
            </w:tcMar>
            <w:vAlign w:val="center"/>
          </w:tcPr>
          <w:p w14:paraId="3C92C58E" w14:textId="77777777" w:rsidR="00E46F45" w:rsidRDefault="00000000">
            <w:pPr>
              <w:spacing w:after="0"/>
            </w:pPr>
            <w:r>
              <w:rPr>
                <w:sz w:val="16"/>
              </w:rPr>
              <w:t>0.146367</w:t>
            </w:r>
          </w:p>
        </w:tc>
        <w:tc>
          <w:tcPr>
            <w:tcW w:w="2592" w:type="dxa"/>
            <w:tcMar>
              <w:top w:w="80" w:type="dxa"/>
              <w:left w:w="80" w:type="dxa"/>
              <w:bottom w:w="80" w:type="dxa"/>
              <w:right w:w="80" w:type="dxa"/>
            </w:tcMar>
            <w:vAlign w:val="center"/>
          </w:tcPr>
          <w:p w14:paraId="65B1A17D" w14:textId="77777777" w:rsidR="00E46F45" w:rsidRDefault="00000000">
            <w:pPr>
              <w:spacing w:after="0"/>
            </w:pPr>
            <w:r>
              <w:rPr>
                <w:sz w:val="16"/>
              </w:rPr>
              <w:t>149.854570</w:t>
            </w:r>
          </w:p>
        </w:tc>
        <w:tc>
          <w:tcPr>
            <w:tcW w:w="2592" w:type="dxa"/>
            <w:tcMar>
              <w:top w:w="80" w:type="dxa"/>
              <w:left w:w="80" w:type="dxa"/>
              <w:bottom w:w="80" w:type="dxa"/>
              <w:right w:w="80" w:type="dxa"/>
            </w:tcMar>
            <w:vAlign w:val="center"/>
          </w:tcPr>
          <w:p w14:paraId="6A8D2E7F" w14:textId="77777777" w:rsidR="00E46F45" w:rsidRDefault="00000000">
            <w:pPr>
              <w:spacing w:after="0"/>
            </w:pPr>
            <w:r>
              <w:rPr>
                <w:sz w:val="16"/>
              </w:rPr>
              <w:t>1.932116</w:t>
            </w:r>
          </w:p>
        </w:tc>
      </w:tr>
      <w:tr w:rsidR="00E46F45" w14:paraId="6F3CCAB9" w14:textId="77777777">
        <w:trPr>
          <w:jc w:val="center"/>
        </w:trPr>
        <w:tc>
          <w:tcPr>
            <w:tcW w:w="720" w:type="dxa"/>
            <w:tcMar>
              <w:top w:w="80" w:type="dxa"/>
              <w:left w:w="80" w:type="dxa"/>
              <w:bottom w:w="80" w:type="dxa"/>
              <w:right w:w="80" w:type="dxa"/>
            </w:tcMar>
            <w:vAlign w:val="center"/>
          </w:tcPr>
          <w:p w14:paraId="688311E7" w14:textId="77777777" w:rsidR="00E46F45" w:rsidRDefault="00000000">
            <w:pPr>
              <w:spacing w:after="0"/>
            </w:pPr>
            <w:r>
              <w:rPr>
                <w:sz w:val="16"/>
              </w:rPr>
              <w:t>5</w:t>
            </w:r>
          </w:p>
        </w:tc>
        <w:tc>
          <w:tcPr>
            <w:tcW w:w="2304" w:type="dxa"/>
            <w:tcMar>
              <w:top w:w="80" w:type="dxa"/>
              <w:left w:w="80" w:type="dxa"/>
              <w:bottom w:w="80" w:type="dxa"/>
              <w:right w:w="80" w:type="dxa"/>
            </w:tcMar>
            <w:vAlign w:val="center"/>
          </w:tcPr>
          <w:p w14:paraId="0752B34C" w14:textId="77777777" w:rsidR="00E46F45" w:rsidRDefault="00000000">
            <w:pPr>
              <w:spacing w:after="0"/>
            </w:pPr>
            <w:r>
              <w:rPr>
                <w:sz w:val="16"/>
              </w:rPr>
              <w:t>0.142494</w:t>
            </w:r>
          </w:p>
        </w:tc>
        <w:tc>
          <w:tcPr>
            <w:tcW w:w="2592" w:type="dxa"/>
            <w:tcMar>
              <w:top w:w="80" w:type="dxa"/>
              <w:left w:w="80" w:type="dxa"/>
              <w:bottom w:w="80" w:type="dxa"/>
              <w:right w:w="80" w:type="dxa"/>
            </w:tcMar>
            <w:vAlign w:val="center"/>
          </w:tcPr>
          <w:p w14:paraId="0AB51F10" w14:textId="77777777" w:rsidR="00E46F45" w:rsidRDefault="00000000">
            <w:pPr>
              <w:spacing w:after="0"/>
            </w:pPr>
            <w:r>
              <w:rPr>
                <w:sz w:val="16"/>
              </w:rPr>
              <w:t>134.423765</w:t>
            </w:r>
          </w:p>
        </w:tc>
        <w:tc>
          <w:tcPr>
            <w:tcW w:w="2592" w:type="dxa"/>
            <w:tcMar>
              <w:top w:w="80" w:type="dxa"/>
              <w:left w:w="80" w:type="dxa"/>
              <w:bottom w:w="80" w:type="dxa"/>
              <w:right w:w="80" w:type="dxa"/>
            </w:tcMar>
            <w:vAlign w:val="center"/>
          </w:tcPr>
          <w:p w14:paraId="617561FB" w14:textId="77777777" w:rsidR="00E46F45" w:rsidRDefault="00000000">
            <w:pPr>
              <w:spacing w:after="0"/>
            </w:pPr>
            <w:r>
              <w:rPr>
                <w:sz w:val="16"/>
              </w:rPr>
              <w:t>1.890264</w:t>
            </w:r>
          </w:p>
        </w:tc>
      </w:tr>
      <w:tr w:rsidR="00E46F45" w14:paraId="032C877E" w14:textId="77777777">
        <w:trPr>
          <w:jc w:val="center"/>
        </w:trPr>
        <w:tc>
          <w:tcPr>
            <w:tcW w:w="720" w:type="dxa"/>
            <w:tcMar>
              <w:top w:w="80" w:type="dxa"/>
              <w:left w:w="80" w:type="dxa"/>
              <w:bottom w:w="80" w:type="dxa"/>
              <w:right w:w="80" w:type="dxa"/>
            </w:tcMar>
            <w:vAlign w:val="center"/>
          </w:tcPr>
          <w:p w14:paraId="0A3A14AB" w14:textId="77777777" w:rsidR="00E46F45" w:rsidRDefault="00000000">
            <w:pPr>
              <w:spacing w:after="0"/>
            </w:pPr>
            <w:r>
              <w:rPr>
                <w:sz w:val="16"/>
              </w:rPr>
              <w:t>6</w:t>
            </w:r>
          </w:p>
        </w:tc>
        <w:tc>
          <w:tcPr>
            <w:tcW w:w="2304" w:type="dxa"/>
            <w:tcMar>
              <w:top w:w="80" w:type="dxa"/>
              <w:left w:w="80" w:type="dxa"/>
              <w:bottom w:w="80" w:type="dxa"/>
              <w:right w:w="80" w:type="dxa"/>
            </w:tcMar>
            <w:vAlign w:val="center"/>
          </w:tcPr>
          <w:p w14:paraId="7137A887" w14:textId="77777777" w:rsidR="00E46F45" w:rsidRDefault="00000000">
            <w:pPr>
              <w:spacing w:after="0"/>
            </w:pPr>
            <w:r>
              <w:rPr>
                <w:sz w:val="16"/>
              </w:rPr>
              <w:t>0.134233</w:t>
            </w:r>
          </w:p>
        </w:tc>
        <w:tc>
          <w:tcPr>
            <w:tcW w:w="2592" w:type="dxa"/>
            <w:tcMar>
              <w:top w:w="80" w:type="dxa"/>
              <w:left w:w="80" w:type="dxa"/>
              <w:bottom w:w="80" w:type="dxa"/>
              <w:right w:w="80" w:type="dxa"/>
            </w:tcMar>
            <w:vAlign w:val="center"/>
          </w:tcPr>
          <w:p w14:paraId="7F493D06" w14:textId="77777777" w:rsidR="00E46F45" w:rsidRDefault="00000000">
            <w:pPr>
              <w:spacing w:after="0"/>
            </w:pPr>
            <w:r>
              <w:rPr>
                <w:sz w:val="16"/>
              </w:rPr>
              <w:t>122.675314</w:t>
            </w:r>
          </w:p>
        </w:tc>
        <w:tc>
          <w:tcPr>
            <w:tcW w:w="2592" w:type="dxa"/>
            <w:tcMar>
              <w:top w:w="80" w:type="dxa"/>
              <w:left w:w="80" w:type="dxa"/>
              <w:bottom w:w="80" w:type="dxa"/>
              <w:right w:w="80" w:type="dxa"/>
            </w:tcMar>
            <w:vAlign w:val="center"/>
          </w:tcPr>
          <w:p w14:paraId="37B7044B" w14:textId="77777777" w:rsidR="00E46F45" w:rsidRDefault="00000000">
            <w:pPr>
              <w:spacing w:after="0"/>
            </w:pPr>
            <w:r>
              <w:rPr>
                <w:sz w:val="16"/>
              </w:rPr>
              <w:t>1.864758</w:t>
            </w:r>
          </w:p>
        </w:tc>
      </w:tr>
    </w:tbl>
    <w:p w14:paraId="5E56A2DF" w14:textId="77777777" w:rsidR="00E46F45" w:rsidRDefault="00E46F45"/>
    <w:p w14:paraId="3CB32466" w14:textId="77777777" w:rsidR="00E46F45" w:rsidRDefault="00000000">
      <w:pPr>
        <w:pStyle w:val="Caption"/>
        <w:jc w:val="center"/>
      </w:pPr>
      <w:r>
        <w:t>Table 5. Bootstrap stability of the raw k=2 phenotype.</w:t>
      </w:r>
    </w:p>
    <w:tbl>
      <w:tblPr>
        <w:tblStyle w:val="TableGrid"/>
        <w:tblW w:w="0" w:type="auto"/>
        <w:jc w:val="center"/>
        <w:tblLook w:val="04A0" w:firstRow="1" w:lastRow="0" w:firstColumn="1" w:lastColumn="0" w:noHBand="0" w:noVBand="1"/>
      </w:tblPr>
      <w:tblGrid>
        <w:gridCol w:w="3168"/>
        <w:gridCol w:w="4608"/>
      </w:tblGrid>
      <w:tr w:rsidR="00E46F45" w14:paraId="4DF5514C" w14:textId="77777777">
        <w:trPr>
          <w:jc w:val="center"/>
        </w:trPr>
        <w:tc>
          <w:tcPr>
            <w:tcW w:w="3168" w:type="dxa"/>
            <w:shd w:val="clear" w:color="auto" w:fill="D9EAF7"/>
            <w:tcMar>
              <w:top w:w="80" w:type="dxa"/>
              <w:left w:w="80" w:type="dxa"/>
              <w:bottom w:w="80" w:type="dxa"/>
              <w:right w:w="80" w:type="dxa"/>
            </w:tcMar>
            <w:vAlign w:val="center"/>
          </w:tcPr>
          <w:p w14:paraId="3F88304D" w14:textId="77777777" w:rsidR="00E46F45" w:rsidRDefault="00000000">
            <w:pPr>
              <w:spacing w:after="0"/>
            </w:pPr>
            <w:r>
              <w:rPr>
                <w:sz w:val="16"/>
              </w:rPr>
              <w:t>Metric</w:t>
            </w:r>
          </w:p>
        </w:tc>
        <w:tc>
          <w:tcPr>
            <w:tcW w:w="4608" w:type="dxa"/>
            <w:shd w:val="clear" w:color="auto" w:fill="D9EAF7"/>
            <w:tcMar>
              <w:top w:w="80" w:type="dxa"/>
              <w:left w:w="80" w:type="dxa"/>
              <w:bottom w:w="80" w:type="dxa"/>
              <w:right w:w="80" w:type="dxa"/>
            </w:tcMar>
            <w:vAlign w:val="center"/>
          </w:tcPr>
          <w:p w14:paraId="66B1CC3E" w14:textId="77777777" w:rsidR="00E46F45" w:rsidRDefault="00000000">
            <w:pPr>
              <w:spacing w:after="0"/>
            </w:pPr>
            <w:r>
              <w:rPr>
                <w:sz w:val="16"/>
              </w:rPr>
              <w:t>Value</w:t>
            </w:r>
          </w:p>
        </w:tc>
      </w:tr>
      <w:tr w:rsidR="00E46F45" w14:paraId="4845F33E" w14:textId="77777777">
        <w:trPr>
          <w:jc w:val="center"/>
        </w:trPr>
        <w:tc>
          <w:tcPr>
            <w:tcW w:w="3168" w:type="dxa"/>
            <w:tcMar>
              <w:top w:w="80" w:type="dxa"/>
              <w:left w:w="80" w:type="dxa"/>
              <w:bottom w:w="80" w:type="dxa"/>
              <w:right w:w="80" w:type="dxa"/>
            </w:tcMar>
            <w:vAlign w:val="center"/>
          </w:tcPr>
          <w:p w14:paraId="573CA43A" w14:textId="77777777" w:rsidR="00E46F45" w:rsidRDefault="00000000">
            <w:pPr>
              <w:spacing w:after="0"/>
            </w:pPr>
            <w:r>
              <w:rPr>
                <w:sz w:val="16"/>
              </w:rPr>
              <w:t>Bootstrap iterations</w:t>
            </w:r>
          </w:p>
        </w:tc>
        <w:tc>
          <w:tcPr>
            <w:tcW w:w="4608" w:type="dxa"/>
            <w:tcMar>
              <w:top w:w="80" w:type="dxa"/>
              <w:left w:w="80" w:type="dxa"/>
              <w:bottom w:w="80" w:type="dxa"/>
              <w:right w:w="80" w:type="dxa"/>
            </w:tcMar>
            <w:vAlign w:val="center"/>
          </w:tcPr>
          <w:p w14:paraId="4C753A2F" w14:textId="77777777" w:rsidR="00E46F45" w:rsidRDefault="00000000">
            <w:pPr>
              <w:spacing w:after="0"/>
            </w:pPr>
            <w:r>
              <w:rPr>
                <w:sz w:val="16"/>
              </w:rPr>
              <w:t>20</w:t>
            </w:r>
          </w:p>
        </w:tc>
      </w:tr>
      <w:tr w:rsidR="00E46F45" w14:paraId="41B4843C" w14:textId="77777777">
        <w:trPr>
          <w:jc w:val="center"/>
        </w:trPr>
        <w:tc>
          <w:tcPr>
            <w:tcW w:w="3168" w:type="dxa"/>
            <w:tcMar>
              <w:top w:w="80" w:type="dxa"/>
              <w:left w:w="80" w:type="dxa"/>
              <w:bottom w:w="80" w:type="dxa"/>
              <w:right w:w="80" w:type="dxa"/>
            </w:tcMar>
            <w:vAlign w:val="center"/>
          </w:tcPr>
          <w:p w14:paraId="3E916704" w14:textId="77777777" w:rsidR="00E46F45" w:rsidRDefault="00000000">
            <w:pPr>
              <w:spacing w:after="0"/>
            </w:pPr>
            <w:r>
              <w:rPr>
                <w:sz w:val="16"/>
              </w:rPr>
              <w:t>Subsample fraction</w:t>
            </w:r>
          </w:p>
        </w:tc>
        <w:tc>
          <w:tcPr>
            <w:tcW w:w="4608" w:type="dxa"/>
            <w:tcMar>
              <w:top w:w="80" w:type="dxa"/>
              <w:left w:w="80" w:type="dxa"/>
              <w:bottom w:w="80" w:type="dxa"/>
              <w:right w:w="80" w:type="dxa"/>
            </w:tcMar>
            <w:vAlign w:val="center"/>
          </w:tcPr>
          <w:p w14:paraId="6B29E7F5" w14:textId="77777777" w:rsidR="00E46F45" w:rsidRDefault="00000000">
            <w:pPr>
              <w:spacing w:after="0"/>
            </w:pPr>
            <w:r>
              <w:rPr>
                <w:sz w:val="16"/>
              </w:rPr>
              <w:t>0.80</w:t>
            </w:r>
          </w:p>
        </w:tc>
      </w:tr>
      <w:tr w:rsidR="00E46F45" w14:paraId="3225E76C" w14:textId="77777777">
        <w:trPr>
          <w:jc w:val="center"/>
        </w:trPr>
        <w:tc>
          <w:tcPr>
            <w:tcW w:w="3168" w:type="dxa"/>
            <w:tcMar>
              <w:top w:w="80" w:type="dxa"/>
              <w:left w:w="80" w:type="dxa"/>
              <w:bottom w:w="80" w:type="dxa"/>
              <w:right w:w="80" w:type="dxa"/>
            </w:tcMar>
            <w:vAlign w:val="center"/>
          </w:tcPr>
          <w:p w14:paraId="4541D0BB" w14:textId="77777777" w:rsidR="00E46F45" w:rsidRDefault="00000000">
            <w:pPr>
              <w:spacing w:after="0"/>
            </w:pPr>
            <w:r>
              <w:rPr>
                <w:sz w:val="16"/>
              </w:rPr>
              <w:t>Clustering method</w:t>
            </w:r>
          </w:p>
        </w:tc>
        <w:tc>
          <w:tcPr>
            <w:tcW w:w="4608" w:type="dxa"/>
            <w:tcMar>
              <w:top w:w="80" w:type="dxa"/>
              <w:left w:w="80" w:type="dxa"/>
              <w:bottom w:w="80" w:type="dxa"/>
              <w:right w:w="80" w:type="dxa"/>
            </w:tcMar>
            <w:vAlign w:val="center"/>
          </w:tcPr>
          <w:p w14:paraId="08F17519" w14:textId="77777777" w:rsidR="00E46F45" w:rsidRDefault="00000000">
            <w:pPr>
              <w:spacing w:after="0"/>
            </w:pPr>
            <w:r>
              <w:rPr>
                <w:sz w:val="16"/>
              </w:rPr>
              <w:t>K-means</w:t>
            </w:r>
          </w:p>
        </w:tc>
      </w:tr>
      <w:tr w:rsidR="00E46F45" w14:paraId="53C4F49E" w14:textId="77777777">
        <w:trPr>
          <w:jc w:val="center"/>
        </w:trPr>
        <w:tc>
          <w:tcPr>
            <w:tcW w:w="3168" w:type="dxa"/>
            <w:tcMar>
              <w:top w:w="80" w:type="dxa"/>
              <w:left w:w="80" w:type="dxa"/>
              <w:bottom w:w="80" w:type="dxa"/>
              <w:right w:w="80" w:type="dxa"/>
            </w:tcMar>
            <w:vAlign w:val="center"/>
          </w:tcPr>
          <w:p w14:paraId="732BDB92" w14:textId="77777777" w:rsidR="00E46F45" w:rsidRDefault="00000000">
            <w:pPr>
              <w:spacing w:after="0"/>
            </w:pPr>
            <w:r>
              <w:rPr>
                <w:sz w:val="16"/>
              </w:rPr>
              <w:t>Number of clusters</w:t>
            </w:r>
          </w:p>
        </w:tc>
        <w:tc>
          <w:tcPr>
            <w:tcW w:w="4608" w:type="dxa"/>
            <w:tcMar>
              <w:top w:w="80" w:type="dxa"/>
              <w:left w:w="80" w:type="dxa"/>
              <w:bottom w:w="80" w:type="dxa"/>
              <w:right w:w="80" w:type="dxa"/>
            </w:tcMar>
            <w:vAlign w:val="center"/>
          </w:tcPr>
          <w:p w14:paraId="749358DC" w14:textId="77777777" w:rsidR="00E46F45" w:rsidRDefault="00000000">
            <w:pPr>
              <w:spacing w:after="0"/>
            </w:pPr>
            <w:r>
              <w:rPr>
                <w:sz w:val="16"/>
              </w:rPr>
              <w:t>2</w:t>
            </w:r>
          </w:p>
        </w:tc>
      </w:tr>
      <w:tr w:rsidR="00E46F45" w14:paraId="73282247" w14:textId="77777777">
        <w:trPr>
          <w:jc w:val="center"/>
        </w:trPr>
        <w:tc>
          <w:tcPr>
            <w:tcW w:w="3168" w:type="dxa"/>
            <w:tcMar>
              <w:top w:w="80" w:type="dxa"/>
              <w:left w:w="80" w:type="dxa"/>
              <w:bottom w:w="80" w:type="dxa"/>
              <w:right w:w="80" w:type="dxa"/>
            </w:tcMar>
            <w:vAlign w:val="center"/>
          </w:tcPr>
          <w:p w14:paraId="45E9459D" w14:textId="77777777" w:rsidR="00E46F45" w:rsidRDefault="00000000">
            <w:pPr>
              <w:spacing w:after="0"/>
            </w:pPr>
            <w:r>
              <w:rPr>
                <w:sz w:val="16"/>
              </w:rPr>
              <w:t>Feature space</w:t>
            </w:r>
          </w:p>
        </w:tc>
        <w:tc>
          <w:tcPr>
            <w:tcW w:w="4608" w:type="dxa"/>
            <w:tcMar>
              <w:top w:w="80" w:type="dxa"/>
              <w:left w:w="80" w:type="dxa"/>
              <w:bottom w:w="80" w:type="dxa"/>
              <w:right w:w="80" w:type="dxa"/>
            </w:tcMar>
            <w:vAlign w:val="center"/>
          </w:tcPr>
          <w:p w14:paraId="21206750" w14:textId="77777777" w:rsidR="00E46F45" w:rsidRDefault="00000000">
            <w:pPr>
              <w:spacing w:after="0"/>
            </w:pPr>
            <w:r>
              <w:rPr>
                <w:sz w:val="16"/>
              </w:rPr>
              <w:t>First 10 principal components</w:t>
            </w:r>
          </w:p>
        </w:tc>
      </w:tr>
      <w:tr w:rsidR="00E46F45" w14:paraId="3F0BC78B" w14:textId="77777777">
        <w:trPr>
          <w:jc w:val="center"/>
        </w:trPr>
        <w:tc>
          <w:tcPr>
            <w:tcW w:w="3168" w:type="dxa"/>
            <w:tcMar>
              <w:top w:w="80" w:type="dxa"/>
              <w:left w:w="80" w:type="dxa"/>
              <w:bottom w:w="80" w:type="dxa"/>
              <w:right w:w="80" w:type="dxa"/>
            </w:tcMar>
            <w:vAlign w:val="center"/>
          </w:tcPr>
          <w:p w14:paraId="65B8032A" w14:textId="77777777" w:rsidR="00E46F45" w:rsidRDefault="00000000">
            <w:pPr>
              <w:spacing w:after="0"/>
            </w:pPr>
            <w:r>
              <w:rPr>
                <w:sz w:val="16"/>
              </w:rPr>
              <w:t>Mean ARI</w:t>
            </w:r>
          </w:p>
        </w:tc>
        <w:tc>
          <w:tcPr>
            <w:tcW w:w="4608" w:type="dxa"/>
            <w:tcMar>
              <w:top w:w="80" w:type="dxa"/>
              <w:left w:w="80" w:type="dxa"/>
              <w:bottom w:w="80" w:type="dxa"/>
              <w:right w:w="80" w:type="dxa"/>
            </w:tcMar>
            <w:vAlign w:val="center"/>
          </w:tcPr>
          <w:p w14:paraId="5F5E4862" w14:textId="77777777" w:rsidR="00E46F45" w:rsidRDefault="00000000">
            <w:pPr>
              <w:spacing w:after="0"/>
            </w:pPr>
            <w:r>
              <w:rPr>
                <w:sz w:val="16"/>
              </w:rPr>
              <w:t>0.8931</w:t>
            </w:r>
          </w:p>
        </w:tc>
      </w:tr>
      <w:tr w:rsidR="00E46F45" w14:paraId="0D1B66A0" w14:textId="77777777">
        <w:trPr>
          <w:jc w:val="center"/>
        </w:trPr>
        <w:tc>
          <w:tcPr>
            <w:tcW w:w="3168" w:type="dxa"/>
            <w:tcMar>
              <w:top w:w="80" w:type="dxa"/>
              <w:left w:w="80" w:type="dxa"/>
              <w:bottom w:w="80" w:type="dxa"/>
              <w:right w:w="80" w:type="dxa"/>
            </w:tcMar>
            <w:vAlign w:val="center"/>
          </w:tcPr>
          <w:p w14:paraId="41F30792" w14:textId="77777777" w:rsidR="00E46F45" w:rsidRDefault="00000000">
            <w:pPr>
              <w:spacing w:after="0"/>
            </w:pPr>
            <w:r>
              <w:rPr>
                <w:sz w:val="16"/>
              </w:rPr>
              <w:t>SD ARI</w:t>
            </w:r>
          </w:p>
        </w:tc>
        <w:tc>
          <w:tcPr>
            <w:tcW w:w="4608" w:type="dxa"/>
            <w:tcMar>
              <w:top w:w="80" w:type="dxa"/>
              <w:left w:w="80" w:type="dxa"/>
              <w:bottom w:w="80" w:type="dxa"/>
              <w:right w:w="80" w:type="dxa"/>
            </w:tcMar>
            <w:vAlign w:val="center"/>
          </w:tcPr>
          <w:p w14:paraId="23765158" w14:textId="77777777" w:rsidR="00E46F45" w:rsidRDefault="00000000">
            <w:pPr>
              <w:spacing w:after="0"/>
            </w:pPr>
            <w:r>
              <w:rPr>
                <w:sz w:val="16"/>
              </w:rPr>
              <w:t>0.0838</w:t>
            </w:r>
          </w:p>
        </w:tc>
      </w:tr>
      <w:tr w:rsidR="00E46F45" w14:paraId="64C199EB" w14:textId="77777777">
        <w:trPr>
          <w:jc w:val="center"/>
        </w:trPr>
        <w:tc>
          <w:tcPr>
            <w:tcW w:w="3168" w:type="dxa"/>
            <w:tcMar>
              <w:top w:w="80" w:type="dxa"/>
              <w:left w:w="80" w:type="dxa"/>
              <w:bottom w:w="80" w:type="dxa"/>
              <w:right w:w="80" w:type="dxa"/>
            </w:tcMar>
            <w:vAlign w:val="center"/>
          </w:tcPr>
          <w:p w14:paraId="6F3CD0CE" w14:textId="77777777" w:rsidR="00E46F45" w:rsidRDefault="00000000">
            <w:pPr>
              <w:spacing w:after="0"/>
            </w:pPr>
            <w:r>
              <w:rPr>
                <w:sz w:val="16"/>
              </w:rPr>
              <w:t>Minimum ARI</w:t>
            </w:r>
          </w:p>
        </w:tc>
        <w:tc>
          <w:tcPr>
            <w:tcW w:w="4608" w:type="dxa"/>
            <w:tcMar>
              <w:top w:w="80" w:type="dxa"/>
              <w:left w:w="80" w:type="dxa"/>
              <w:bottom w:w="80" w:type="dxa"/>
              <w:right w:w="80" w:type="dxa"/>
            </w:tcMar>
            <w:vAlign w:val="center"/>
          </w:tcPr>
          <w:p w14:paraId="0B235006" w14:textId="77777777" w:rsidR="00E46F45" w:rsidRDefault="00000000">
            <w:pPr>
              <w:spacing w:after="0"/>
            </w:pPr>
            <w:r>
              <w:rPr>
                <w:sz w:val="16"/>
              </w:rPr>
              <w:t>0.7397</w:t>
            </w:r>
          </w:p>
        </w:tc>
      </w:tr>
      <w:tr w:rsidR="00E46F45" w14:paraId="1B5F0161" w14:textId="77777777">
        <w:trPr>
          <w:jc w:val="center"/>
        </w:trPr>
        <w:tc>
          <w:tcPr>
            <w:tcW w:w="3168" w:type="dxa"/>
            <w:tcMar>
              <w:top w:w="80" w:type="dxa"/>
              <w:left w:w="80" w:type="dxa"/>
              <w:bottom w:w="80" w:type="dxa"/>
              <w:right w:w="80" w:type="dxa"/>
            </w:tcMar>
            <w:vAlign w:val="center"/>
          </w:tcPr>
          <w:p w14:paraId="723ABEDC" w14:textId="77777777" w:rsidR="00E46F45" w:rsidRDefault="00000000">
            <w:pPr>
              <w:spacing w:after="0"/>
            </w:pPr>
            <w:r>
              <w:rPr>
                <w:sz w:val="16"/>
              </w:rPr>
              <w:t>Maximum ARI</w:t>
            </w:r>
          </w:p>
        </w:tc>
        <w:tc>
          <w:tcPr>
            <w:tcW w:w="4608" w:type="dxa"/>
            <w:tcMar>
              <w:top w:w="80" w:type="dxa"/>
              <w:left w:w="80" w:type="dxa"/>
              <w:bottom w:w="80" w:type="dxa"/>
              <w:right w:w="80" w:type="dxa"/>
            </w:tcMar>
            <w:vAlign w:val="center"/>
          </w:tcPr>
          <w:p w14:paraId="52B8ECBD" w14:textId="77777777" w:rsidR="00E46F45" w:rsidRDefault="00000000">
            <w:pPr>
              <w:spacing w:after="0"/>
            </w:pPr>
            <w:r>
              <w:rPr>
                <w:sz w:val="16"/>
              </w:rPr>
              <w:t>0.9837</w:t>
            </w:r>
          </w:p>
        </w:tc>
      </w:tr>
    </w:tbl>
    <w:p w14:paraId="26C49D3D" w14:textId="77777777" w:rsidR="00E46F45" w:rsidRDefault="00E46F45"/>
    <w:p w14:paraId="5FD0ED13" w14:textId="77777777" w:rsidR="00E46F45" w:rsidRDefault="00000000">
      <w:pPr>
        <w:pStyle w:val="Caption"/>
        <w:jc w:val="center"/>
      </w:pPr>
      <w:r>
        <w:t>Table 6. Top raw cluster-separating radiomic features.</w:t>
      </w:r>
    </w:p>
    <w:tbl>
      <w:tblPr>
        <w:tblStyle w:val="TableGrid"/>
        <w:tblW w:w="0" w:type="auto"/>
        <w:jc w:val="center"/>
        <w:tblLook w:val="04A0" w:firstRow="1" w:lastRow="0" w:firstColumn="1" w:lastColumn="0" w:noHBand="0" w:noVBand="1"/>
      </w:tblPr>
      <w:tblGrid>
        <w:gridCol w:w="4032"/>
        <w:gridCol w:w="1080"/>
        <w:gridCol w:w="1080"/>
        <w:gridCol w:w="1080"/>
        <w:gridCol w:w="1080"/>
        <w:gridCol w:w="1296"/>
      </w:tblGrid>
      <w:tr w:rsidR="00E46F45" w14:paraId="4AAFE061" w14:textId="77777777">
        <w:trPr>
          <w:jc w:val="center"/>
        </w:trPr>
        <w:tc>
          <w:tcPr>
            <w:tcW w:w="4032" w:type="dxa"/>
            <w:shd w:val="clear" w:color="auto" w:fill="D9EAF7"/>
            <w:tcMar>
              <w:top w:w="80" w:type="dxa"/>
              <w:left w:w="80" w:type="dxa"/>
              <w:bottom w:w="80" w:type="dxa"/>
              <w:right w:w="80" w:type="dxa"/>
            </w:tcMar>
            <w:vAlign w:val="center"/>
          </w:tcPr>
          <w:p w14:paraId="6D23C96B" w14:textId="77777777" w:rsidR="00E46F45" w:rsidRDefault="00000000">
            <w:pPr>
              <w:spacing w:after="0"/>
            </w:pPr>
            <w:r>
              <w:rPr>
                <w:sz w:val="14"/>
              </w:rPr>
              <w:t>Feature</w:t>
            </w:r>
          </w:p>
        </w:tc>
        <w:tc>
          <w:tcPr>
            <w:tcW w:w="1080" w:type="dxa"/>
            <w:shd w:val="clear" w:color="auto" w:fill="D9EAF7"/>
            <w:tcMar>
              <w:top w:w="80" w:type="dxa"/>
              <w:left w:w="80" w:type="dxa"/>
              <w:bottom w:w="80" w:type="dxa"/>
              <w:right w:w="80" w:type="dxa"/>
            </w:tcMar>
            <w:vAlign w:val="center"/>
          </w:tcPr>
          <w:p w14:paraId="10F2EDB5" w14:textId="77777777" w:rsidR="00E46F45" w:rsidRDefault="00000000">
            <w:pPr>
              <w:spacing w:after="0"/>
            </w:pPr>
            <w:r>
              <w:rPr>
                <w:sz w:val="14"/>
              </w:rPr>
              <w:t>Mean C0</w:t>
            </w:r>
          </w:p>
        </w:tc>
        <w:tc>
          <w:tcPr>
            <w:tcW w:w="1080" w:type="dxa"/>
            <w:shd w:val="clear" w:color="auto" w:fill="D9EAF7"/>
            <w:tcMar>
              <w:top w:w="80" w:type="dxa"/>
              <w:left w:w="80" w:type="dxa"/>
              <w:bottom w:w="80" w:type="dxa"/>
              <w:right w:w="80" w:type="dxa"/>
            </w:tcMar>
            <w:vAlign w:val="center"/>
          </w:tcPr>
          <w:p w14:paraId="5295F884" w14:textId="77777777" w:rsidR="00E46F45" w:rsidRDefault="00000000">
            <w:pPr>
              <w:spacing w:after="0"/>
            </w:pPr>
            <w:r>
              <w:rPr>
                <w:sz w:val="14"/>
              </w:rPr>
              <w:t>Mean C1</w:t>
            </w:r>
          </w:p>
        </w:tc>
        <w:tc>
          <w:tcPr>
            <w:tcW w:w="1080" w:type="dxa"/>
            <w:shd w:val="clear" w:color="auto" w:fill="D9EAF7"/>
            <w:tcMar>
              <w:top w:w="80" w:type="dxa"/>
              <w:left w:w="80" w:type="dxa"/>
              <w:bottom w:w="80" w:type="dxa"/>
              <w:right w:w="80" w:type="dxa"/>
            </w:tcMar>
            <w:vAlign w:val="center"/>
          </w:tcPr>
          <w:p w14:paraId="5E6BCFE5" w14:textId="77777777" w:rsidR="00E46F45" w:rsidRDefault="00000000">
            <w:pPr>
              <w:spacing w:after="0"/>
            </w:pPr>
            <w:r>
              <w:rPr>
                <w:sz w:val="14"/>
              </w:rPr>
              <w:t>C1-C0</w:t>
            </w:r>
          </w:p>
        </w:tc>
        <w:tc>
          <w:tcPr>
            <w:tcW w:w="1080" w:type="dxa"/>
            <w:shd w:val="clear" w:color="auto" w:fill="D9EAF7"/>
            <w:tcMar>
              <w:top w:w="80" w:type="dxa"/>
              <w:left w:w="80" w:type="dxa"/>
              <w:bottom w:w="80" w:type="dxa"/>
              <w:right w:w="80" w:type="dxa"/>
            </w:tcMar>
            <w:vAlign w:val="center"/>
          </w:tcPr>
          <w:p w14:paraId="69136C44" w14:textId="77777777" w:rsidR="00E46F45" w:rsidRDefault="00000000">
            <w:pPr>
              <w:spacing w:after="0"/>
            </w:pPr>
            <w:r>
              <w:rPr>
                <w:sz w:val="14"/>
              </w:rPr>
              <w:t>Cohen d</w:t>
            </w:r>
          </w:p>
        </w:tc>
        <w:tc>
          <w:tcPr>
            <w:tcW w:w="1296" w:type="dxa"/>
            <w:shd w:val="clear" w:color="auto" w:fill="D9EAF7"/>
            <w:tcMar>
              <w:top w:w="80" w:type="dxa"/>
              <w:left w:w="80" w:type="dxa"/>
              <w:bottom w:w="80" w:type="dxa"/>
              <w:right w:w="80" w:type="dxa"/>
            </w:tcMar>
            <w:vAlign w:val="center"/>
          </w:tcPr>
          <w:p w14:paraId="292D5202" w14:textId="77777777" w:rsidR="00E46F45" w:rsidRDefault="00000000">
            <w:pPr>
              <w:spacing w:after="0"/>
            </w:pPr>
            <w:r>
              <w:rPr>
                <w:sz w:val="14"/>
              </w:rPr>
              <w:t>q-value</w:t>
            </w:r>
          </w:p>
        </w:tc>
      </w:tr>
      <w:tr w:rsidR="00E46F45" w14:paraId="71E1C0FB" w14:textId="77777777">
        <w:trPr>
          <w:jc w:val="center"/>
        </w:trPr>
        <w:tc>
          <w:tcPr>
            <w:tcW w:w="4032" w:type="dxa"/>
            <w:tcMar>
              <w:top w:w="80" w:type="dxa"/>
              <w:left w:w="80" w:type="dxa"/>
              <w:bottom w:w="80" w:type="dxa"/>
              <w:right w:w="80" w:type="dxa"/>
            </w:tcMar>
            <w:vAlign w:val="center"/>
          </w:tcPr>
          <w:p w14:paraId="583FD848" w14:textId="77777777" w:rsidR="00E46F45" w:rsidRDefault="00000000">
            <w:pPr>
              <w:spacing w:after="0"/>
            </w:pPr>
            <w:r>
              <w:rPr>
                <w:sz w:val="14"/>
              </w:rPr>
              <w:t>SER_map_Entropy_tissue_T1</w:t>
            </w:r>
          </w:p>
        </w:tc>
        <w:tc>
          <w:tcPr>
            <w:tcW w:w="1080" w:type="dxa"/>
            <w:tcMar>
              <w:top w:w="80" w:type="dxa"/>
              <w:left w:w="80" w:type="dxa"/>
              <w:bottom w:w="80" w:type="dxa"/>
              <w:right w:w="80" w:type="dxa"/>
            </w:tcMar>
            <w:vAlign w:val="center"/>
          </w:tcPr>
          <w:p w14:paraId="24592357" w14:textId="77777777" w:rsidR="00E46F45" w:rsidRDefault="00000000">
            <w:pPr>
              <w:spacing w:after="0"/>
            </w:pPr>
            <w:r>
              <w:rPr>
                <w:sz w:val="14"/>
              </w:rPr>
              <w:t>-0.552</w:t>
            </w:r>
          </w:p>
        </w:tc>
        <w:tc>
          <w:tcPr>
            <w:tcW w:w="1080" w:type="dxa"/>
            <w:tcMar>
              <w:top w:w="80" w:type="dxa"/>
              <w:left w:w="80" w:type="dxa"/>
              <w:bottom w:w="80" w:type="dxa"/>
              <w:right w:w="80" w:type="dxa"/>
            </w:tcMar>
            <w:vAlign w:val="center"/>
          </w:tcPr>
          <w:p w14:paraId="0AAD8AA3" w14:textId="77777777" w:rsidR="00E46F45" w:rsidRDefault="00000000">
            <w:pPr>
              <w:spacing w:after="0"/>
            </w:pPr>
            <w:r>
              <w:rPr>
                <w:sz w:val="14"/>
              </w:rPr>
              <w:t>0.964</w:t>
            </w:r>
          </w:p>
        </w:tc>
        <w:tc>
          <w:tcPr>
            <w:tcW w:w="1080" w:type="dxa"/>
            <w:tcMar>
              <w:top w:w="80" w:type="dxa"/>
              <w:left w:w="80" w:type="dxa"/>
              <w:bottom w:w="80" w:type="dxa"/>
              <w:right w:w="80" w:type="dxa"/>
            </w:tcMar>
            <w:vAlign w:val="center"/>
          </w:tcPr>
          <w:p w14:paraId="3EAC5460" w14:textId="77777777" w:rsidR="00E46F45" w:rsidRDefault="00000000">
            <w:pPr>
              <w:spacing w:after="0"/>
            </w:pPr>
            <w:r>
              <w:rPr>
                <w:sz w:val="14"/>
              </w:rPr>
              <w:t>1.516</w:t>
            </w:r>
          </w:p>
        </w:tc>
        <w:tc>
          <w:tcPr>
            <w:tcW w:w="1080" w:type="dxa"/>
            <w:tcMar>
              <w:top w:w="80" w:type="dxa"/>
              <w:left w:w="80" w:type="dxa"/>
              <w:bottom w:w="80" w:type="dxa"/>
              <w:right w:w="80" w:type="dxa"/>
            </w:tcMar>
            <w:vAlign w:val="center"/>
          </w:tcPr>
          <w:p w14:paraId="742DB373" w14:textId="77777777" w:rsidR="00E46F45" w:rsidRDefault="00000000">
            <w:pPr>
              <w:spacing w:after="0"/>
            </w:pPr>
            <w:r>
              <w:rPr>
                <w:sz w:val="14"/>
              </w:rPr>
              <w:t>2.214</w:t>
            </w:r>
          </w:p>
        </w:tc>
        <w:tc>
          <w:tcPr>
            <w:tcW w:w="1296" w:type="dxa"/>
            <w:tcMar>
              <w:top w:w="80" w:type="dxa"/>
              <w:left w:w="80" w:type="dxa"/>
              <w:bottom w:w="80" w:type="dxa"/>
              <w:right w:w="80" w:type="dxa"/>
            </w:tcMar>
            <w:vAlign w:val="center"/>
          </w:tcPr>
          <w:p w14:paraId="184A350C" w14:textId="77777777" w:rsidR="00E46F45" w:rsidRDefault="00000000">
            <w:pPr>
              <w:spacing w:after="0"/>
            </w:pPr>
            <w:r>
              <w:rPr>
                <w:sz w:val="14"/>
              </w:rPr>
              <w:t>1.09E-100</w:t>
            </w:r>
          </w:p>
        </w:tc>
      </w:tr>
      <w:tr w:rsidR="00E46F45" w14:paraId="06440E1C" w14:textId="77777777">
        <w:trPr>
          <w:jc w:val="center"/>
        </w:trPr>
        <w:tc>
          <w:tcPr>
            <w:tcW w:w="4032" w:type="dxa"/>
            <w:tcMar>
              <w:top w:w="80" w:type="dxa"/>
              <w:left w:w="80" w:type="dxa"/>
              <w:bottom w:w="80" w:type="dxa"/>
              <w:right w:w="80" w:type="dxa"/>
            </w:tcMar>
            <w:vAlign w:val="center"/>
          </w:tcPr>
          <w:p w14:paraId="7CB56327" w14:textId="77777777" w:rsidR="00E46F45" w:rsidRDefault="00000000">
            <w:pPr>
              <w:spacing w:after="0"/>
            </w:pPr>
            <w:r>
              <w:rPr>
                <w:sz w:val="14"/>
              </w:rPr>
              <w:t>SER_map_sum_entropy_tissue_T1</w:t>
            </w:r>
          </w:p>
        </w:tc>
        <w:tc>
          <w:tcPr>
            <w:tcW w:w="1080" w:type="dxa"/>
            <w:tcMar>
              <w:top w:w="80" w:type="dxa"/>
              <w:left w:w="80" w:type="dxa"/>
              <w:bottom w:w="80" w:type="dxa"/>
              <w:right w:w="80" w:type="dxa"/>
            </w:tcMar>
            <w:vAlign w:val="center"/>
          </w:tcPr>
          <w:p w14:paraId="55A9C6AD" w14:textId="77777777" w:rsidR="00E46F45" w:rsidRDefault="00000000">
            <w:pPr>
              <w:spacing w:after="0"/>
            </w:pPr>
            <w:r>
              <w:rPr>
                <w:sz w:val="14"/>
              </w:rPr>
              <w:t>-0.552</w:t>
            </w:r>
          </w:p>
        </w:tc>
        <w:tc>
          <w:tcPr>
            <w:tcW w:w="1080" w:type="dxa"/>
            <w:tcMar>
              <w:top w:w="80" w:type="dxa"/>
              <w:left w:w="80" w:type="dxa"/>
              <w:bottom w:w="80" w:type="dxa"/>
              <w:right w:w="80" w:type="dxa"/>
            </w:tcMar>
            <w:vAlign w:val="center"/>
          </w:tcPr>
          <w:p w14:paraId="6D37D042" w14:textId="77777777" w:rsidR="00E46F45" w:rsidRDefault="00000000">
            <w:pPr>
              <w:spacing w:after="0"/>
            </w:pPr>
            <w:r>
              <w:rPr>
                <w:sz w:val="14"/>
              </w:rPr>
              <w:t>0.963</w:t>
            </w:r>
          </w:p>
        </w:tc>
        <w:tc>
          <w:tcPr>
            <w:tcW w:w="1080" w:type="dxa"/>
            <w:tcMar>
              <w:top w:w="80" w:type="dxa"/>
              <w:left w:w="80" w:type="dxa"/>
              <w:bottom w:w="80" w:type="dxa"/>
              <w:right w:w="80" w:type="dxa"/>
            </w:tcMar>
            <w:vAlign w:val="center"/>
          </w:tcPr>
          <w:p w14:paraId="113D6605" w14:textId="77777777" w:rsidR="00E46F45" w:rsidRDefault="00000000">
            <w:pPr>
              <w:spacing w:after="0"/>
            </w:pPr>
            <w:r>
              <w:rPr>
                <w:sz w:val="14"/>
              </w:rPr>
              <w:t>1.515</w:t>
            </w:r>
          </w:p>
        </w:tc>
        <w:tc>
          <w:tcPr>
            <w:tcW w:w="1080" w:type="dxa"/>
            <w:tcMar>
              <w:top w:w="80" w:type="dxa"/>
              <w:left w:w="80" w:type="dxa"/>
              <w:bottom w:w="80" w:type="dxa"/>
              <w:right w:w="80" w:type="dxa"/>
            </w:tcMar>
            <w:vAlign w:val="center"/>
          </w:tcPr>
          <w:p w14:paraId="7B7F92F9" w14:textId="77777777" w:rsidR="00E46F45" w:rsidRDefault="00000000">
            <w:pPr>
              <w:spacing w:after="0"/>
            </w:pPr>
            <w:r>
              <w:rPr>
                <w:sz w:val="14"/>
              </w:rPr>
              <w:t>2.211</w:t>
            </w:r>
          </w:p>
        </w:tc>
        <w:tc>
          <w:tcPr>
            <w:tcW w:w="1296" w:type="dxa"/>
            <w:tcMar>
              <w:top w:w="80" w:type="dxa"/>
              <w:left w:w="80" w:type="dxa"/>
              <w:bottom w:w="80" w:type="dxa"/>
              <w:right w:w="80" w:type="dxa"/>
            </w:tcMar>
            <w:vAlign w:val="center"/>
          </w:tcPr>
          <w:p w14:paraId="68364D65" w14:textId="77777777" w:rsidR="00E46F45" w:rsidRDefault="00000000">
            <w:pPr>
              <w:spacing w:after="0"/>
            </w:pPr>
            <w:r>
              <w:rPr>
                <w:sz w:val="14"/>
              </w:rPr>
              <w:t>2.70E-109</w:t>
            </w:r>
          </w:p>
        </w:tc>
      </w:tr>
      <w:tr w:rsidR="00E46F45" w14:paraId="14FEAFB6" w14:textId="77777777">
        <w:trPr>
          <w:jc w:val="center"/>
        </w:trPr>
        <w:tc>
          <w:tcPr>
            <w:tcW w:w="4032" w:type="dxa"/>
            <w:tcMar>
              <w:top w:w="80" w:type="dxa"/>
              <w:left w:w="80" w:type="dxa"/>
              <w:bottom w:w="80" w:type="dxa"/>
              <w:right w:w="80" w:type="dxa"/>
            </w:tcMar>
            <w:vAlign w:val="center"/>
          </w:tcPr>
          <w:p w14:paraId="7BDE09A8" w14:textId="77777777" w:rsidR="00E46F45" w:rsidRDefault="00000000">
            <w:pPr>
              <w:spacing w:after="0"/>
            </w:pPr>
            <w:r>
              <w:rPr>
                <w:sz w:val="14"/>
              </w:rPr>
              <w:t>SER_map_std_dev_tissue_T1</w:t>
            </w:r>
          </w:p>
        </w:tc>
        <w:tc>
          <w:tcPr>
            <w:tcW w:w="1080" w:type="dxa"/>
            <w:tcMar>
              <w:top w:w="80" w:type="dxa"/>
              <w:left w:w="80" w:type="dxa"/>
              <w:bottom w:w="80" w:type="dxa"/>
              <w:right w:w="80" w:type="dxa"/>
            </w:tcMar>
            <w:vAlign w:val="center"/>
          </w:tcPr>
          <w:p w14:paraId="102568CC" w14:textId="77777777" w:rsidR="00E46F45" w:rsidRDefault="00000000">
            <w:pPr>
              <w:spacing w:after="0"/>
            </w:pPr>
            <w:r>
              <w:rPr>
                <w:sz w:val="14"/>
              </w:rPr>
              <w:t>0.550</w:t>
            </w:r>
          </w:p>
        </w:tc>
        <w:tc>
          <w:tcPr>
            <w:tcW w:w="1080" w:type="dxa"/>
            <w:tcMar>
              <w:top w:w="80" w:type="dxa"/>
              <w:left w:w="80" w:type="dxa"/>
              <w:bottom w:w="80" w:type="dxa"/>
              <w:right w:w="80" w:type="dxa"/>
            </w:tcMar>
            <w:vAlign w:val="center"/>
          </w:tcPr>
          <w:p w14:paraId="063209D8" w14:textId="77777777" w:rsidR="00E46F45" w:rsidRDefault="00000000">
            <w:pPr>
              <w:spacing w:after="0"/>
            </w:pPr>
            <w:r>
              <w:rPr>
                <w:sz w:val="14"/>
              </w:rPr>
              <w:t>-0.960</w:t>
            </w:r>
          </w:p>
        </w:tc>
        <w:tc>
          <w:tcPr>
            <w:tcW w:w="1080" w:type="dxa"/>
            <w:tcMar>
              <w:top w:w="80" w:type="dxa"/>
              <w:left w:w="80" w:type="dxa"/>
              <w:bottom w:w="80" w:type="dxa"/>
              <w:right w:w="80" w:type="dxa"/>
            </w:tcMar>
            <w:vAlign w:val="center"/>
          </w:tcPr>
          <w:p w14:paraId="48B04BA1" w14:textId="77777777" w:rsidR="00E46F45" w:rsidRDefault="00000000">
            <w:pPr>
              <w:spacing w:after="0"/>
            </w:pPr>
            <w:r>
              <w:rPr>
                <w:sz w:val="14"/>
              </w:rPr>
              <w:t>-1.510</w:t>
            </w:r>
          </w:p>
        </w:tc>
        <w:tc>
          <w:tcPr>
            <w:tcW w:w="1080" w:type="dxa"/>
            <w:tcMar>
              <w:top w:w="80" w:type="dxa"/>
              <w:left w:w="80" w:type="dxa"/>
              <w:bottom w:w="80" w:type="dxa"/>
              <w:right w:w="80" w:type="dxa"/>
            </w:tcMar>
            <w:vAlign w:val="center"/>
          </w:tcPr>
          <w:p w14:paraId="2E52471E" w14:textId="77777777" w:rsidR="00E46F45" w:rsidRDefault="00000000">
            <w:pPr>
              <w:spacing w:after="0"/>
            </w:pPr>
            <w:r>
              <w:rPr>
                <w:sz w:val="14"/>
              </w:rPr>
              <w:t>-2.196</w:t>
            </w:r>
          </w:p>
        </w:tc>
        <w:tc>
          <w:tcPr>
            <w:tcW w:w="1296" w:type="dxa"/>
            <w:tcMar>
              <w:top w:w="80" w:type="dxa"/>
              <w:left w:w="80" w:type="dxa"/>
              <w:bottom w:w="80" w:type="dxa"/>
              <w:right w:w="80" w:type="dxa"/>
            </w:tcMar>
            <w:vAlign w:val="center"/>
          </w:tcPr>
          <w:p w14:paraId="257F0565" w14:textId="77777777" w:rsidR="00E46F45" w:rsidRDefault="00000000">
            <w:pPr>
              <w:spacing w:after="0"/>
            </w:pPr>
            <w:r>
              <w:rPr>
                <w:sz w:val="14"/>
              </w:rPr>
              <w:t>2.45E-164</w:t>
            </w:r>
          </w:p>
        </w:tc>
      </w:tr>
      <w:tr w:rsidR="00E46F45" w14:paraId="02C43478" w14:textId="77777777">
        <w:trPr>
          <w:jc w:val="center"/>
        </w:trPr>
        <w:tc>
          <w:tcPr>
            <w:tcW w:w="4032" w:type="dxa"/>
            <w:tcMar>
              <w:top w:w="80" w:type="dxa"/>
              <w:left w:w="80" w:type="dxa"/>
              <w:bottom w:w="80" w:type="dxa"/>
              <w:right w:w="80" w:type="dxa"/>
            </w:tcMar>
            <w:vAlign w:val="center"/>
          </w:tcPr>
          <w:p w14:paraId="09A79F8E" w14:textId="77777777" w:rsidR="00E46F45" w:rsidRDefault="00000000">
            <w:pPr>
              <w:spacing w:after="0"/>
            </w:pPr>
            <w:r>
              <w:rPr>
                <w:sz w:val="14"/>
              </w:rPr>
              <w:t>SER_map_difference_entropy_tissue_T1</w:t>
            </w:r>
          </w:p>
        </w:tc>
        <w:tc>
          <w:tcPr>
            <w:tcW w:w="1080" w:type="dxa"/>
            <w:tcMar>
              <w:top w:w="80" w:type="dxa"/>
              <w:left w:w="80" w:type="dxa"/>
              <w:bottom w:w="80" w:type="dxa"/>
              <w:right w:w="80" w:type="dxa"/>
            </w:tcMar>
            <w:vAlign w:val="center"/>
          </w:tcPr>
          <w:p w14:paraId="7EA0B42B" w14:textId="77777777" w:rsidR="00E46F45" w:rsidRDefault="00000000">
            <w:pPr>
              <w:spacing w:after="0"/>
            </w:pPr>
            <w:r>
              <w:rPr>
                <w:sz w:val="14"/>
              </w:rPr>
              <w:t>-0.546</w:t>
            </w:r>
          </w:p>
        </w:tc>
        <w:tc>
          <w:tcPr>
            <w:tcW w:w="1080" w:type="dxa"/>
            <w:tcMar>
              <w:top w:w="80" w:type="dxa"/>
              <w:left w:w="80" w:type="dxa"/>
              <w:bottom w:w="80" w:type="dxa"/>
              <w:right w:w="80" w:type="dxa"/>
            </w:tcMar>
            <w:vAlign w:val="center"/>
          </w:tcPr>
          <w:p w14:paraId="762CCE8D" w14:textId="77777777" w:rsidR="00E46F45" w:rsidRDefault="00000000">
            <w:pPr>
              <w:spacing w:after="0"/>
            </w:pPr>
            <w:r>
              <w:rPr>
                <w:sz w:val="14"/>
              </w:rPr>
              <w:t>0.953</w:t>
            </w:r>
          </w:p>
        </w:tc>
        <w:tc>
          <w:tcPr>
            <w:tcW w:w="1080" w:type="dxa"/>
            <w:tcMar>
              <w:top w:w="80" w:type="dxa"/>
              <w:left w:w="80" w:type="dxa"/>
              <w:bottom w:w="80" w:type="dxa"/>
              <w:right w:w="80" w:type="dxa"/>
            </w:tcMar>
            <w:vAlign w:val="center"/>
          </w:tcPr>
          <w:p w14:paraId="2FFCFE05" w14:textId="77777777" w:rsidR="00E46F45" w:rsidRDefault="00000000">
            <w:pPr>
              <w:spacing w:after="0"/>
            </w:pPr>
            <w:r>
              <w:rPr>
                <w:sz w:val="14"/>
              </w:rPr>
              <w:t>1.499</w:t>
            </w:r>
          </w:p>
        </w:tc>
        <w:tc>
          <w:tcPr>
            <w:tcW w:w="1080" w:type="dxa"/>
            <w:tcMar>
              <w:top w:w="80" w:type="dxa"/>
              <w:left w:w="80" w:type="dxa"/>
              <w:bottom w:w="80" w:type="dxa"/>
              <w:right w:w="80" w:type="dxa"/>
            </w:tcMar>
            <w:vAlign w:val="center"/>
          </w:tcPr>
          <w:p w14:paraId="17A9D6F7" w14:textId="77777777" w:rsidR="00E46F45" w:rsidRDefault="00000000">
            <w:pPr>
              <w:spacing w:after="0"/>
            </w:pPr>
            <w:r>
              <w:rPr>
                <w:sz w:val="14"/>
              </w:rPr>
              <w:t>2.162</w:t>
            </w:r>
          </w:p>
        </w:tc>
        <w:tc>
          <w:tcPr>
            <w:tcW w:w="1296" w:type="dxa"/>
            <w:tcMar>
              <w:top w:w="80" w:type="dxa"/>
              <w:left w:w="80" w:type="dxa"/>
              <w:bottom w:w="80" w:type="dxa"/>
              <w:right w:w="80" w:type="dxa"/>
            </w:tcMar>
            <w:vAlign w:val="center"/>
          </w:tcPr>
          <w:p w14:paraId="69A890B4" w14:textId="77777777" w:rsidR="00E46F45" w:rsidRDefault="00000000">
            <w:pPr>
              <w:spacing w:after="0"/>
            </w:pPr>
            <w:r>
              <w:rPr>
                <w:sz w:val="14"/>
              </w:rPr>
              <w:t>1.18E-103</w:t>
            </w:r>
          </w:p>
        </w:tc>
      </w:tr>
      <w:tr w:rsidR="00E46F45" w14:paraId="0E5DE8D8" w14:textId="77777777">
        <w:trPr>
          <w:jc w:val="center"/>
        </w:trPr>
        <w:tc>
          <w:tcPr>
            <w:tcW w:w="4032" w:type="dxa"/>
            <w:tcMar>
              <w:top w:w="80" w:type="dxa"/>
              <w:left w:w="80" w:type="dxa"/>
              <w:bottom w:w="80" w:type="dxa"/>
              <w:right w:w="80" w:type="dxa"/>
            </w:tcMar>
            <w:vAlign w:val="center"/>
          </w:tcPr>
          <w:p w14:paraId="3C1D825C" w14:textId="77777777" w:rsidR="00E46F45" w:rsidRDefault="00000000">
            <w:pPr>
              <w:spacing w:after="0"/>
            </w:pPr>
            <w:r>
              <w:rPr>
                <w:sz w:val="14"/>
              </w:rPr>
              <w:t>SER_map_Homogeneity2_tissue_T1</w:t>
            </w:r>
          </w:p>
        </w:tc>
        <w:tc>
          <w:tcPr>
            <w:tcW w:w="1080" w:type="dxa"/>
            <w:tcMar>
              <w:top w:w="80" w:type="dxa"/>
              <w:left w:w="80" w:type="dxa"/>
              <w:bottom w:w="80" w:type="dxa"/>
              <w:right w:w="80" w:type="dxa"/>
            </w:tcMar>
            <w:vAlign w:val="center"/>
          </w:tcPr>
          <w:p w14:paraId="531EE80D" w14:textId="77777777" w:rsidR="00E46F45" w:rsidRDefault="00000000">
            <w:pPr>
              <w:spacing w:after="0"/>
            </w:pPr>
            <w:r>
              <w:rPr>
                <w:sz w:val="14"/>
              </w:rPr>
              <w:t>0.540</w:t>
            </w:r>
          </w:p>
        </w:tc>
        <w:tc>
          <w:tcPr>
            <w:tcW w:w="1080" w:type="dxa"/>
            <w:tcMar>
              <w:top w:w="80" w:type="dxa"/>
              <w:left w:w="80" w:type="dxa"/>
              <w:bottom w:w="80" w:type="dxa"/>
              <w:right w:w="80" w:type="dxa"/>
            </w:tcMar>
            <w:vAlign w:val="center"/>
          </w:tcPr>
          <w:p w14:paraId="63B92964" w14:textId="77777777" w:rsidR="00E46F45" w:rsidRDefault="00000000">
            <w:pPr>
              <w:spacing w:after="0"/>
            </w:pPr>
            <w:r>
              <w:rPr>
                <w:sz w:val="14"/>
              </w:rPr>
              <w:t>-0.942</w:t>
            </w:r>
          </w:p>
        </w:tc>
        <w:tc>
          <w:tcPr>
            <w:tcW w:w="1080" w:type="dxa"/>
            <w:tcMar>
              <w:top w:w="80" w:type="dxa"/>
              <w:left w:w="80" w:type="dxa"/>
              <w:bottom w:w="80" w:type="dxa"/>
              <w:right w:w="80" w:type="dxa"/>
            </w:tcMar>
            <w:vAlign w:val="center"/>
          </w:tcPr>
          <w:p w14:paraId="5175C608" w14:textId="77777777" w:rsidR="00E46F45" w:rsidRDefault="00000000">
            <w:pPr>
              <w:spacing w:after="0"/>
            </w:pPr>
            <w:r>
              <w:rPr>
                <w:sz w:val="14"/>
              </w:rPr>
              <w:t>-1.483</w:t>
            </w:r>
          </w:p>
        </w:tc>
        <w:tc>
          <w:tcPr>
            <w:tcW w:w="1080" w:type="dxa"/>
            <w:tcMar>
              <w:top w:w="80" w:type="dxa"/>
              <w:left w:w="80" w:type="dxa"/>
              <w:bottom w:w="80" w:type="dxa"/>
              <w:right w:w="80" w:type="dxa"/>
            </w:tcMar>
            <w:vAlign w:val="center"/>
          </w:tcPr>
          <w:p w14:paraId="2E3AFF8B" w14:textId="77777777" w:rsidR="00E46F45" w:rsidRDefault="00000000">
            <w:pPr>
              <w:spacing w:after="0"/>
            </w:pPr>
            <w:r>
              <w:rPr>
                <w:sz w:val="14"/>
              </w:rPr>
              <w:t>-2.114</w:t>
            </w:r>
          </w:p>
        </w:tc>
        <w:tc>
          <w:tcPr>
            <w:tcW w:w="1296" w:type="dxa"/>
            <w:tcMar>
              <w:top w:w="80" w:type="dxa"/>
              <w:left w:w="80" w:type="dxa"/>
              <w:bottom w:w="80" w:type="dxa"/>
              <w:right w:w="80" w:type="dxa"/>
            </w:tcMar>
            <w:vAlign w:val="center"/>
          </w:tcPr>
          <w:p w14:paraId="286A3AC9" w14:textId="77777777" w:rsidR="00E46F45" w:rsidRDefault="00000000">
            <w:pPr>
              <w:spacing w:after="0"/>
            </w:pPr>
            <w:r>
              <w:rPr>
                <w:sz w:val="14"/>
              </w:rPr>
              <w:t>2.46E-95</w:t>
            </w:r>
          </w:p>
        </w:tc>
      </w:tr>
      <w:tr w:rsidR="00E46F45" w14:paraId="1AEC1694" w14:textId="77777777">
        <w:trPr>
          <w:jc w:val="center"/>
        </w:trPr>
        <w:tc>
          <w:tcPr>
            <w:tcW w:w="4032" w:type="dxa"/>
            <w:tcMar>
              <w:top w:w="80" w:type="dxa"/>
              <w:left w:w="80" w:type="dxa"/>
              <w:bottom w:w="80" w:type="dxa"/>
              <w:right w:w="80" w:type="dxa"/>
            </w:tcMar>
            <w:vAlign w:val="center"/>
          </w:tcPr>
          <w:p w14:paraId="43BA664F" w14:textId="77777777" w:rsidR="00E46F45" w:rsidRDefault="00000000">
            <w:pPr>
              <w:spacing w:after="0"/>
            </w:pPr>
            <w:r>
              <w:rPr>
                <w:sz w:val="14"/>
              </w:rPr>
              <w:t>SER_map_Homogeneity1_tissue_T1</w:t>
            </w:r>
          </w:p>
        </w:tc>
        <w:tc>
          <w:tcPr>
            <w:tcW w:w="1080" w:type="dxa"/>
            <w:tcMar>
              <w:top w:w="80" w:type="dxa"/>
              <w:left w:w="80" w:type="dxa"/>
              <w:bottom w:w="80" w:type="dxa"/>
              <w:right w:w="80" w:type="dxa"/>
            </w:tcMar>
            <w:vAlign w:val="center"/>
          </w:tcPr>
          <w:p w14:paraId="60F3B53F" w14:textId="77777777" w:rsidR="00E46F45" w:rsidRDefault="00000000">
            <w:pPr>
              <w:spacing w:after="0"/>
            </w:pPr>
            <w:r>
              <w:rPr>
                <w:sz w:val="14"/>
              </w:rPr>
              <w:t>0.539</w:t>
            </w:r>
          </w:p>
        </w:tc>
        <w:tc>
          <w:tcPr>
            <w:tcW w:w="1080" w:type="dxa"/>
            <w:tcMar>
              <w:top w:w="80" w:type="dxa"/>
              <w:left w:w="80" w:type="dxa"/>
              <w:bottom w:w="80" w:type="dxa"/>
              <w:right w:w="80" w:type="dxa"/>
            </w:tcMar>
            <w:vAlign w:val="center"/>
          </w:tcPr>
          <w:p w14:paraId="007D15D8" w14:textId="77777777" w:rsidR="00E46F45" w:rsidRDefault="00000000">
            <w:pPr>
              <w:spacing w:after="0"/>
            </w:pPr>
            <w:r>
              <w:rPr>
                <w:sz w:val="14"/>
              </w:rPr>
              <w:t>-0.940</w:t>
            </w:r>
          </w:p>
        </w:tc>
        <w:tc>
          <w:tcPr>
            <w:tcW w:w="1080" w:type="dxa"/>
            <w:tcMar>
              <w:top w:w="80" w:type="dxa"/>
              <w:left w:w="80" w:type="dxa"/>
              <w:bottom w:w="80" w:type="dxa"/>
              <w:right w:w="80" w:type="dxa"/>
            </w:tcMar>
            <w:vAlign w:val="center"/>
          </w:tcPr>
          <w:p w14:paraId="59BBBEC8" w14:textId="77777777" w:rsidR="00E46F45" w:rsidRDefault="00000000">
            <w:pPr>
              <w:spacing w:after="0"/>
            </w:pPr>
            <w:r>
              <w:rPr>
                <w:sz w:val="14"/>
              </w:rPr>
              <w:t>-1.479</w:t>
            </w:r>
          </w:p>
        </w:tc>
        <w:tc>
          <w:tcPr>
            <w:tcW w:w="1080" w:type="dxa"/>
            <w:tcMar>
              <w:top w:w="80" w:type="dxa"/>
              <w:left w:w="80" w:type="dxa"/>
              <w:bottom w:w="80" w:type="dxa"/>
              <w:right w:w="80" w:type="dxa"/>
            </w:tcMar>
            <w:vAlign w:val="center"/>
          </w:tcPr>
          <w:p w14:paraId="1292EB28" w14:textId="77777777" w:rsidR="00E46F45" w:rsidRDefault="00000000">
            <w:pPr>
              <w:spacing w:after="0"/>
            </w:pPr>
            <w:r>
              <w:rPr>
                <w:sz w:val="14"/>
              </w:rPr>
              <w:t>-2.104</w:t>
            </w:r>
          </w:p>
        </w:tc>
        <w:tc>
          <w:tcPr>
            <w:tcW w:w="1296" w:type="dxa"/>
            <w:tcMar>
              <w:top w:w="80" w:type="dxa"/>
              <w:left w:w="80" w:type="dxa"/>
              <w:bottom w:w="80" w:type="dxa"/>
              <w:right w:w="80" w:type="dxa"/>
            </w:tcMar>
            <w:vAlign w:val="center"/>
          </w:tcPr>
          <w:p w14:paraId="29541D12" w14:textId="77777777" w:rsidR="00E46F45" w:rsidRDefault="00000000">
            <w:pPr>
              <w:spacing w:after="0"/>
            </w:pPr>
            <w:r>
              <w:rPr>
                <w:sz w:val="14"/>
              </w:rPr>
              <w:t>1.70E-97</w:t>
            </w:r>
          </w:p>
        </w:tc>
      </w:tr>
      <w:tr w:rsidR="00E46F45" w14:paraId="19793FAE" w14:textId="77777777">
        <w:trPr>
          <w:jc w:val="center"/>
        </w:trPr>
        <w:tc>
          <w:tcPr>
            <w:tcW w:w="4032" w:type="dxa"/>
            <w:tcMar>
              <w:top w:w="80" w:type="dxa"/>
              <w:left w:w="80" w:type="dxa"/>
              <w:bottom w:w="80" w:type="dxa"/>
              <w:right w:w="80" w:type="dxa"/>
            </w:tcMar>
            <w:vAlign w:val="center"/>
          </w:tcPr>
          <w:p w14:paraId="6E2AF9D7" w14:textId="77777777" w:rsidR="00E46F45" w:rsidRDefault="00000000">
            <w:pPr>
              <w:spacing w:after="0"/>
            </w:pPr>
            <w:r>
              <w:rPr>
                <w:sz w:val="14"/>
              </w:rPr>
              <w:t>PE_map_std_dev_tissue_T1</w:t>
            </w:r>
          </w:p>
        </w:tc>
        <w:tc>
          <w:tcPr>
            <w:tcW w:w="1080" w:type="dxa"/>
            <w:tcMar>
              <w:top w:w="80" w:type="dxa"/>
              <w:left w:w="80" w:type="dxa"/>
              <w:bottom w:w="80" w:type="dxa"/>
              <w:right w:w="80" w:type="dxa"/>
            </w:tcMar>
            <w:vAlign w:val="center"/>
          </w:tcPr>
          <w:p w14:paraId="01BF914A" w14:textId="77777777" w:rsidR="00E46F45" w:rsidRDefault="00000000">
            <w:pPr>
              <w:spacing w:after="0"/>
            </w:pPr>
            <w:r>
              <w:rPr>
                <w:sz w:val="14"/>
              </w:rPr>
              <w:t>0.532</w:t>
            </w:r>
          </w:p>
        </w:tc>
        <w:tc>
          <w:tcPr>
            <w:tcW w:w="1080" w:type="dxa"/>
            <w:tcMar>
              <w:top w:w="80" w:type="dxa"/>
              <w:left w:w="80" w:type="dxa"/>
              <w:bottom w:w="80" w:type="dxa"/>
              <w:right w:w="80" w:type="dxa"/>
            </w:tcMar>
            <w:vAlign w:val="center"/>
          </w:tcPr>
          <w:p w14:paraId="2D3571D1" w14:textId="77777777" w:rsidR="00E46F45" w:rsidRDefault="00000000">
            <w:pPr>
              <w:spacing w:after="0"/>
            </w:pPr>
            <w:r>
              <w:rPr>
                <w:sz w:val="14"/>
              </w:rPr>
              <w:t>-0.927</w:t>
            </w:r>
          </w:p>
        </w:tc>
        <w:tc>
          <w:tcPr>
            <w:tcW w:w="1080" w:type="dxa"/>
            <w:tcMar>
              <w:top w:w="80" w:type="dxa"/>
              <w:left w:w="80" w:type="dxa"/>
              <w:bottom w:w="80" w:type="dxa"/>
              <w:right w:w="80" w:type="dxa"/>
            </w:tcMar>
            <w:vAlign w:val="center"/>
          </w:tcPr>
          <w:p w14:paraId="765C1FAA" w14:textId="77777777" w:rsidR="00E46F45" w:rsidRDefault="00000000">
            <w:pPr>
              <w:spacing w:after="0"/>
            </w:pPr>
            <w:r>
              <w:rPr>
                <w:sz w:val="14"/>
              </w:rPr>
              <w:t>-1.459</w:t>
            </w:r>
          </w:p>
        </w:tc>
        <w:tc>
          <w:tcPr>
            <w:tcW w:w="1080" w:type="dxa"/>
            <w:tcMar>
              <w:top w:w="80" w:type="dxa"/>
              <w:left w:w="80" w:type="dxa"/>
              <w:bottom w:w="80" w:type="dxa"/>
              <w:right w:w="80" w:type="dxa"/>
            </w:tcMar>
            <w:vAlign w:val="center"/>
          </w:tcPr>
          <w:p w14:paraId="4737AB34" w14:textId="77777777" w:rsidR="00E46F45" w:rsidRDefault="00000000">
            <w:pPr>
              <w:spacing w:after="0"/>
            </w:pPr>
            <w:r>
              <w:rPr>
                <w:sz w:val="14"/>
              </w:rPr>
              <w:t>-2.047</w:t>
            </w:r>
          </w:p>
        </w:tc>
        <w:tc>
          <w:tcPr>
            <w:tcW w:w="1296" w:type="dxa"/>
            <w:tcMar>
              <w:top w:w="80" w:type="dxa"/>
              <w:left w:w="80" w:type="dxa"/>
              <w:bottom w:w="80" w:type="dxa"/>
              <w:right w:w="80" w:type="dxa"/>
            </w:tcMar>
            <w:vAlign w:val="center"/>
          </w:tcPr>
          <w:p w14:paraId="3DAFB9D7" w14:textId="77777777" w:rsidR="00E46F45" w:rsidRDefault="00000000">
            <w:pPr>
              <w:spacing w:after="0"/>
            </w:pPr>
            <w:r>
              <w:rPr>
                <w:sz w:val="14"/>
              </w:rPr>
              <w:t>1.72E-164</w:t>
            </w:r>
          </w:p>
        </w:tc>
      </w:tr>
    </w:tbl>
    <w:p w14:paraId="5B8CB021" w14:textId="77777777" w:rsidR="00E46F45" w:rsidRDefault="00E46F45"/>
    <w:p w14:paraId="3F4DCB7D" w14:textId="77777777" w:rsidR="00E46F45" w:rsidRDefault="00000000">
      <w:pPr>
        <w:jc w:val="center"/>
      </w:pPr>
      <w:r>
        <w:rPr>
          <w:noProof/>
        </w:rPr>
        <w:drawing>
          <wp:inline distT="0" distB="0" distL="0" distR="0" wp14:anchorId="321E587F" wp14:editId="5135D135">
            <wp:extent cx="5943600" cy="165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1651000"/>
                    </a:xfrm>
                    <a:prstGeom prst="rect">
                      <a:avLst/>
                    </a:prstGeom>
                  </pic:spPr>
                </pic:pic>
              </a:graphicData>
            </a:graphic>
          </wp:inline>
        </w:drawing>
      </w:r>
    </w:p>
    <w:p w14:paraId="26844AA9" w14:textId="77777777" w:rsidR="00E46F45" w:rsidRDefault="00000000">
      <w:pPr>
        <w:pStyle w:val="Caption"/>
        <w:jc w:val="center"/>
      </w:pPr>
      <w:r>
        <w:lastRenderedPageBreak/>
        <w:t>Figure 3. Recurrence-free survival in HR+/HER2+ patients by raw radiomic cluster. The unadjusted analysis shows apparent separation, but the subgroup contains only 10 events.</w:t>
      </w:r>
    </w:p>
    <w:p w14:paraId="3C30FD7A" w14:textId="77777777" w:rsidR="00E46F45" w:rsidRDefault="00E46F45"/>
    <w:p w14:paraId="3E79011F" w14:textId="77777777" w:rsidR="00E46F45" w:rsidRDefault="00000000">
      <w:pPr>
        <w:pStyle w:val="Caption"/>
        <w:jc w:val="center"/>
      </w:pPr>
      <w:r>
        <w:t>Table 7. Fragile unadjusted HR+/HER2+ recurrence-free-survival signal by raw radiomic cluster.</w:t>
      </w:r>
    </w:p>
    <w:tbl>
      <w:tblPr>
        <w:tblStyle w:val="TableGrid"/>
        <w:tblW w:w="0" w:type="auto"/>
        <w:jc w:val="center"/>
        <w:tblLook w:val="04A0" w:firstRow="1" w:lastRow="0" w:firstColumn="1" w:lastColumn="0" w:noHBand="0" w:noVBand="1"/>
      </w:tblPr>
      <w:tblGrid>
        <w:gridCol w:w="2179"/>
        <w:gridCol w:w="2626"/>
        <w:gridCol w:w="1522"/>
        <w:gridCol w:w="1078"/>
        <w:gridCol w:w="2665"/>
      </w:tblGrid>
      <w:tr w:rsidR="00E46F45" w14:paraId="2A26DA8E" w14:textId="77777777">
        <w:trPr>
          <w:jc w:val="center"/>
        </w:trPr>
        <w:tc>
          <w:tcPr>
            <w:tcW w:w="2376" w:type="dxa"/>
            <w:shd w:val="clear" w:color="auto" w:fill="D9EAF7"/>
            <w:tcMar>
              <w:top w:w="80" w:type="dxa"/>
              <w:left w:w="80" w:type="dxa"/>
              <w:bottom w:w="80" w:type="dxa"/>
              <w:right w:w="80" w:type="dxa"/>
            </w:tcMar>
            <w:vAlign w:val="center"/>
          </w:tcPr>
          <w:p w14:paraId="432CC6E5" w14:textId="77777777" w:rsidR="00E46F45" w:rsidRDefault="00000000">
            <w:pPr>
              <w:spacing w:after="0"/>
            </w:pPr>
            <w:r>
              <w:rPr>
                <w:sz w:val="15"/>
              </w:rPr>
              <w:t>Analysis</w:t>
            </w:r>
          </w:p>
        </w:tc>
        <w:tc>
          <w:tcPr>
            <w:tcW w:w="2880" w:type="dxa"/>
            <w:shd w:val="clear" w:color="auto" w:fill="D9EAF7"/>
            <w:tcMar>
              <w:top w:w="80" w:type="dxa"/>
              <w:left w:w="80" w:type="dxa"/>
              <w:bottom w:w="80" w:type="dxa"/>
              <w:right w:w="80" w:type="dxa"/>
            </w:tcMar>
            <w:vAlign w:val="center"/>
          </w:tcPr>
          <w:p w14:paraId="27D727B8" w14:textId="77777777" w:rsidR="00E46F45" w:rsidRDefault="00000000">
            <w:pPr>
              <w:spacing w:after="0"/>
            </w:pPr>
            <w:r>
              <w:rPr>
                <w:sz w:val="15"/>
              </w:rPr>
              <w:t>Estimate</w:t>
            </w:r>
          </w:p>
        </w:tc>
        <w:tc>
          <w:tcPr>
            <w:tcW w:w="1656" w:type="dxa"/>
            <w:shd w:val="clear" w:color="auto" w:fill="D9EAF7"/>
            <w:tcMar>
              <w:top w:w="80" w:type="dxa"/>
              <w:left w:w="80" w:type="dxa"/>
              <w:bottom w:w="80" w:type="dxa"/>
              <w:right w:w="80" w:type="dxa"/>
            </w:tcMar>
            <w:vAlign w:val="center"/>
          </w:tcPr>
          <w:p w14:paraId="041B803C" w14:textId="77777777" w:rsidR="00E46F45" w:rsidRDefault="00000000">
            <w:pPr>
              <w:spacing w:after="0"/>
            </w:pPr>
            <w:r>
              <w:rPr>
                <w:sz w:val="15"/>
              </w:rPr>
              <w:t>95% CI</w:t>
            </w:r>
          </w:p>
        </w:tc>
        <w:tc>
          <w:tcPr>
            <w:tcW w:w="1152" w:type="dxa"/>
            <w:shd w:val="clear" w:color="auto" w:fill="D9EAF7"/>
            <w:tcMar>
              <w:top w:w="80" w:type="dxa"/>
              <w:left w:w="80" w:type="dxa"/>
              <w:bottom w:w="80" w:type="dxa"/>
              <w:right w:w="80" w:type="dxa"/>
            </w:tcMar>
            <w:vAlign w:val="center"/>
          </w:tcPr>
          <w:p w14:paraId="2E132EBA" w14:textId="77777777" w:rsidR="00E46F45" w:rsidRDefault="00000000">
            <w:pPr>
              <w:spacing w:after="0"/>
            </w:pPr>
            <w:r>
              <w:rPr>
                <w:sz w:val="15"/>
              </w:rPr>
              <w:t>p-value</w:t>
            </w:r>
          </w:p>
        </w:tc>
        <w:tc>
          <w:tcPr>
            <w:tcW w:w="2880" w:type="dxa"/>
            <w:shd w:val="clear" w:color="auto" w:fill="D9EAF7"/>
            <w:tcMar>
              <w:top w:w="80" w:type="dxa"/>
              <w:left w:w="80" w:type="dxa"/>
              <w:bottom w:w="80" w:type="dxa"/>
              <w:right w:w="80" w:type="dxa"/>
            </w:tcMar>
            <w:vAlign w:val="center"/>
          </w:tcPr>
          <w:p w14:paraId="30F46080" w14:textId="77777777" w:rsidR="00E46F45" w:rsidRDefault="00000000">
            <w:pPr>
              <w:spacing w:after="0"/>
            </w:pPr>
            <w:r>
              <w:rPr>
                <w:sz w:val="15"/>
              </w:rPr>
              <w:t>Interpretation</w:t>
            </w:r>
          </w:p>
        </w:tc>
      </w:tr>
      <w:tr w:rsidR="00E46F45" w14:paraId="78AF4C52" w14:textId="77777777">
        <w:trPr>
          <w:jc w:val="center"/>
        </w:trPr>
        <w:tc>
          <w:tcPr>
            <w:tcW w:w="2376" w:type="dxa"/>
            <w:tcMar>
              <w:top w:w="80" w:type="dxa"/>
              <w:left w:w="80" w:type="dxa"/>
              <w:bottom w:w="80" w:type="dxa"/>
              <w:right w:w="80" w:type="dxa"/>
            </w:tcMar>
            <w:vAlign w:val="center"/>
          </w:tcPr>
          <w:p w14:paraId="2F9B3B13" w14:textId="77777777" w:rsidR="00E46F45" w:rsidRDefault="00000000">
            <w:pPr>
              <w:spacing w:after="0"/>
            </w:pPr>
            <w:r>
              <w:rPr>
                <w:sz w:val="15"/>
              </w:rPr>
              <w:t>Cluster 0</w:t>
            </w:r>
          </w:p>
        </w:tc>
        <w:tc>
          <w:tcPr>
            <w:tcW w:w="2880" w:type="dxa"/>
            <w:tcMar>
              <w:top w:w="80" w:type="dxa"/>
              <w:left w:w="80" w:type="dxa"/>
              <w:bottom w:w="80" w:type="dxa"/>
              <w:right w:w="80" w:type="dxa"/>
            </w:tcMar>
            <w:vAlign w:val="center"/>
          </w:tcPr>
          <w:p w14:paraId="7136184C" w14:textId="77777777" w:rsidR="00E46F45" w:rsidRDefault="00000000">
            <w:pPr>
              <w:spacing w:after="0"/>
            </w:pPr>
            <w:r>
              <w:rPr>
                <w:sz w:val="15"/>
              </w:rPr>
              <w:t>55 patients; 2 events; event rate 3.6%</w:t>
            </w:r>
          </w:p>
        </w:tc>
        <w:tc>
          <w:tcPr>
            <w:tcW w:w="1656" w:type="dxa"/>
            <w:tcMar>
              <w:top w:w="80" w:type="dxa"/>
              <w:left w:w="80" w:type="dxa"/>
              <w:bottom w:w="80" w:type="dxa"/>
              <w:right w:w="80" w:type="dxa"/>
            </w:tcMar>
            <w:vAlign w:val="center"/>
          </w:tcPr>
          <w:p w14:paraId="434F17FE"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4C5832D4" w14:textId="77777777" w:rsidR="00E46F45" w:rsidRDefault="00000000">
            <w:pPr>
              <w:spacing w:after="0"/>
            </w:pPr>
            <w:r>
              <w:rPr>
                <w:sz w:val="15"/>
              </w:rPr>
              <w:t>-</w:t>
            </w:r>
          </w:p>
        </w:tc>
        <w:tc>
          <w:tcPr>
            <w:tcW w:w="2880" w:type="dxa"/>
            <w:tcMar>
              <w:top w:w="80" w:type="dxa"/>
              <w:left w:w="80" w:type="dxa"/>
              <w:bottom w:w="80" w:type="dxa"/>
              <w:right w:w="80" w:type="dxa"/>
            </w:tcMar>
            <w:vAlign w:val="center"/>
          </w:tcPr>
          <w:p w14:paraId="6EA2DAC3" w14:textId="77777777" w:rsidR="00E46F45" w:rsidRDefault="00000000">
            <w:pPr>
              <w:spacing w:after="0"/>
            </w:pPr>
            <w:r>
              <w:rPr>
                <w:sz w:val="15"/>
              </w:rPr>
              <w:t>Lower unadjusted recurrence burden.</w:t>
            </w:r>
          </w:p>
        </w:tc>
      </w:tr>
      <w:tr w:rsidR="00E46F45" w14:paraId="0FBC178C" w14:textId="77777777">
        <w:trPr>
          <w:jc w:val="center"/>
        </w:trPr>
        <w:tc>
          <w:tcPr>
            <w:tcW w:w="2376" w:type="dxa"/>
            <w:tcMar>
              <w:top w:w="80" w:type="dxa"/>
              <w:left w:w="80" w:type="dxa"/>
              <w:bottom w:w="80" w:type="dxa"/>
              <w:right w:w="80" w:type="dxa"/>
            </w:tcMar>
            <w:vAlign w:val="center"/>
          </w:tcPr>
          <w:p w14:paraId="780FCBC3" w14:textId="77777777" w:rsidR="00E46F45" w:rsidRDefault="00000000">
            <w:pPr>
              <w:spacing w:after="0"/>
            </w:pPr>
            <w:r>
              <w:rPr>
                <w:sz w:val="15"/>
              </w:rPr>
              <w:t>Cluster 1</w:t>
            </w:r>
          </w:p>
        </w:tc>
        <w:tc>
          <w:tcPr>
            <w:tcW w:w="2880" w:type="dxa"/>
            <w:tcMar>
              <w:top w:w="80" w:type="dxa"/>
              <w:left w:w="80" w:type="dxa"/>
              <w:bottom w:w="80" w:type="dxa"/>
              <w:right w:w="80" w:type="dxa"/>
            </w:tcMar>
            <w:vAlign w:val="center"/>
          </w:tcPr>
          <w:p w14:paraId="1109004A" w14:textId="77777777" w:rsidR="00E46F45" w:rsidRDefault="00000000">
            <w:pPr>
              <w:spacing w:after="0"/>
            </w:pPr>
            <w:r>
              <w:rPr>
                <w:sz w:val="15"/>
              </w:rPr>
              <w:t>46 patients; 8 events; event rate 17.4%</w:t>
            </w:r>
          </w:p>
        </w:tc>
        <w:tc>
          <w:tcPr>
            <w:tcW w:w="1656" w:type="dxa"/>
            <w:tcMar>
              <w:top w:w="80" w:type="dxa"/>
              <w:left w:w="80" w:type="dxa"/>
              <w:bottom w:w="80" w:type="dxa"/>
              <w:right w:w="80" w:type="dxa"/>
            </w:tcMar>
            <w:vAlign w:val="center"/>
          </w:tcPr>
          <w:p w14:paraId="215CC185"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7E78CC5A" w14:textId="77777777" w:rsidR="00E46F45" w:rsidRDefault="00000000">
            <w:pPr>
              <w:spacing w:after="0"/>
            </w:pPr>
            <w:r>
              <w:rPr>
                <w:sz w:val="15"/>
              </w:rPr>
              <w:t>-</w:t>
            </w:r>
          </w:p>
        </w:tc>
        <w:tc>
          <w:tcPr>
            <w:tcW w:w="2880" w:type="dxa"/>
            <w:tcMar>
              <w:top w:w="80" w:type="dxa"/>
              <w:left w:w="80" w:type="dxa"/>
              <w:bottom w:w="80" w:type="dxa"/>
              <w:right w:w="80" w:type="dxa"/>
            </w:tcMar>
            <w:vAlign w:val="center"/>
          </w:tcPr>
          <w:p w14:paraId="7B448C02" w14:textId="77777777" w:rsidR="00E46F45" w:rsidRDefault="00000000">
            <w:pPr>
              <w:spacing w:after="0"/>
            </w:pPr>
            <w:r>
              <w:rPr>
                <w:sz w:val="15"/>
              </w:rPr>
              <w:t>Higher unadjusted recurrence burden; not sufficient for biomarker interpretation.</w:t>
            </w:r>
          </w:p>
        </w:tc>
      </w:tr>
      <w:tr w:rsidR="00E46F45" w14:paraId="3FB2868F" w14:textId="77777777">
        <w:trPr>
          <w:jc w:val="center"/>
        </w:trPr>
        <w:tc>
          <w:tcPr>
            <w:tcW w:w="2376" w:type="dxa"/>
            <w:tcMar>
              <w:top w:w="80" w:type="dxa"/>
              <w:left w:w="80" w:type="dxa"/>
              <w:bottom w:w="80" w:type="dxa"/>
              <w:right w:w="80" w:type="dxa"/>
            </w:tcMar>
            <w:vAlign w:val="center"/>
          </w:tcPr>
          <w:p w14:paraId="3DE02236" w14:textId="77777777" w:rsidR="00E46F45" w:rsidRDefault="00000000">
            <w:pPr>
              <w:spacing w:after="0"/>
            </w:pPr>
            <w:r>
              <w:rPr>
                <w:sz w:val="15"/>
              </w:rPr>
              <w:t>Log-rank test</w:t>
            </w:r>
          </w:p>
        </w:tc>
        <w:tc>
          <w:tcPr>
            <w:tcW w:w="2880" w:type="dxa"/>
            <w:tcMar>
              <w:top w:w="80" w:type="dxa"/>
              <w:left w:w="80" w:type="dxa"/>
              <w:bottom w:w="80" w:type="dxa"/>
              <w:right w:w="80" w:type="dxa"/>
            </w:tcMar>
            <w:vAlign w:val="center"/>
          </w:tcPr>
          <w:p w14:paraId="5A8D4EFA" w14:textId="77777777" w:rsidR="00E46F45" w:rsidRDefault="00000000">
            <w:pPr>
              <w:spacing w:after="0"/>
            </w:pPr>
            <w:r>
              <w:rPr>
                <w:sz w:val="15"/>
              </w:rPr>
              <w:t>-</w:t>
            </w:r>
          </w:p>
        </w:tc>
        <w:tc>
          <w:tcPr>
            <w:tcW w:w="1656" w:type="dxa"/>
            <w:tcMar>
              <w:top w:w="80" w:type="dxa"/>
              <w:left w:w="80" w:type="dxa"/>
              <w:bottom w:w="80" w:type="dxa"/>
              <w:right w:w="80" w:type="dxa"/>
            </w:tcMar>
            <w:vAlign w:val="center"/>
          </w:tcPr>
          <w:p w14:paraId="7A1BB318" w14:textId="77777777" w:rsidR="00E46F45" w:rsidRDefault="00000000">
            <w:pPr>
              <w:spacing w:after="0"/>
            </w:pPr>
            <w:r>
              <w:rPr>
                <w:sz w:val="15"/>
              </w:rPr>
              <w:t>-</w:t>
            </w:r>
          </w:p>
        </w:tc>
        <w:tc>
          <w:tcPr>
            <w:tcW w:w="1152" w:type="dxa"/>
            <w:tcMar>
              <w:top w:w="80" w:type="dxa"/>
              <w:left w:w="80" w:type="dxa"/>
              <w:bottom w:w="80" w:type="dxa"/>
              <w:right w:w="80" w:type="dxa"/>
            </w:tcMar>
            <w:vAlign w:val="center"/>
          </w:tcPr>
          <w:p w14:paraId="13B29D9A" w14:textId="77777777" w:rsidR="00E46F45" w:rsidRDefault="00000000">
            <w:pPr>
              <w:spacing w:after="0"/>
            </w:pPr>
            <w:r>
              <w:rPr>
                <w:sz w:val="15"/>
              </w:rPr>
              <w:t>0.010</w:t>
            </w:r>
          </w:p>
        </w:tc>
        <w:tc>
          <w:tcPr>
            <w:tcW w:w="2880" w:type="dxa"/>
            <w:tcMar>
              <w:top w:w="80" w:type="dxa"/>
              <w:left w:w="80" w:type="dxa"/>
              <w:bottom w:w="80" w:type="dxa"/>
              <w:right w:w="80" w:type="dxa"/>
            </w:tcMar>
            <w:vAlign w:val="center"/>
          </w:tcPr>
          <w:p w14:paraId="4654D66A" w14:textId="77777777" w:rsidR="00E46F45" w:rsidRDefault="00000000">
            <w:pPr>
              <w:spacing w:after="0"/>
            </w:pPr>
            <w:r>
              <w:rPr>
                <w:sz w:val="15"/>
              </w:rPr>
              <w:t>Significant unadjusted RFS difference.</w:t>
            </w:r>
          </w:p>
        </w:tc>
      </w:tr>
      <w:tr w:rsidR="00E46F45" w14:paraId="421CA430" w14:textId="77777777">
        <w:trPr>
          <w:jc w:val="center"/>
        </w:trPr>
        <w:tc>
          <w:tcPr>
            <w:tcW w:w="2376" w:type="dxa"/>
            <w:tcMar>
              <w:top w:w="80" w:type="dxa"/>
              <w:left w:w="80" w:type="dxa"/>
              <w:bottom w:w="80" w:type="dxa"/>
              <w:right w:w="80" w:type="dxa"/>
            </w:tcMar>
            <w:vAlign w:val="center"/>
          </w:tcPr>
          <w:p w14:paraId="3EE104ED" w14:textId="77777777" w:rsidR="00E46F45" w:rsidRDefault="00000000">
            <w:pPr>
              <w:spacing w:after="0"/>
            </w:pPr>
            <w:r>
              <w:rPr>
                <w:sz w:val="15"/>
              </w:rPr>
              <w:t>Cox: Cluster 1 vs Cluster 0</w:t>
            </w:r>
          </w:p>
        </w:tc>
        <w:tc>
          <w:tcPr>
            <w:tcW w:w="2880" w:type="dxa"/>
            <w:tcMar>
              <w:top w:w="80" w:type="dxa"/>
              <w:left w:w="80" w:type="dxa"/>
              <w:bottom w:w="80" w:type="dxa"/>
              <w:right w:w="80" w:type="dxa"/>
            </w:tcMar>
            <w:vAlign w:val="center"/>
          </w:tcPr>
          <w:p w14:paraId="5986BDEE" w14:textId="77777777" w:rsidR="00E46F45" w:rsidRDefault="00000000">
            <w:pPr>
              <w:spacing w:after="0"/>
            </w:pPr>
            <w:r>
              <w:rPr>
                <w:sz w:val="15"/>
              </w:rPr>
              <w:t>HR=4.76</w:t>
            </w:r>
          </w:p>
        </w:tc>
        <w:tc>
          <w:tcPr>
            <w:tcW w:w="1656" w:type="dxa"/>
            <w:tcMar>
              <w:top w:w="80" w:type="dxa"/>
              <w:left w:w="80" w:type="dxa"/>
              <w:bottom w:w="80" w:type="dxa"/>
              <w:right w:w="80" w:type="dxa"/>
            </w:tcMar>
            <w:vAlign w:val="center"/>
          </w:tcPr>
          <w:p w14:paraId="21313864" w14:textId="77777777" w:rsidR="00E46F45" w:rsidRDefault="00000000">
            <w:pPr>
              <w:spacing w:after="0"/>
            </w:pPr>
            <w:r>
              <w:rPr>
                <w:sz w:val="15"/>
              </w:rPr>
              <w:t>1.22-18.61</w:t>
            </w:r>
          </w:p>
        </w:tc>
        <w:tc>
          <w:tcPr>
            <w:tcW w:w="1152" w:type="dxa"/>
            <w:tcMar>
              <w:top w:w="80" w:type="dxa"/>
              <w:left w:w="80" w:type="dxa"/>
              <w:bottom w:w="80" w:type="dxa"/>
              <w:right w:w="80" w:type="dxa"/>
            </w:tcMar>
            <w:vAlign w:val="center"/>
          </w:tcPr>
          <w:p w14:paraId="784D2180" w14:textId="77777777" w:rsidR="00E46F45" w:rsidRDefault="00000000">
            <w:pPr>
              <w:spacing w:after="0"/>
            </w:pPr>
            <w:r>
              <w:rPr>
                <w:sz w:val="15"/>
              </w:rPr>
              <w:t>0.02</w:t>
            </w:r>
          </w:p>
        </w:tc>
        <w:tc>
          <w:tcPr>
            <w:tcW w:w="2880" w:type="dxa"/>
            <w:tcMar>
              <w:top w:w="80" w:type="dxa"/>
              <w:left w:w="80" w:type="dxa"/>
              <w:bottom w:w="80" w:type="dxa"/>
              <w:right w:w="80" w:type="dxa"/>
            </w:tcMar>
            <w:vAlign w:val="center"/>
          </w:tcPr>
          <w:p w14:paraId="420B2F26" w14:textId="77777777" w:rsidR="00E46F45" w:rsidRDefault="00000000">
            <w:pPr>
              <w:spacing w:after="0"/>
            </w:pPr>
            <w:r>
              <w:rPr>
                <w:sz w:val="15"/>
              </w:rPr>
              <w:t>Large but imprecise unadjusted effect based on only 10 events.</w:t>
            </w:r>
          </w:p>
        </w:tc>
      </w:tr>
    </w:tbl>
    <w:p w14:paraId="5FD3A80B" w14:textId="77777777" w:rsidR="00E46F45" w:rsidRDefault="00E46F45"/>
    <w:p w14:paraId="4F50CBDA" w14:textId="77777777" w:rsidR="006C5A94" w:rsidRDefault="006C5A94"/>
    <w:p w14:paraId="20A36ACD" w14:textId="77777777" w:rsidR="006C5A94" w:rsidRDefault="006C5A94"/>
    <w:p w14:paraId="4874A8EC" w14:textId="77777777" w:rsidR="006C5A94" w:rsidRDefault="006C5A94"/>
    <w:p w14:paraId="7F6DDC33" w14:textId="77777777" w:rsidR="006C5A94" w:rsidRDefault="006C5A94"/>
    <w:p w14:paraId="55E28955" w14:textId="77777777" w:rsidR="00E46F45" w:rsidRDefault="00000000">
      <w:pPr>
        <w:pStyle w:val="Heading2"/>
      </w:pPr>
      <w:r>
        <w:t>4.2 Key message 2: the apparent phenotype is acquisition-dominated, not subtype-defined</w:t>
      </w:r>
    </w:p>
    <w:p w14:paraId="738F25A1" w14:textId="77777777" w:rsidR="00A64649" w:rsidRDefault="00A64649"/>
    <w:p w14:paraId="7BB4EC1A" w14:textId="442A824A" w:rsidR="00A64649" w:rsidRPr="0074008B" w:rsidRDefault="00A64649" w:rsidP="0074008B">
      <w:pPr>
        <w:spacing w:line="360" w:lineRule="auto"/>
        <w:jc w:val="both"/>
        <w:rPr>
          <w:rFonts w:ascii="Times New Roman" w:hAnsi="Times New Roman" w:cs="Times New Roman"/>
          <w:sz w:val="24"/>
          <w:szCs w:val="24"/>
        </w:rPr>
      </w:pPr>
      <w:r w:rsidRPr="0074008B">
        <w:rPr>
          <w:rFonts w:ascii="Times New Roman" w:hAnsi="Times New Roman" w:cs="Times New Roman"/>
          <w:sz w:val="24"/>
          <w:szCs w:val="24"/>
        </w:rPr>
        <w:t xml:space="preserve">Once technical acquisition factors are examined, it is found that the raw cluster becomes significantly associated </w:t>
      </w:r>
      <w:r w:rsidRPr="0074008B">
        <w:rPr>
          <w:rFonts w:ascii="Times New Roman" w:hAnsi="Times New Roman" w:cs="Times New Roman"/>
          <w:sz w:val="24"/>
          <w:szCs w:val="24"/>
        </w:rPr>
        <w:t>with manufacturer (p=8.0 x 10</w:t>
      </w:r>
      <w:r w:rsidRPr="0074008B">
        <w:rPr>
          <w:rFonts w:ascii="Times New Roman" w:hAnsi="Times New Roman" w:cs="Times New Roman"/>
          <w:sz w:val="24"/>
          <w:szCs w:val="24"/>
          <w:vertAlign w:val="superscript"/>
        </w:rPr>
        <w:t>-104</w:t>
      </w:r>
      <w:r w:rsidRPr="0074008B">
        <w:rPr>
          <w:rFonts w:ascii="Times New Roman" w:hAnsi="Times New Roman" w:cs="Times New Roman"/>
          <w:sz w:val="24"/>
          <w:szCs w:val="24"/>
        </w:rPr>
        <w:t>)</w:t>
      </w:r>
      <w:r w:rsidRPr="0074008B">
        <w:rPr>
          <w:rFonts w:ascii="Times New Roman" w:hAnsi="Times New Roman" w:cs="Times New Roman"/>
          <w:sz w:val="24"/>
          <w:szCs w:val="24"/>
        </w:rPr>
        <w:t xml:space="preserve"> while insignificant with </w:t>
      </w:r>
      <w:r w:rsidRPr="0074008B">
        <w:rPr>
          <w:rFonts w:ascii="Times New Roman" w:hAnsi="Times New Roman" w:cs="Times New Roman"/>
          <w:sz w:val="24"/>
          <w:szCs w:val="24"/>
        </w:rPr>
        <w:t>molecular subtype (p</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0.146)</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or recurrence (p</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0.766)</w:t>
      </w:r>
      <w:r w:rsidRPr="0074008B">
        <w:rPr>
          <w:rFonts w:ascii="Times New Roman" w:hAnsi="Times New Roman" w:cs="Times New Roman"/>
          <w:sz w:val="24"/>
          <w:szCs w:val="24"/>
        </w:rPr>
        <w:t xml:space="preserve"> as shown in Table 8.</w:t>
      </w:r>
      <w:r w:rsidR="00970907" w:rsidRPr="0074008B">
        <w:rPr>
          <w:rFonts w:ascii="Times New Roman" w:hAnsi="Times New Roman" w:cs="Times New Roman"/>
          <w:sz w:val="24"/>
          <w:szCs w:val="24"/>
        </w:rPr>
        <w:t xml:space="preserve"> </w:t>
      </w:r>
      <w:r w:rsidR="00970907" w:rsidRPr="0074008B">
        <w:rPr>
          <w:rFonts w:ascii="Times New Roman" w:hAnsi="Times New Roman" w:cs="Times New Roman"/>
          <w:sz w:val="24"/>
          <w:szCs w:val="24"/>
        </w:rPr>
        <w:t xml:space="preserve">The contingency signal was not subtle: A closer look at the data reveals that Cluster 0 was largely comprised of GE </w:t>
      </w:r>
      <w:r w:rsidR="00970907" w:rsidRPr="0074008B">
        <w:rPr>
          <w:rFonts w:ascii="Times New Roman" w:hAnsi="Times New Roman" w:cs="Times New Roman"/>
          <w:sz w:val="24"/>
          <w:szCs w:val="24"/>
        </w:rPr>
        <w:t>machine acquisitions</w:t>
      </w:r>
      <w:r w:rsidR="00970907" w:rsidRPr="0074008B">
        <w:rPr>
          <w:rFonts w:ascii="Times New Roman" w:hAnsi="Times New Roman" w:cs="Times New Roman"/>
          <w:sz w:val="24"/>
          <w:szCs w:val="24"/>
        </w:rPr>
        <w:t>,</w:t>
      </w:r>
      <w:r w:rsidR="00970907" w:rsidRPr="0074008B">
        <w:rPr>
          <w:rFonts w:ascii="Times New Roman" w:hAnsi="Times New Roman" w:cs="Times New Roman"/>
          <w:sz w:val="24"/>
          <w:szCs w:val="24"/>
        </w:rPr>
        <w:t xml:space="preserve"> as opposed to </w:t>
      </w:r>
      <w:r w:rsidR="00970907" w:rsidRPr="0074008B">
        <w:rPr>
          <w:rFonts w:ascii="Times New Roman" w:hAnsi="Times New Roman" w:cs="Times New Roman"/>
          <w:sz w:val="24"/>
          <w:szCs w:val="24"/>
        </w:rPr>
        <w:t>Cluster 1, which predominantly featured Siemens (as shown in Table 9 and Figure 4).</w:t>
      </w:r>
    </w:p>
    <w:p w14:paraId="646D7D0B" w14:textId="7056CDB4" w:rsidR="00970907" w:rsidRPr="0074008B" w:rsidRDefault="00970907" w:rsidP="0074008B">
      <w:pPr>
        <w:spacing w:line="360" w:lineRule="auto"/>
        <w:jc w:val="both"/>
        <w:rPr>
          <w:rFonts w:ascii="Times New Roman" w:hAnsi="Times New Roman" w:cs="Times New Roman"/>
          <w:sz w:val="24"/>
          <w:szCs w:val="24"/>
        </w:rPr>
      </w:pPr>
      <w:r w:rsidRPr="0074008B">
        <w:rPr>
          <w:rFonts w:ascii="Times New Roman" w:hAnsi="Times New Roman" w:cs="Times New Roman"/>
          <w:sz w:val="24"/>
          <w:szCs w:val="24"/>
        </w:rPr>
        <w:t xml:space="preserve">When the PC1-PC2 projections are labeled by manufacturers </w:t>
      </w:r>
      <w:proofErr w:type="gramStart"/>
      <w:r w:rsidRPr="0074008B">
        <w:rPr>
          <w:rFonts w:ascii="Times New Roman" w:hAnsi="Times New Roman" w:cs="Times New Roman"/>
          <w:sz w:val="24"/>
          <w:szCs w:val="24"/>
        </w:rPr>
        <w:t>rather</w:t>
      </w:r>
      <w:proofErr w:type="gramEnd"/>
      <w:r w:rsidRPr="0074008B">
        <w:rPr>
          <w:rFonts w:ascii="Times New Roman" w:hAnsi="Times New Roman" w:cs="Times New Roman"/>
          <w:sz w:val="24"/>
          <w:szCs w:val="24"/>
        </w:rPr>
        <w:t xml:space="preserve"> cluster identity, the partitions become </w:t>
      </w:r>
      <w:r w:rsidR="00E063B5">
        <w:rPr>
          <w:rFonts w:ascii="Times New Roman" w:hAnsi="Times New Roman" w:cs="Times New Roman"/>
          <w:sz w:val="24"/>
          <w:szCs w:val="24"/>
        </w:rPr>
        <w:t>almost</w:t>
      </w:r>
      <w:r w:rsidRPr="0074008B">
        <w:rPr>
          <w:rFonts w:ascii="Times New Roman" w:hAnsi="Times New Roman" w:cs="Times New Roman"/>
          <w:sz w:val="24"/>
          <w:szCs w:val="24"/>
        </w:rPr>
        <w:t xml:space="preserve"> indistinguishable between the two graphs (Figure 5). In other words, the clustering algorithms partitioned the data according to the machine that captured the image. Examining the PC1 more closely, </w:t>
      </w:r>
      <w:r w:rsidR="0074008B" w:rsidRPr="0074008B">
        <w:rPr>
          <w:rFonts w:ascii="Times New Roman" w:hAnsi="Times New Roman" w:cs="Times New Roman"/>
          <w:sz w:val="24"/>
          <w:szCs w:val="24"/>
        </w:rPr>
        <w:t>reveals</w:t>
      </w:r>
      <w:r w:rsidRPr="0074008B">
        <w:rPr>
          <w:rFonts w:ascii="Times New Roman" w:hAnsi="Times New Roman" w:cs="Times New Roman"/>
          <w:sz w:val="24"/>
          <w:szCs w:val="24"/>
        </w:rPr>
        <w:t xml:space="preserve"> that TR, TE, the acquisition matrix, and manufacturer were all more closely tied to PC1 than molecular subtype (which remained below about 0.04 across the top ten PCs), with eta-squared</w:t>
      </w:r>
      <w:r w:rsidR="00E063B5">
        <w:rPr>
          <w:rFonts w:ascii="Times New Roman" w:hAnsi="Times New Roman" w:cs="Times New Roman"/>
          <w:sz w:val="24"/>
          <w:szCs w:val="24"/>
        </w:rPr>
        <w:t>(s)</w:t>
      </w:r>
      <w:r w:rsidRPr="0074008B">
        <w:rPr>
          <w:rFonts w:ascii="Times New Roman" w:hAnsi="Times New Roman" w:cs="Times New Roman"/>
          <w:sz w:val="24"/>
          <w:szCs w:val="24"/>
        </w:rPr>
        <w:t xml:space="preserve"> reported as approximately 0.76 for TR, 0.63 for TE, 0.57 for the acquisition matrix, and 0.49 for manufacturer in Table 10.</w:t>
      </w:r>
      <w:r w:rsidR="0074008B" w:rsidRPr="0074008B">
        <w:rPr>
          <w:rFonts w:ascii="Times New Roman" w:hAnsi="Times New Roman" w:cs="Times New Roman"/>
          <w:sz w:val="24"/>
          <w:szCs w:val="24"/>
        </w:rPr>
        <w:t xml:space="preserve"> </w:t>
      </w:r>
      <w:r w:rsidR="0074008B" w:rsidRPr="0074008B">
        <w:rPr>
          <w:rFonts w:ascii="Times New Roman" w:hAnsi="Times New Roman" w:cs="Times New Roman"/>
          <w:sz w:val="24"/>
          <w:szCs w:val="24"/>
        </w:rPr>
        <w:t xml:space="preserve">This is </w:t>
      </w:r>
      <w:proofErr w:type="gramStart"/>
      <w:r w:rsidR="0074008B" w:rsidRPr="0074008B">
        <w:rPr>
          <w:rFonts w:ascii="Times New Roman" w:hAnsi="Times New Roman" w:cs="Times New Roman"/>
          <w:sz w:val="24"/>
          <w:szCs w:val="24"/>
        </w:rPr>
        <w:t>an</w:t>
      </w:r>
      <w:proofErr w:type="gramEnd"/>
      <w:r w:rsidR="0074008B" w:rsidRPr="0074008B">
        <w:rPr>
          <w:rFonts w:ascii="Times New Roman" w:hAnsi="Times New Roman" w:cs="Times New Roman"/>
          <w:sz w:val="24"/>
          <w:szCs w:val="24"/>
        </w:rPr>
        <w:t xml:space="preserve"> </w:t>
      </w:r>
      <w:r w:rsidR="00E063B5" w:rsidRPr="0074008B">
        <w:rPr>
          <w:rFonts w:ascii="Times New Roman" w:hAnsi="Times New Roman" w:cs="Times New Roman"/>
          <w:sz w:val="24"/>
          <w:szCs w:val="24"/>
        </w:rPr>
        <w:t>standard</w:t>
      </w:r>
      <w:r w:rsidR="0074008B" w:rsidRPr="0074008B">
        <w:rPr>
          <w:rFonts w:ascii="Times New Roman" w:hAnsi="Times New Roman" w:cs="Times New Roman"/>
          <w:sz w:val="24"/>
          <w:szCs w:val="24"/>
        </w:rPr>
        <w:t xml:space="preserve"> example of the stability trap. The partition is not noisy; it is simply stable. In this context, high bootstrap ARI should be interpreted not as evidence for the clusters’ biological signal, but rather as evidence that the scanner-domain structure is itself reproducible.</w:t>
      </w:r>
    </w:p>
    <w:p w14:paraId="01B487D0" w14:textId="77777777" w:rsidR="00970907" w:rsidRDefault="00970907">
      <w:pPr>
        <w:rPr>
          <w:highlight w:val="yellow"/>
        </w:rPr>
      </w:pPr>
    </w:p>
    <w:p w14:paraId="5D4001A8" w14:textId="77777777" w:rsidR="00E46F45" w:rsidRDefault="00000000">
      <w:pPr>
        <w:pStyle w:val="Caption"/>
        <w:jc w:val="center"/>
      </w:pPr>
      <w:r>
        <w:t>Table 8. Association of raw cluster assignment with clinical and technical variables.</w:t>
      </w:r>
    </w:p>
    <w:tbl>
      <w:tblPr>
        <w:tblStyle w:val="TableGrid"/>
        <w:tblW w:w="0" w:type="auto"/>
        <w:jc w:val="center"/>
        <w:tblLook w:val="04A0" w:firstRow="1" w:lastRow="0" w:firstColumn="1" w:lastColumn="0" w:noHBand="0" w:noVBand="1"/>
      </w:tblPr>
      <w:tblGrid>
        <w:gridCol w:w="2304"/>
        <w:gridCol w:w="2016"/>
        <w:gridCol w:w="5472"/>
      </w:tblGrid>
      <w:tr w:rsidR="00E46F45" w14:paraId="6732B89D" w14:textId="77777777">
        <w:trPr>
          <w:jc w:val="center"/>
        </w:trPr>
        <w:tc>
          <w:tcPr>
            <w:tcW w:w="2304" w:type="dxa"/>
            <w:shd w:val="clear" w:color="auto" w:fill="D9EAF7"/>
            <w:tcMar>
              <w:top w:w="80" w:type="dxa"/>
              <w:left w:w="80" w:type="dxa"/>
              <w:bottom w:w="80" w:type="dxa"/>
              <w:right w:w="80" w:type="dxa"/>
            </w:tcMar>
            <w:vAlign w:val="center"/>
          </w:tcPr>
          <w:p w14:paraId="7B8C8223" w14:textId="77777777" w:rsidR="00E46F45" w:rsidRDefault="00000000">
            <w:pPr>
              <w:spacing w:after="0"/>
            </w:pPr>
            <w:r>
              <w:rPr>
                <w:sz w:val="16"/>
              </w:rPr>
              <w:t>Variable</w:t>
            </w:r>
          </w:p>
        </w:tc>
        <w:tc>
          <w:tcPr>
            <w:tcW w:w="2016" w:type="dxa"/>
            <w:shd w:val="clear" w:color="auto" w:fill="D9EAF7"/>
            <w:tcMar>
              <w:top w:w="80" w:type="dxa"/>
              <w:left w:w="80" w:type="dxa"/>
              <w:bottom w:w="80" w:type="dxa"/>
              <w:right w:w="80" w:type="dxa"/>
            </w:tcMar>
            <w:vAlign w:val="center"/>
          </w:tcPr>
          <w:p w14:paraId="58697F6F" w14:textId="77777777" w:rsidR="00E46F45" w:rsidRDefault="00000000">
            <w:pPr>
              <w:spacing w:after="0"/>
            </w:pPr>
            <w:r>
              <w:rPr>
                <w:sz w:val="16"/>
              </w:rPr>
              <w:t>p-value</w:t>
            </w:r>
          </w:p>
        </w:tc>
        <w:tc>
          <w:tcPr>
            <w:tcW w:w="5472" w:type="dxa"/>
            <w:shd w:val="clear" w:color="auto" w:fill="D9EAF7"/>
            <w:tcMar>
              <w:top w:w="80" w:type="dxa"/>
              <w:left w:w="80" w:type="dxa"/>
              <w:bottom w:w="80" w:type="dxa"/>
              <w:right w:w="80" w:type="dxa"/>
            </w:tcMar>
            <w:vAlign w:val="center"/>
          </w:tcPr>
          <w:p w14:paraId="624AB5F1" w14:textId="77777777" w:rsidR="00E46F45" w:rsidRDefault="00000000">
            <w:pPr>
              <w:spacing w:after="0"/>
            </w:pPr>
            <w:r>
              <w:rPr>
                <w:sz w:val="16"/>
              </w:rPr>
              <w:t>Interpretation</w:t>
            </w:r>
          </w:p>
        </w:tc>
      </w:tr>
      <w:tr w:rsidR="00E46F45" w14:paraId="7B4F9A71" w14:textId="77777777">
        <w:trPr>
          <w:jc w:val="center"/>
        </w:trPr>
        <w:tc>
          <w:tcPr>
            <w:tcW w:w="2304" w:type="dxa"/>
            <w:tcMar>
              <w:top w:w="80" w:type="dxa"/>
              <w:left w:w="80" w:type="dxa"/>
              <w:bottom w:w="80" w:type="dxa"/>
              <w:right w:w="80" w:type="dxa"/>
            </w:tcMar>
            <w:vAlign w:val="center"/>
          </w:tcPr>
          <w:p w14:paraId="1FE1459D" w14:textId="77777777" w:rsidR="00E46F45" w:rsidRDefault="00000000">
            <w:pPr>
              <w:spacing w:after="0"/>
            </w:pPr>
            <w:r>
              <w:rPr>
                <w:sz w:val="16"/>
              </w:rPr>
              <w:lastRenderedPageBreak/>
              <w:t>Manufacturer</w:t>
            </w:r>
          </w:p>
        </w:tc>
        <w:tc>
          <w:tcPr>
            <w:tcW w:w="2016" w:type="dxa"/>
            <w:tcMar>
              <w:top w:w="80" w:type="dxa"/>
              <w:left w:w="80" w:type="dxa"/>
              <w:bottom w:w="80" w:type="dxa"/>
              <w:right w:w="80" w:type="dxa"/>
            </w:tcMar>
            <w:vAlign w:val="center"/>
          </w:tcPr>
          <w:p w14:paraId="20386510" w14:textId="77777777" w:rsidR="00E46F45" w:rsidRDefault="00000000">
            <w:pPr>
              <w:spacing w:after="0"/>
            </w:pPr>
            <w:r>
              <w:rPr>
                <w:sz w:val="16"/>
              </w:rPr>
              <w:t>8.022438E-104</w:t>
            </w:r>
          </w:p>
        </w:tc>
        <w:tc>
          <w:tcPr>
            <w:tcW w:w="5472" w:type="dxa"/>
            <w:tcMar>
              <w:top w:w="80" w:type="dxa"/>
              <w:left w:w="80" w:type="dxa"/>
              <w:bottom w:w="80" w:type="dxa"/>
              <w:right w:w="80" w:type="dxa"/>
            </w:tcMar>
            <w:vAlign w:val="center"/>
          </w:tcPr>
          <w:p w14:paraId="2E89E62A" w14:textId="77777777" w:rsidR="00E46F45" w:rsidRDefault="00000000">
            <w:pPr>
              <w:spacing w:after="0"/>
            </w:pPr>
            <w:r>
              <w:rPr>
                <w:sz w:val="16"/>
              </w:rPr>
              <w:t>Strong association with raw cluster assignment.</w:t>
            </w:r>
          </w:p>
        </w:tc>
      </w:tr>
      <w:tr w:rsidR="00E46F45" w14:paraId="0EA6369A" w14:textId="77777777">
        <w:trPr>
          <w:jc w:val="center"/>
        </w:trPr>
        <w:tc>
          <w:tcPr>
            <w:tcW w:w="2304" w:type="dxa"/>
            <w:tcMar>
              <w:top w:w="80" w:type="dxa"/>
              <w:left w:w="80" w:type="dxa"/>
              <w:bottom w:w="80" w:type="dxa"/>
              <w:right w:w="80" w:type="dxa"/>
            </w:tcMar>
            <w:vAlign w:val="center"/>
          </w:tcPr>
          <w:p w14:paraId="37E4E24E" w14:textId="77777777" w:rsidR="00E46F45" w:rsidRDefault="00000000">
            <w:pPr>
              <w:spacing w:after="0"/>
            </w:pPr>
            <w:r>
              <w:rPr>
                <w:sz w:val="16"/>
              </w:rPr>
              <w:t>Molecular subtype</w:t>
            </w:r>
          </w:p>
        </w:tc>
        <w:tc>
          <w:tcPr>
            <w:tcW w:w="2016" w:type="dxa"/>
            <w:tcMar>
              <w:top w:w="80" w:type="dxa"/>
              <w:left w:w="80" w:type="dxa"/>
              <w:bottom w:w="80" w:type="dxa"/>
              <w:right w:w="80" w:type="dxa"/>
            </w:tcMar>
            <w:vAlign w:val="center"/>
          </w:tcPr>
          <w:p w14:paraId="62CA8A8C" w14:textId="77777777" w:rsidR="00E46F45" w:rsidRDefault="00000000">
            <w:pPr>
              <w:spacing w:after="0"/>
            </w:pPr>
            <w:r>
              <w:rPr>
                <w:sz w:val="16"/>
              </w:rPr>
              <w:t>0.145796</w:t>
            </w:r>
          </w:p>
        </w:tc>
        <w:tc>
          <w:tcPr>
            <w:tcW w:w="5472" w:type="dxa"/>
            <w:tcMar>
              <w:top w:w="80" w:type="dxa"/>
              <w:left w:w="80" w:type="dxa"/>
              <w:bottom w:w="80" w:type="dxa"/>
              <w:right w:w="80" w:type="dxa"/>
            </w:tcMar>
            <w:vAlign w:val="center"/>
          </w:tcPr>
          <w:p w14:paraId="0F321041" w14:textId="77777777" w:rsidR="00E46F45" w:rsidRDefault="00000000">
            <w:pPr>
              <w:spacing w:after="0"/>
            </w:pPr>
            <w:r>
              <w:rPr>
                <w:sz w:val="16"/>
              </w:rPr>
              <w:t>No significant association with raw cluster assignment.</w:t>
            </w:r>
          </w:p>
        </w:tc>
      </w:tr>
      <w:tr w:rsidR="00E46F45" w14:paraId="30A9EBD1" w14:textId="77777777">
        <w:trPr>
          <w:jc w:val="center"/>
        </w:trPr>
        <w:tc>
          <w:tcPr>
            <w:tcW w:w="2304" w:type="dxa"/>
            <w:tcMar>
              <w:top w:w="80" w:type="dxa"/>
              <w:left w:w="80" w:type="dxa"/>
              <w:bottom w:w="80" w:type="dxa"/>
              <w:right w:w="80" w:type="dxa"/>
            </w:tcMar>
            <w:vAlign w:val="center"/>
          </w:tcPr>
          <w:p w14:paraId="19897323" w14:textId="77777777" w:rsidR="00E46F45" w:rsidRDefault="00000000">
            <w:pPr>
              <w:spacing w:after="0"/>
            </w:pPr>
            <w:r>
              <w:rPr>
                <w:sz w:val="16"/>
              </w:rPr>
              <w:t>Recurrence event</w:t>
            </w:r>
          </w:p>
        </w:tc>
        <w:tc>
          <w:tcPr>
            <w:tcW w:w="2016" w:type="dxa"/>
            <w:tcMar>
              <w:top w:w="80" w:type="dxa"/>
              <w:left w:w="80" w:type="dxa"/>
              <w:bottom w:w="80" w:type="dxa"/>
              <w:right w:w="80" w:type="dxa"/>
            </w:tcMar>
            <w:vAlign w:val="center"/>
          </w:tcPr>
          <w:p w14:paraId="4912BA3D" w14:textId="77777777" w:rsidR="00E46F45" w:rsidRDefault="00000000">
            <w:pPr>
              <w:spacing w:after="0"/>
            </w:pPr>
            <w:r>
              <w:rPr>
                <w:sz w:val="16"/>
              </w:rPr>
              <w:t>0.765626</w:t>
            </w:r>
          </w:p>
        </w:tc>
        <w:tc>
          <w:tcPr>
            <w:tcW w:w="5472" w:type="dxa"/>
            <w:tcMar>
              <w:top w:w="80" w:type="dxa"/>
              <w:left w:w="80" w:type="dxa"/>
              <w:bottom w:w="80" w:type="dxa"/>
              <w:right w:w="80" w:type="dxa"/>
            </w:tcMar>
            <w:vAlign w:val="center"/>
          </w:tcPr>
          <w:p w14:paraId="6E7F9CA9" w14:textId="77777777" w:rsidR="00E46F45" w:rsidRDefault="00000000">
            <w:pPr>
              <w:spacing w:after="0"/>
            </w:pPr>
            <w:r>
              <w:rPr>
                <w:sz w:val="16"/>
              </w:rPr>
              <w:t>No significant whole-cohort association with recurrence.</w:t>
            </w:r>
          </w:p>
        </w:tc>
      </w:tr>
    </w:tbl>
    <w:p w14:paraId="01C8847A" w14:textId="77777777" w:rsidR="00E46F45" w:rsidRDefault="00E46F45"/>
    <w:p w14:paraId="048EDDBE" w14:textId="77777777" w:rsidR="00E46F45" w:rsidRDefault="00000000">
      <w:pPr>
        <w:pStyle w:val="Caption"/>
        <w:jc w:val="center"/>
      </w:pPr>
      <w:r>
        <w:t>Table 9. Raw cluster assignment by MRI manufacturer.</w:t>
      </w:r>
    </w:p>
    <w:tbl>
      <w:tblPr>
        <w:tblStyle w:val="TableGrid"/>
        <w:tblW w:w="0" w:type="auto"/>
        <w:jc w:val="center"/>
        <w:tblLook w:val="04A0" w:firstRow="1" w:lastRow="0" w:firstColumn="1" w:lastColumn="0" w:noHBand="0" w:noVBand="1"/>
      </w:tblPr>
      <w:tblGrid>
        <w:gridCol w:w="1152"/>
        <w:gridCol w:w="1296"/>
        <w:gridCol w:w="1296"/>
        <w:gridCol w:w="5184"/>
      </w:tblGrid>
      <w:tr w:rsidR="00E46F45" w14:paraId="17336ED2" w14:textId="77777777">
        <w:trPr>
          <w:jc w:val="center"/>
        </w:trPr>
        <w:tc>
          <w:tcPr>
            <w:tcW w:w="1152" w:type="dxa"/>
            <w:shd w:val="clear" w:color="auto" w:fill="D9EAF7"/>
            <w:tcMar>
              <w:top w:w="80" w:type="dxa"/>
              <w:left w:w="80" w:type="dxa"/>
              <w:bottom w:w="80" w:type="dxa"/>
              <w:right w:w="80" w:type="dxa"/>
            </w:tcMar>
            <w:vAlign w:val="center"/>
          </w:tcPr>
          <w:p w14:paraId="77DD75F3" w14:textId="77777777" w:rsidR="00E46F45" w:rsidRDefault="00000000">
            <w:pPr>
              <w:spacing w:after="0"/>
            </w:pPr>
            <w:r>
              <w:rPr>
                <w:sz w:val="16"/>
              </w:rPr>
              <w:t>Cluster</w:t>
            </w:r>
          </w:p>
        </w:tc>
        <w:tc>
          <w:tcPr>
            <w:tcW w:w="1296" w:type="dxa"/>
            <w:shd w:val="clear" w:color="auto" w:fill="D9EAF7"/>
            <w:tcMar>
              <w:top w:w="80" w:type="dxa"/>
              <w:left w:w="80" w:type="dxa"/>
              <w:bottom w:w="80" w:type="dxa"/>
              <w:right w:w="80" w:type="dxa"/>
            </w:tcMar>
            <w:vAlign w:val="center"/>
          </w:tcPr>
          <w:p w14:paraId="0602D765" w14:textId="77777777" w:rsidR="00E46F45" w:rsidRDefault="00000000">
            <w:pPr>
              <w:spacing w:after="0"/>
            </w:pPr>
            <w:r>
              <w:rPr>
                <w:sz w:val="16"/>
              </w:rPr>
              <w:t>GE</w:t>
            </w:r>
          </w:p>
        </w:tc>
        <w:tc>
          <w:tcPr>
            <w:tcW w:w="1296" w:type="dxa"/>
            <w:shd w:val="clear" w:color="auto" w:fill="D9EAF7"/>
            <w:tcMar>
              <w:top w:w="80" w:type="dxa"/>
              <w:left w:w="80" w:type="dxa"/>
              <w:bottom w:w="80" w:type="dxa"/>
              <w:right w:w="80" w:type="dxa"/>
            </w:tcMar>
            <w:vAlign w:val="center"/>
          </w:tcPr>
          <w:p w14:paraId="360DE614" w14:textId="77777777" w:rsidR="00E46F45" w:rsidRDefault="00000000">
            <w:pPr>
              <w:spacing w:after="0"/>
            </w:pPr>
            <w:r>
              <w:rPr>
                <w:sz w:val="16"/>
              </w:rPr>
              <w:t>Siemens</w:t>
            </w:r>
          </w:p>
        </w:tc>
        <w:tc>
          <w:tcPr>
            <w:tcW w:w="5184" w:type="dxa"/>
            <w:shd w:val="clear" w:color="auto" w:fill="D9EAF7"/>
            <w:tcMar>
              <w:top w:w="80" w:type="dxa"/>
              <w:left w:w="80" w:type="dxa"/>
              <w:bottom w:w="80" w:type="dxa"/>
              <w:right w:w="80" w:type="dxa"/>
            </w:tcMar>
            <w:vAlign w:val="center"/>
          </w:tcPr>
          <w:p w14:paraId="4E40636F" w14:textId="77777777" w:rsidR="00E46F45" w:rsidRDefault="00000000">
            <w:pPr>
              <w:spacing w:after="0"/>
            </w:pPr>
            <w:r>
              <w:rPr>
                <w:sz w:val="16"/>
              </w:rPr>
              <w:t>Interpretation</w:t>
            </w:r>
          </w:p>
        </w:tc>
      </w:tr>
      <w:tr w:rsidR="00E46F45" w14:paraId="29F14251" w14:textId="77777777">
        <w:trPr>
          <w:jc w:val="center"/>
        </w:trPr>
        <w:tc>
          <w:tcPr>
            <w:tcW w:w="1152" w:type="dxa"/>
            <w:tcMar>
              <w:top w:w="80" w:type="dxa"/>
              <w:left w:w="80" w:type="dxa"/>
              <w:bottom w:w="80" w:type="dxa"/>
              <w:right w:w="80" w:type="dxa"/>
            </w:tcMar>
            <w:vAlign w:val="center"/>
          </w:tcPr>
          <w:p w14:paraId="2B2F2B6F" w14:textId="77777777" w:rsidR="00E46F45" w:rsidRDefault="00000000">
            <w:pPr>
              <w:spacing w:after="0"/>
            </w:pPr>
            <w:r>
              <w:rPr>
                <w:sz w:val="16"/>
              </w:rPr>
              <w:t>0</w:t>
            </w:r>
          </w:p>
        </w:tc>
        <w:tc>
          <w:tcPr>
            <w:tcW w:w="1296" w:type="dxa"/>
            <w:tcMar>
              <w:top w:w="80" w:type="dxa"/>
              <w:left w:w="80" w:type="dxa"/>
              <w:bottom w:w="80" w:type="dxa"/>
              <w:right w:w="80" w:type="dxa"/>
            </w:tcMar>
            <w:vAlign w:val="center"/>
          </w:tcPr>
          <w:p w14:paraId="4BA1FD31" w14:textId="77777777" w:rsidR="00E46F45" w:rsidRDefault="00000000">
            <w:pPr>
              <w:spacing w:after="0"/>
            </w:pPr>
            <w:r>
              <w:rPr>
                <w:sz w:val="16"/>
              </w:rPr>
              <w:t>547</w:t>
            </w:r>
          </w:p>
        </w:tc>
        <w:tc>
          <w:tcPr>
            <w:tcW w:w="1296" w:type="dxa"/>
            <w:tcMar>
              <w:top w:w="80" w:type="dxa"/>
              <w:left w:w="80" w:type="dxa"/>
              <w:bottom w:w="80" w:type="dxa"/>
              <w:right w:w="80" w:type="dxa"/>
            </w:tcMar>
            <w:vAlign w:val="center"/>
          </w:tcPr>
          <w:p w14:paraId="207B1FAA" w14:textId="77777777" w:rsidR="00E46F45" w:rsidRDefault="00000000">
            <w:pPr>
              <w:spacing w:after="0"/>
            </w:pPr>
            <w:r>
              <w:rPr>
                <w:sz w:val="16"/>
              </w:rPr>
              <w:t>39</w:t>
            </w:r>
          </w:p>
        </w:tc>
        <w:tc>
          <w:tcPr>
            <w:tcW w:w="5184" w:type="dxa"/>
            <w:tcMar>
              <w:top w:w="80" w:type="dxa"/>
              <w:left w:w="80" w:type="dxa"/>
              <w:bottom w:w="80" w:type="dxa"/>
              <w:right w:w="80" w:type="dxa"/>
            </w:tcMar>
            <w:vAlign w:val="center"/>
          </w:tcPr>
          <w:p w14:paraId="2E7A6E96" w14:textId="77777777" w:rsidR="00E46F45" w:rsidRDefault="00000000">
            <w:pPr>
              <w:spacing w:after="0"/>
            </w:pPr>
            <w:r>
              <w:rPr>
                <w:sz w:val="16"/>
              </w:rPr>
              <w:t>Cluster 0 is predominantly GE.</w:t>
            </w:r>
          </w:p>
        </w:tc>
      </w:tr>
      <w:tr w:rsidR="00E46F45" w14:paraId="3C5F1A94" w14:textId="77777777">
        <w:trPr>
          <w:jc w:val="center"/>
        </w:trPr>
        <w:tc>
          <w:tcPr>
            <w:tcW w:w="1152" w:type="dxa"/>
            <w:tcMar>
              <w:top w:w="80" w:type="dxa"/>
              <w:left w:w="80" w:type="dxa"/>
              <w:bottom w:w="80" w:type="dxa"/>
              <w:right w:w="80" w:type="dxa"/>
            </w:tcMar>
            <w:vAlign w:val="center"/>
          </w:tcPr>
          <w:p w14:paraId="2789DE64" w14:textId="77777777" w:rsidR="00E46F45" w:rsidRDefault="00000000">
            <w:pPr>
              <w:spacing w:after="0"/>
            </w:pPr>
            <w:r>
              <w:rPr>
                <w:sz w:val="16"/>
              </w:rPr>
              <w:t>1</w:t>
            </w:r>
          </w:p>
        </w:tc>
        <w:tc>
          <w:tcPr>
            <w:tcW w:w="1296" w:type="dxa"/>
            <w:tcMar>
              <w:top w:w="80" w:type="dxa"/>
              <w:left w:w="80" w:type="dxa"/>
              <w:bottom w:w="80" w:type="dxa"/>
              <w:right w:w="80" w:type="dxa"/>
            </w:tcMar>
            <w:vAlign w:val="center"/>
          </w:tcPr>
          <w:p w14:paraId="6F25684F" w14:textId="77777777" w:rsidR="00E46F45" w:rsidRDefault="00000000">
            <w:pPr>
              <w:spacing w:after="0"/>
            </w:pPr>
            <w:r>
              <w:rPr>
                <w:sz w:val="16"/>
              </w:rPr>
              <w:t>81</w:t>
            </w:r>
          </w:p>
        </w:tc>
        <w:tc>
          <w:tcPr>
            <w:tcW w:w="1296" w:type="dxa"/>
            <w:tcMar>
              <w:top w:w="80" w:type="dxa"/>
              <w:left w:w="80" w:type="dxa"/>
              <w:bottom w:w="80" w:type="dxa"/>
              <w:right w:w="80" w:type="dxa"/>
            </w:tcMar>
            <w:vAlign w:val="center"/>
          </w:tcPr>
          <w:p w14:paraId="091F9191" w14:textId="77777777" w:rsidR="00E46F45" w:rsidRDefault="00000000">
            <w:pPr>
              <w:spacing w:after="0"/>
            </w:pPr>
            <w:r>
              <w:rPr>
                <w:sz w:val="16"/>
              </w:rPr>
              <w:t>255</w:t>
            </w:r>
          </w:p>
        </w:tc>
        <w:tc>
          <w:tcPr>
            <w:tcW w:w="5184" w:type="dxa"/>
            <w:tcMar>
              <w:top w:w="80" w:type="dxa"/>
              <w:left w:w="80" w:type="dxa"/>
              <w:bottom w:w="80" w:type="dxa"/>
              <w:right w:w="80" w:type="dxa"/>
            </w:tcMar>
            <w:vAlign w:val="center"/>
          </w:tcPr>
          <w:p w14:paraId="1B202CB0" w14:textId="77777777" w:rsidR="00E46F45" w:rsidRDefault="00000000">
            <w:pPr>
              <w:spacing w:after="0"/>
            </w:pPr>
            <w:r>
              <w:rPr>
                <w:sz w:val="16"/>
              </w:rPr>
              <w:t>Cluster 1 is predominantly Siemens.</w:t>
            </w:r>
          </w:p>
        </w:tc>
      </w:tr>
    </w:tbl>
    <w:p w14:paraId="278B73E9" w14:textId="77777777" w:rsidR="00E46F45" w:rsidRDefault="00E46F45"/>
    <w:p w14:paraId="2BEA8AD0" w14:textId="77777777" w:rsidR="00E46F45" w:rsidRDefault="00000000">
      <w:pPr>
        <w:jc w:val="center"/>
      </w:pPr>
      <w:r>
        <w:rPr>
          <w:noProof/>
        </w:rPr>
        <w:drawing>
          <wp:inline distT="0" distB="0" distL="0" distR="0" wp14:anchorId="18A7CCA0" wp14:editId="7861DEF4">
            <wp:extent cx="5303520" cy="3960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03520" cy="3960177"/>
                    </a:xfrm>
                    <a:prstGeom prst="rect">
                      <a:avLst/>
                    </a:prstGeom>
                  </pic:spPr>
                </pic:pic>
              </a:graphicData>
            </a:graphic>
          </wp:inline>
        </w:drawing>
      </w:r>
    </w:p>
    <w:p w14:paraId="5FDC06E2" w14:textId="77777777" w:rsidR="00E46F45" w:rsidRDefault="00000000">
      <w:pPr>
        <w:pStyle w:val="Caption"/>
        <w:jc w:val="center"/>
      </w:pPr>
      <w:r>
        <w:t>Figure 4. Manufacturer composition within each raw radiomic cluster. The two-cluster solution is largely a GE-versus-Siemens partition.</w:t>
      </w:r>
    </w:p>
    <w:p w14:paraId="1700E438" w14:textId="77777777" w:rsidR="00E46F45" w:rsidRDefault="00E46F45"/>
    <w:p w14:paraId="18400333" w14:textId="77777777" w:rsidR="00E46F45" w:rsidRDefault="00000000">
      <w:pPr>
        <w:jc w:val="center"/>
      </w:pPr>
      <w:r>
        <w:rPr>
          <w:noProof/>
        </w:rPr>
        <w:lastRenderedPageBreak/>
        <w:drawing>
          <wp:inline distT="0" distB="0" distL="0" distR="0" wp14:anchorId="5DB325C2" wp14:editId="3CBC6BB4">
            <wp:extent cx="5943600" cy="2365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943600" cy="2365310"/>
                    </a:xfrm>
                    <a:prstGeom prst="rect">
                      <a:avLst/>
                    </a:prstGeom>
                  </pic:spPr>
                </pic:pic>
              </a:graphicData>
            </a:graphic>
          </wp:inline>
        </w:drawing>
      </w:r>
    </w:p>
    <w:p w14:paraId="6AC7809C" w14:textId="77777777" w:rsidR="00E46F45" w:rsidRDefault="00000000">
      <w:pPr>
        <w:pStyle w:val="Caption"/>
        <w:jc w:val="center"/>
      </w:pPr>
      <w:r>
        <w:t>Figure 5. Raw PCA space colored by radiomic cluster and by manufacturer. The visual overlap between panels shows that manufacturer structure closely tracks the raw cluster partition.</w:t>
      </w:r>
    </w:p>
    <w:p w14:paraId="029DCCA6" w14:textId="77777777" w:rsidR="00E46F45" w:rsidRDefault="00E46F45"/>
    <w:p w14:paraId="7AC0A609" w14:textId="77777777" w:rsidR="00E46F45" w:rsidRDefault="00000000">
      <w:pPr>
        <w:pStyle w:val="Caption"/>
        <w:jc w:val="center"/>
      </w:pPr>
      <w:r>
        <w:t>Table 10. Acquisition-variable dominance on the leading radiomic axis.</w:t>
      </w:r>
    </w:p>
    <w:tbl>
      <w:tblPr>
        <w:tblStyle w:val="TableGrid"/>
        <w:tblW w:w="0" w:type="auto"/>
        <w:jc w:val="center"/>
        <w:tblLook w:val="04A0" w:firstRow="1" w:lastRow="0" w:firstColumn="1" w:lastColumn="0" w:noHBand="0" w:noVBand="1"/>
      </w:tblPr>
      <w:tblGrid>
        <w:gridCol w:w="2589"/>
        <w:gridCol w:w="3165"/>
        <w:gridCol w:w="4316"/>
      </w:tblGrid>
      <w:tr w:rsidR="00E46F45" w14:paraId="4A675155" w14:textId="77777777">
        <w:trPr>
          <w:jc w:val="center"/>
        </w:trPr>
        <w:tc>
          <w:tcPr>
            <w:tcW w:w="2592" w:type="dxa"/>
            <w:shd w:val="clear" w:color="auto" w:fill="D9EAF7"/>
            <w:tcMar>
              <w:top w:w="80" w:type="dxa"/>
              <w:left w:w="80" w:type="dxa"/>
              <w:bottom w:w="80" w:type="dxa"/>
              <w:right w:w="80" w:type="dxa"/>
            </w:tcMar>
            <w:vAlign w:val="center"/>
          </w:tcPr>
          <w:p w14:paraId="4BAEAE24" w14:textId="77777777" w:rsidR="00E46F45" w:rsidRDefault="00000000">
            <w:pPr>
              <w:spacing w:after="0"/>
            </w:pPr>
            <w:r>
              <w:rPr>
                <w:sz w:val="16"/>
              </w:rPr>
              <w:t>Variable</w:t>
            </w:r>
          </w:p>
        </w:tc>
        <w:tc>
          <w:tcPr>
            <w:tcW w:w="3168" w:type="dxa"/>
            <w:shd w:val="clear" w:color="auto" w:fill="D9EAF7"/>
            <w:tcMar>
              <w:top w:w="80" w:type="dxa"/>
              <w:left w:w="80" w:type="dxa"/>
              <w:bottom w:w="80" w:type="dxa"/>
              <w:right w:w="80" w:type="dxa"/>
            </w:tcMar>
            <w:vAlign w:val="center"/>
          </w:tcPr>
          <w:p w14:paraId="075B8A33" w14:textId="77777777" w:rsidR="00E46F45" w:rsidRDefault="00000000">
            <w:pPr>
              <w:spacing w:after="0"/>
            </w:pPr>
            <w:r>
              <w:rPr>
                <w:sz w:val="16"/>
              </w:rPr>
              <w:t>PC1 eta-squared or association strength</w:t>
            </w:r>
          </w:p>
        </w:tc>
        <w:tc>
          <w:tcPr>
            <w:tcW w:w="4320" w:type="dxa"/>
            <w:shd w:val="clear" w:color="auto" w:fill="D9EAF7"/>
            <w:tcMar>
              <w:top w:w="80" w:type="dxa"/>
              <w:left w:w="80" w:type="dxa"/>
              <w:bottom w:w="80" w:type="dxa"/>
              <w:right w:w="80" w:type="dxa"/>
            </w:tcMar>
            <w:vAlign w:val="center"/>
          </w:tcPr>
          <w:p w14:paraId="5DD18850" w14:textId="77777777" w:rsidR="00E46F45" w:rsidRDefault="00000000">
            <w:pPr>
              <w:spacing w:after="0"/>
            </w:pPr>
            <w:r>
              <w:rPr>
                <w:sz w:val="16"/>
              </w:rPr>
              <w:t>Interpretation</w:t>
            </w:r>
          </w:p>
        </w:tc>
      </w:tr>
      <w:tr w:rsidR="00E46F45" w14:paraId="3FDF6EEE" w14:textId="77777777">
        <w:trPr>
          <w:jc w:val="center"/>
        </w:trPr>
        <w:tc>
          <w:tcPr>
            <w:tcW w:w="2592" w:type="dxa"/>
            <w:tcMar>
              <w:top w:w="80" w:type="dxa"/>
              <w:left w:w="80" w:type="dxa"/>
              <w:bottom w:w="80" w:type="dxa"/>
              <w:right w:w="80" w:type="dxa"/>
            </w:tcMar>
            <w:vAlign w:val="center"/>
          </w:tcPr>
          <w:p w14:paraId="78A815C6" w14:textId="77777777" w:rsidR="00E46F45" w:rsidRDefault="00000000">
            <w:pPr>
              <w:spacing w:after="0"/>
            </w:pPr>
            <w:r>
              <w:rPr>
                <w:sz w:val="16"/>
              </w:rPr>
              <w:t>TR</w:t>
            </w:r>
          </w:p>
        </w:tc>
        <w:tc>
          <w:tcPr>
            <w:tcW w:w="3168" w:type="dxa"/>
            <w:tcMar>
              <w:top w:w="80" w:type="dxa"/>
              <w:left w:w="80" w:type="dxa"/>
              <w:bottom w:w="80" w:type="dxa"/>
              <w:right w:w="80" w:type="dxa"/>
            </w:tcMar>
            <w:vAlign w:val="center"/>
          </w:tcPr>
          <w:p w14:paraId="63583C59" w14:textId="77777777" w:rsidR="00E46F45" w:rsidRDefault="00000000">
            <w:pPr>
              <w:spacing w:after="0"/>
            </w:pPr>
            <w:r>
              <w:rPr>
                <w:sz w:val="16"/>
              </w:rPr>
              <w:t>0.76</w:t>
            </w:r>
          </w:p>
        </w:tc>
        <w:tc>
          <w:tcPr>
            <w:tcW w:w="4320" w:type="dxa"/>
            <w:tcMar>
              <w:top w:w="80" w:type="dxa"/>
              <w:left w:w="80" w:type="dxa"/>
              <w:bottom w:w="80" w:type="dxa"/>
              <w:right w:w="80" w:type="dxa"/>
            </w:tcMar>
            <w:vAlign w:val="center"/>
          </w:tcPr>
          <w:p w14:paraId="4B100011" w14:textId="77777777" w:rsidR="00E46F45" w:rsidRDefault="00000000">
            <w:pPr>
              <w:spacing w:after="0"/>
            </w:pPr>
            <w:r>
              <w:rPr>
                <w:sz w:val="16"/>
              </w:rPr>
              <w:t>Dominant pulse-sequence association with PC1.</w:t>
            </w:r>
          </w:p>
        </w:tc>
      </w:tr>
      <w:tr w:rsidR="00E46F45" w14:paraId="5F0650DF" w14:textId="77777777">
        <w:trPr>
          <w:jc w:val="center"/>
        </w:trPr>
        <w:tc>
          <w:tcPr>
            <w:tcW w:w="2592" w:type="dxa"/>
            <w:tcMar>
              <w:top w:w="80" w:type="dxa"/>
              <w:left w:w="80" w:type="dxa"/>
              <w:bottom w:w="80" w:type="dxa"/>
              <w:right w:w="80" w:type="dxa"/>
            </w:tcMar>
            <w:vAlign w:val="center"/>
          </w:tcPr>
          <w:p w14:paraId="79AF89BB" w14:textId="77777777" w:rsidR="00E46F45" w:rsidRDefault="00000000">
            <w:pPr>
              <w:spacing w:after="0"/>
            </w:pPr>
            <w:r>
              <w:rPr>
                <w:sz w:val="16"/>
              </w:rPr>
              <w:t>TE</w:t>
            </w:r>
          </w:p>
        </w:tc>
        <w:tc>
          <w:tcPr>
            <w:tcW w:w="3168" w:type="dxa"/>
            <w:tcMar>
              <w:top w:w="80" w:type="dxa"/>
              <w:left w:w="80" w:type="dxa"/>
              <w:bottom w:w="80" w:type="dxa"/>
              <w:right w:w="80" w:type="dxa"/>
            </w:tcMar>
            <w:vAlign w:val="center"/>
          </w:tcPr>
          <w:p w14:paraId="5E43D300" w14:textId="77777777" w:rsidR="00E46F45" w:rsidRDefault="00000000">
            <w:pPr>
              <w:spacing w:after="0"/>
            </w:pPr>
            <w:r>
              <w:rPr>
                <w:sz w:val="16"/>
              </w:rPr>
              <w:t>0.63</w:t>
            </w:r>
          </w:p>
        </w:tc>
        <w:tc>
          <w:tcPr>
            <w:tcW w:w="4320" w:type="dxa"/>
            <w:tcMar>
              <w:top w:w="80" w:type="dxa"/>
              <w:left w:w="80" w:type="dxa"/>
              <w:bottom w:w="80" w:type="dxa"/>
              <w:right w:w="80" w:type="dxa"/>
            </w:tcMar>
            <w:vAlign w:val="center"/>
          </w:tcPr>
          <w:p w14:paraId="6B02A1CE" w14:textId="77777777" w:rsidR="00E46F45" w:rsidRDefault="00000000">
            <w:pPr>
              <w:spacing w:after="0"/>
            </w:pPr>
            <w:r>
              <w:rPr>
                <w:sz w:val="16"/>
              </w:rPr>
              <w:t>Strong pulse-sequence association with PC1.</w:t>
            </w:r>
          </w:p>
        </w:tc>
      </w:tr>
      <w:tr w:rsidR="00E46F45" w14:paraId="64C8BF49" w14:textId="77777777">
        <w:trPr>
          <w:jc w:val="center"/>
        </w:trPr>
        <w:tc>
          <w:tcPr>
            <w:tcW w:w="2592" w:type="dxa"/>
            <w:tcMar>
              <w:top w:w="80" w:type="dxa"/>
              <w:left w:w="80" w:type="dxa"/>
              <w:bottom w:w="80" w:type="dxa"/>
              <w:right w:w="80" w:type="dxa"/>
            </w:tcMar>
            <w:vAlign w:val="center"/>
          </w:tcPr>
          <w:p w14:paraId="105970BA" w14:textId="77777777" w:rsidR="00E46F45" w:rsidRDefault="00000000">
            <w:pPr>
              <w:spacing w:after="0"/>
            </w:pPr>
            <w:r>
              <w:rPr>
                <w:sz w:val="16"/>
              </w:rPr>
              <w:t>Acquisition matrix</w:t>
            </w:r>
          </w:p>
        </w:tc>
        <w:tc>
          <w:tcPr>
            <w:tcW w:w="3168" w:type="dxa"/>
            <w:tcMar>
              <w:top w:w="80" w:type="dxa"/>
              <w:left w:w="80" w:type="dxa"/>
              <w:bottom w:w="80" w:type="dxa"/>
              <w:right w:w="80" w:type="dxa"/>
            </w:tcMar>
            <w:vAlign w:val="center"/>
          </w:tcPr>
          <w:p w14:paraId="524650C2" w14:textId="77777777" w:rsidR="00E46F45" w:rsidRDefault="00000000">
            <w:pPr>
              <w:spacing w:after="0"/>
            </w:pPr>
            <w:r>
              <w:rPr>
                <w:sz w:val="16"/>
              </w:rPr>
              <w:t>0.57</w:t>
            </w:r>
          </w:p>
        </w:tc>
        <w:tc>
          <w:tcPr>
            <w:tcW w:w="4320" w:type="dxa"/>
            <w:tcMar>
              <w:top w:w="80" w:type="dxa"/>
              <w:left w:w="80" w:type="dxa"/>
              <w:bottom w:w="80" w:type="dxa"/>
              <w:right w:w="80" w:type="dxa"/>
            </w:tcMar>
            <w:vAlign w:val="center"/>
          </w:tcPr>
          <w:p w14:paraId="6E94FD5D" w14:textId="77777777" w:rsidR="00E46F45" w:rsidRDefault="00000000">
            <w:pPr>
              <w:spacing w:after="0"/>
            </w:pPr>
            <w:r>
              <w:rPr>
                <w:sz w:val="16"/>
              </w:rPr>
              <w:t>Strong technical association with PC1.</w:t>
            </w:r>
          </w:p>
        </w:tc>
      </w:tr>
      <w:tr w:rsidR="00E46F45" w14:paraId="2C3AB0AF" w14:textId="77777777">
        <w:trPr>
          <w:jc w:val="center"/>
        </w:trPr>
        <w:tc>
          <w:tcPr>
            <w:tcW w:w="2592" w:type="dxa"/>
            <w:tcMar>
              <w:top w:w="80" w:type="dxa"/>
              <w:left w:w="80" w:type="dxa"/>
              <w:bottom w:w="80" w:type="dxa"/>
              <w:right w:w="80" w:type="dxa"/>
            </w:tcMar>
            <w:vAlign w:val="center"/>
          </w:tcPr>
          <w:p w14:paraId="045F3FF2" w14:textId="77777777" w:rsidR="00E46F45" w:rsidRDefault="00000000">
            <w:pPr>
              <w:spacing w:after="0"/>
            </w:pPr>
            <w:r>
              <w:rPr>
                <w:sz w:val="16"/>
              </w:rPr>
              <w:t>Manufacturer</w:t>
            </w:r>
          </w:p>
        </w:tc>
        <w:tc>
          <w:tcPr>
            <w:tcW w:w="3168" w:type="dxa"/>
            <w:tcMar>
              <w:top w:w="80" w:type="dxa"/>
              <w:left w:w="80" w:type="dxa"/>
              <w:bottom w:w="80" w:type="dxa"/>
              <w:right w:w="80" w:type="dxa"/>
            </w:tcMar>
            <w:vAlign w:val="center"/>
          </w:tcPr>
          <w:p w14:paraId="5524D405" w14:textId="77777777" w:rsidR="00E46F45" w:rsidRDefault="00000000">
            <w:pPr>
              <w:spacing w:after="0"/>
            </w:pPr>
            <w:r>
              <w:rPr>
                <w:sz w:val="16"/>
              </w:rPr>
              <w:t>0.49</w:t>
            </w:r>
          </w:p>
        </w:tc>
        <w:tc>
          <w:tcPr>
            <w:tcW w:w="4320" w:type="dxa"/>
            <w:tcMar>
              <w:top w:w="80" w:type="dxa"/>
              <w:left w:w="80" w:type="dxa"/>
              <w:bottom w:w="80" w:type="dxa"/>
              <w:right w:w="80" w:type="dxa"/>
            </w:tcMar>
            <w:vAlign w:val="center"/>
          </w:tcPr>
          <w:p w14:paraId="00E6AAFF" w14:textId="77777777" w:rsidR="00E46F45" w:rsidRDefault="00000000">
            <w:pPr>
              <w:spacing w:after="0"/>
            </w:pPr>
            <w:r>
              <w:rPr>
                <w:sz w:val="16"/>
              </w:rPr>
              <w:t>Strong scanner-domain association with PC1.</w:t>
            </w:r>
          </w:p>
        </w:tc>
      </w:tr>
      <w:tr w:rsidR="00E46F45" w14:paraId="5524DD2A" w14:textId="77777777">
        <w:trPr>
          <w:jc w:val="center"/>
        </w:trPr>
        <w:tc>
          <w:tcPr>
            <w:tcW w:w="2592" w:type="dxa"/>
            <w:tcMar>
              <w:top w:w="80" w:type="dxa"/>
              <w:left w:w="80" w:type="dxa"/>
              <w:bottom w:w="80" w:type="dxa"/>
              <w:right w:w="80" w:type="dxa"/>
            </w:tcMar>
            <w:vAlign w:val="center"/>
          </w:tcPr>
          <w:p w14:paraId="6298FE51" w14:textId="77777777" w:rsidR="00E46F45" w:rsidRDefault="00000000">
            <w:pPr>
              <w:spacing w:after="0"/>
            </w:pPr>
            <w:r>
              <w:rPr>
                <w:sz w:val="16"/>
              </w:rPr>
              <w:t>Field strength</w:t>
            </w:r>
          </w:p>
        </w:tc>
        <w:tc>
          <w:tcPr>
            <w:tcW w:w="3168" w:type="dxa"/>
            <w:tcMar>
              <w:top w:w="80" w:type="dxa"/>
              <w:left w:w="80" w:type="dxa"/>
              <w:bottom w:w="80" w:type="dxa"/>
              <w:right w:w="80" w:type="dxa"/>
            </w:tcMar>
            <w:vAlign w:val="center"/>
          </w:tcPr>
          <w:p w14:paraId="22615F7A" w14:textId="77777777" w:rsidR="00E46F45" w:rsidRDefault="00000000">
            <w:pPr>
              <w:spacing w:after="0"/>
            </w:pPr>
            <w:r>
              <w:rPr>
                <w:sz w:val="16"/>
              </w:rPr>
              <w:t>0.09</w:t>
            </w:r>
          </w:p>
        </w:tc>
        <w:tc>
          <w:tcPr>
            <w:tcW w:w="4320" w:type="dxa"/>
            <w:tcMar>
              <w:top w:w="80" w:type="dxa"/>
              <w:left w:w="80" w:type="dxa"/>
              <w:bottom w:w="80" w:type="dxa"/>
              <w:right w:w="80" w:type="dxa"/>
            </w:tcMar>
            <w:vAlign w:val="center"/>
          </w:tcPr>
          <w:p w14:paraId="0C9898A6" w14:textId="77777777" w:rsidR="00E46F45" w:rsidRDefault="00000000">
            <w:pPr>
              <w:spacing w:after="0"/>
            </w:pPr>
            <w:r>
              <w:rPr>
                <w:sz w:val="16"/>
              </w:rPr>
              <w:t>Weaker than TR/TE/manufacturer.</w:t>
            </w:r>
          </w:p>
        </w:tc>
      </w:tr>
      <w:tr w:rsidR="00E46F45" w14:paraId="101F6998" w14:textId="77777777">
        <w:trPr>
          <w:jc w:val="center"/>
        </w:trPr>
        <w:tc>
          <w:tcPr>
            <w:tcW w:w="2592" w:type="dxa"/>
            <w:tcMar>
              <w:top w:w="80" w:type="dxa"/>
              <w:left w:w="80" w:type="dxa"/>
              <w:bottom w:w="80" w:type="dxa"/>
              <w:right w:w="80" w:type="dxa"/>
            </w:tcMar>
            <w:vAlign w:val="center"/>
          </w:tcPr>
          <w:p w14:paraId="02456B54" w14:textId="77777777" w:rsidR="00E46F45" w:rsidRDefault="00000000">
            <w:pPr>
              <w:spacing w:after="0"/>
            </w:pPr>
            <w:r>
              <w:rPr>
                <w:sz w:val="16"/>
              </w:rPr>
              <w:t>Slice thickness</w:t>
            </w:r>
          </w:p>
        </w:tc>
        <w:tc>
          <w:tcPr>
            <w:tcW w:w="3168" w:type="dxa"/>
            <w:tcMar>
              <w:top w:w="80" w:type="dxa"/>
              <w:left w:w="80" w:type="dxa"/>
              <w:bottom w:w="80" w:type="dxa"/>
              <w:right w:w="80" w:type="dxa"/>
            </w:tcMar>
            <w:vAlign w:val="center"/>
          </w:tcPr>
          <w:p w14:paraId="3C332B8A" w14:textId="77777777" w:rsidR="00E46F45" w:rsidRDefault="00000000">
            <w:pPr>
              <w:spacing w:after="0"/>
            </w:pPr>
            <w:r>
              <w:rPr>
                <w:sz w:val="16"/>
              </w:rPr>
              <w:t>0.07</w:t>
            </w:r>
          </w:p>
        </w:tc>
        <w:tc>
          <w:tcPr>
            <w:tcW w:w="4320" w:type="dxa"/>
            <w:tcMar>
              <w:top w:w="80" w:type="dxa"/>
              <w:left w:w="80" w:type="dxa"/>
              <w:bottom w:w="80" w:type="dxa"/>
              <w:right w:w="80" w:type="dxa"/>
            </w:tcMar>
            <w:vAlign w:val="center"/>
          </w:tcPr>
          <w:p w14:paraId="121A258E" w14:textId="77777777" w:rsidR="00E46F45" w:rsidRDefault="00000000">
            <w:pPr>
              <w:spacing w:after="0"/>
            </w:pPr>
            <w:r>
              <w:rPr>
                <w:sz w:val="16"/>
              </w:rPr>
              <w:t>Weaker than TR/TE/manufacturer.</w:t>
            </w:r>
          </w:p>
        </w:tc>
      </w:tr>
      <w:tr w:rsidR="00E46F45" w14:paraId="1DBA3496" w14:textId="77777777">
        <w:trPr>
          <w:jc w:val="center"/>
        </w:trPr>
        <w:tc>
          <w:tcPr>
            <w:tcW w:w="2592" w:type="dxa"/>
            <w:tcMar>
              <w:top w:w="80" w:type="dxa"/>
              <w:left w:w="80" w:type="dxa"/>
              <w:bottom w:w="80" w:type="dxa"/>
              <w:right w:w="80" w:type="dxa"/>
            </w:tcMar>
            <w:vAlign w:val="center"/>
          </w:tcPr>
          <w:p w14:paraId="202297C1" w14:textId="77777777" w:rsidR="00E46F45" w:rsidRDefault="00000000">
            <w:pPr>
              <w:spacing w:after="0"/>
            </w:pPr>
            <w:r>
              <w:rPr>
                <w:sz w:val="16"/>
              </w:rPr>
              <w:t>Molecular subtype</w:t>
            </w:r>
          </w:p>
        </w:tc>
        <w:tc>
          <w:tcPr>
            <w:tcW w:w="3168" w:type="dxa"/>
            <w:tcMar>
              <w:top w:w="80" w:type="dxa"/>
              <w:left w:w="80" w:type="dxa"/>
              <w:bottom w:w="80" w:type="dxa"/>
              <w:right w:w="80" w:type="dxa"/>
            </w:tcMar>
            <w:vAlign w:val="center"/>
          </w:tcPr>
          <w:p w14:paraId="6A248F0B" w14:textId="77777777" w:rsidR="00E46F45" w:rsidRDefault="00000000">
            <w:pPr>
              <w:spacing w:after="0"/>
            </w:pPr>
            <w:r>
              <w:rPr>
                <w:sz w:val="16"/>
              </w:rPr>
              <w:t>&lt;=0.04 across top-10 PCs</w:t>
            </w:r>
          </w:p>
        </w:tc>
        <w:tc>
          <w:tcPr>
            <w:tcW w:w="4320" w:type="dxa"/>
            <w:tcMar>
              <w:top w:w="80" w:type="dxa"/>
              <w:left w:w="80" w:type="dxa"/>
              <w:bottom w:w="80" w:type="dxa"/>
              <w:right w:w="80" w:type="dxa"/>
            </w:tcMar>
            <w:vAlign w:val="center"/>
          </w:tcPr>
          <w:p w14:paraId="17908139" w14:textId="77777777" w:rsidR="00E46F45" w:rsidRDefault="00000000">
            <w:pPr>
              <w:spacing w:after="0"/>
            </w:pPr>
            <w:r>
              <w:rPr>
                <w:sz w:val="16"/>
              </w:rPr>
              <w:t>Biological subtype explains much less leading-PC structure.</w:t>
            </w:r>
          </w:p>
        </w:tc>
      </w:tr>
    </w:tbl>
    <w:p w14:paraId="0B801FE8" w14:textId="77777777" w:rsidR="00E46F45" w:rsidRDefault="00E46F45"/>
    <w:p w14:paraId="4D54D0B6" w14:textId="77777777" w:rsidR="00E46F45" w:rsidRDefault="00000000">
      <w:pPr>
        <w:pStyle w:val="Heading2"/>
      </w:pPr>
      <w:r>
        <w:t>4.3 Key message 3: harmonization preserves bootstrap stability but destroys partition identity</w:t>
      </w:r>
    </w:p>
    <w:p w14:paraId="179109EF" w14:textId="77777777" w:rsidR="0074008B" w:rsidRDefault="0074008B" w:rsidP="0074008B"/>
    <w:p w14:paraId="0CE69202" w14:textId="6F48F3A6" w:rsidR="0074008B" w:rsidRPr="0074008B" w:rsidRDefault="0074008B" w:rsidP="0074008B">
      <w:pPr>
        <w:spacing w:line="360" w:lineRule="auto"/>
        <w:jc w:val="both"/>
        <w:rPr>
          <w:rFonts w:ascii="Times New Roman" w:hAnsi="Times New Roman" w:cs="Times New Roman"/>
          <w:sz w:val="24"/>
          <w:szCs w:val="24"/>
        </w:rPr>
      </w:pPr>
      <w:r w:rsidRPr="0074008B">
        <w:rPr>
          <w:rFonts w:ascii="Times New Roman" w:hAnsi="Times New Roman" w:cs="Times New Roman"/>
          <w:sz w:val="24"/>
          <w:szCs w:val="24"/>
        </w:rPr>
        <w:t xml:space="preserve">Techniques used to phase out acquisition effects like </w:t>
      </w:r>
      <w:r w:rsidRPr="0074008B">
        <w:rPr>
          <w:rFonts w:ascii="Times New Roman" w:hAnsi="Times New Roman" w:cs="Times New Roman"/>
          <w:sz w:val="24"/>
          <w:szCs w:val="24"/>
        </w:rPr>
        <w:t xml:space="preserve">Residualization and ComBat eliminated the visible manufacturer association, </w:t>
      </w:r>
      <w:r w:rsidRPr="0074008B">
        <w:rPr>
          <w:rFonts w:ascii="Times New Roman" w:hAnsi="Times New Roman" w:cs="Times New Roman"/>
          <w:sz w:val="24"/>
          <w:szCs w:val="24"/>
        </w:rPr>
        <w:t xml:space="preserve">but in the process destroyed the phenotypical discovery. </w:t>
      </w:r>
      <w:r w:rsidRPr="0074008B">
        <w:rPr>
          <w:rFonts w:ascii="Times New Roman" w:hAnsi="Times New Roman" w:cs="Times New Roman"/>
          <w:sz w:val="24"/>
          <w:szCs w:val="24"/>
        </w:rPr>
        <w:t>The ARI between residualized labels and raw labels</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was 0.056</w:t>
      </w:r>
      <w:r w:rsidRPr="0074008B">
        <w:rPr>
          <w:rFonts w:ascii="Times New Roman" w:hAnsi="Times New Roman" w:cs="Times New Roman"/>
          <w:sz w:val="24"/>
          <w:szCs w:val="24"/>
        </w:rPr>
        <w:t>, while for</w:t>
      </w:r>
      <w:r w:rsidRPr="0074008B">
        <w:rPr>
          <w:rFonts w:ascii="Times New Roman" w:hAnsi="Times New Roman" w:cs="Times New Roman"/>
          <w:sz w:val="24"/>
          <w:szCs w:val="24"/>
        </w:rPr>
        <w:t xml:space="preserve"> ComBat harmonization ARI versus raw labels was 0.065. Both Techniques show</w:t>
      </w:r>
      <w:r w:rsidRPr="0074008B">
        <w:rPr>
          <w:rFonts w:ascii="Times New Roman" w:hAnsi="Times New Roman" w:cs="Times New Roman"/>
          <w:sz w:val="24"/>
          <w:szCs w:val="24"/>
        </w:rPr>
        <w:t>cased</w:t>
      </w:r>
      <w:r w:rsidRPr="0074008B">
        <w:rPr>
          <w:rFonts w:ascii="Times New Roman" w:hAnsi="Times New Roman" w:cs="Times New Roman"/>
          <w:sz w:val="24"/>
          <w:szCs w:val="24"/>
        </w:rPr>
        <w:t xml:space="preserve"> a near-total loss of</w:t>
      </w:r>
      <w:r w:rsidRPr="0074008B">
        <w:rPr>
          <w:rFonts w:ascii="Times New Roman" w:hAnsi="Times New Roman" w:cs="Times New Roman"/>
          <w:sz w:val="24"/>
          <w:szCs w:val="24"/>
        </w:rPr>
        <w:t xml:space="preserve"> the original </w:t>
      </w:r>
      <w:r w:rsidRPr="0074008B">
        <w:rPr>
          <w:rFonts w:ascii="Times New Roman" w:hAnsi="Times New Roman" w:cs="Times New Roman"/>
          <w:sz w:val="24"/>
          <w:szCs w:val="24"/>
        </w:rPr>
        <w:t>partition identity.</w:t>
      </w:r>
      <w:r w:rsidRPr="0074008B">
        <w:rPr>
          <w:rFonts w:ascii="Times New Roman" w:hAnsi="Times New Roman" w:cs="Times New Roman"/>
          <w:sz w:val="24"/>
          <w:szCs w:val="24"/>
        </w:rPr>
        <w:t xml:space="preserve"> </w:t>
      </w:r>
      <w:r w:rsidRPr="0074008B">
        <w:rPr>
          <w:rFonts w:ascii="Times New Roman" w:hAnsi="Times New Roman" w:cs="Times New Roman"/>
          <w:sz w:val="24"/>
          <w:szCs w:val="24"/>
        </w:rPr>
        <w:t>The important observation is that clusterability was retained</w:t>
      </w:r>
      <w:r w:rsidRPr="0074008B">
        <w:rPr>
          <w:rFonts w:ascii="Times New Roman" w:hAnsi="Times New Roman" w:cs="Times New Roman"/>
          <w:sz w:val="24"/>
          <w:szCs w:val="24"/>
        </w:rPr>
        <w:t xml:space="preserve"> and that b</w:t>
      </w:r>
      <w:r w:rsidRPr="0074008B">
        <w:rPr>
          <w:rFonts w:ascii="Times New Roman" w:hAnsi="Times New Roman" w:cs="Times New Roman"/>
          <w:sz w:val="24"/>
          <w:szCs w:val="24"/>
        </w:rPr>
        <w:t xml:space="preserve">oth the residualized space and ComBat space could be split into internally </w:t>
      </w:r>
      <w:r w:rsidRPr="0074008B">
        <w:rPr>
          <w:rFonts w:ascii="Times New Roman" w:hAnsi="Times New Roman" w:cs="Times New Roman"/>
          <w:sz w:val="24"/>
          <w:szCs w:val="24"/>
        </w:rPr>
        <w:t>consistent</w:t>
      </w:r>
      <w:r w:rsidRPr="0074008B">
        <w:rPr>
          <w:rFonts w:ascii="Times New Roman" w:hAnsi="Times New Roman" w:cs="Times New Roman"/>
          <w:sz w:val="24"/>
          <w:szCs w:val="24"/>
        </w:rPr>
        <w:t xml:space="preserve"> two-cluster solutions (</w:t>
      </w:r>
      <w:r w:rsidRPr="0074008B">
        <w:rPr>
          <w:rFonts w:ascii="Times New Roman" w:hAnsi="Times New Roman" w:cs="Times New Roman"/>
          <w:sz w:val="24"/>
          <w:szCs w:val="24"/>
        </w:rPr>
        <w:t xml:space="preserve">with </w:t>
      </w:r>
      <w:r w:rsidRPr="0074008B">
        <w:rPr>
          <w:rFonts w:ascii="Times New Roman" w:hAnsi="Times New Roman" w:cs="Times New Roman"/>
          <w:sz w:val="24"/>
          <w:szCs w:val="24"/>
        </w:rPr>
        <w:t>mean bootstrap ARI 0.919 and 0.903</w:t>
      </w:r>
      <w:r w:rsidRPr="0074008B">
        <w:rPr>
          <w:rFonts w:ascii="Times New Roman" w:hAnsi="Times New Roman" w:cs="Times New Roman"/>
          <w:sz w:val="24"/>
          <w:szCs w:val="24"/>
        </w:rPr>
        <w:t xml:space="preserve"> respectively) (See </w:t>
      </w:r>
      <w:r w:rsidRPr="0074008B">
        <w:rPr>
          <w:rFonts w:ascii="Times New Roman" w:hAnsi="Times New Roman" w:cs="Times New Roman"/>
          <w:sz w:val="24"/>
          <w:szCs w:val="24"/>
        </w:rPr>
        <w:t>Table 11 and Figure 7). Figure 6 communicates the same result visually</w:t>
      </w:r>
      <w:r w:rsidRPr="0074008B">
        <w:rPr>
          <w:rFonts w:ascii="Times New Roman" w:hAnsi="Times New Roman" w:cs="Times New Roman"/>
          <w:sz w:val="24"/>
          <w:szCs w:val="24"/>
        </w:rPr>
        <w:t xml:space="preserve"> where t</w:t>
      </w:r>
      <w:r w:rsidRPr="0074008B">
        <w:rPr>
          <w:rFonts w:ascii="Times New Roman" w:hAnsi="Times New Roman" w:cs="Times New Roman"/>
          <w:sz w:val="24"/>
          <w:szCs w:val="24"/>
        </w:rPr>
        <w:t xml:space="preserve">he raw cluster geometry matches the manufacturer geometry but the </w:t>
      </w:r>
      <w:r w:rsidRPr="0074008B">
        <w:rPr>
          <w:rFonts w:ascii="Times New Roman" w:hAnsi="Times New Roman" w:cs="Times New Roman"/>
          <w:sz w:val="24"/>
          <w:szCs w:val="24"/>
        </w:rPr>
        <w:t xml:space="preserve">new </w:t>
      </w:r>
      <w:r w:rsidRPr="0074008B">
        <w:rPr>
          <w:rFonts w:ascii="Times New Roman" w:hAnsi="Times New Roman" w:cs="Times New Roman"/>
          <w:sz w:val="24"/>
          <w:szCs w:val="24"/>
        </w:rPr>
        <w:t xml:space="preserve">residualized cluster geometry no longer </w:t>
      </w:r>
      <w:r w:rsidRPr="0074008B">
        <w:rPr>
          <w:rFonts w:ascii="Times New Roman" w:hAnsi="Times New Roman" w:cs="Times New Roman"/>
          <w:sz w:val="24"/>
          <w:szCs w:val="24"/>
        </w:rPr>
        <w:t>represents</w:t>
      </w:r>
      <w:r w:rsidRPr="0074008B">
        <w:rPr>
          <w:rFonts w:ascii="Times New Roman" w:hAnsi="Times New Roman" w:cs="Times New Roman"/>
          <w:sz w:val="24"/>
          <w:szCs w:val="24"/>
        </w:rPr>
        <w:t xml:space="preserve"> the </w:t>
      </w:r>
      <w:r w:rsidRPr="0074008B">
        <w:rPr>
          <w:rFonts w:ascii="Times New Roman" w:hAnsi="Times New Roman" w:cs="Times New Roman"/>
          <w:sz w:val="24"/>
          <w:szCs w:val="24"/>
        </w:rPr>
        <w:t xml:space="preserve"> previous </w:t>
      </w:r>
      <w:r w:rsidRPr="0074008B">
        <w:rPr>
          <w:rFonts w:ascii="Times New Roman" w:hAnsi="Times New Roman" w:cs="Times New Roman"/>
          <w:sz w:val="24"/>
          <w:szCs w:val="24"/>
        </w:rPr>
        <w:t>raw partition.</w:t>
      </w:r>
    </w:p>
    <w:p w14:paraId="0A1A5CF8" w14:textId="047C1AA7" w:rsidR="0074008B" w:rsidRPr="0074008B" w:rsidRDefault="0074008B" w:rsidP="0074008B">
      <w:pPr>
        <w:spacing w:line="360" w:lineRule="auto"/>
        <w:jc w:val="both"/>
        <w:rPr>
          <w:rFonts w:ascii="Times New Roman" w:hAnsi="Times New Roman" w:cs="Times New Roman"/>
          <w:sz w:val="24"/>
          <w:szCs w:val="24"/>
        </w:rPr>
      </w:pPr>
      <w:r w:rsidRPr="0074008B">
        <w:rPr>
          <w:rFonts w:ascii="Times New Roman" w:hAnsi="Times New Roman" w:cs="Times New Roman"/>
          <w:sz w:val="24"/>
          <w:szCs w:val="24"/>
        </w:rPr>
        <w:lastRenderedPageBreak/>
        <w:t>The retention of clusterability despite removal of partition identity separates two concepts that are often confused. Bootstrap stability asks if a cluster solution can be repeated given the data condition. Partition identity asks if the same patients are clustered after a technical adjustment. This report found that stability is maintained while identity is not. Any validation workflow focusing on stability alone would have certified this failure as success.</w:t>
      </w:r>
    </w:p>
    <w:p w14:paraId="6AC6420E" w14:textId="77777777" w:rsidR="0074008B" w:rsidRDefault="0074008B"/>
    <w:p w14:paraId="58FB5445" w14:textId="77777777" w:rsidR="00E46F45" w:rsidRDefault="00000000">
      <w:pPr>
        <w:jc w:val="center"/>
      </w:pPr>
      <w:r>
        <w:rPr>
          <w:noProof/>
        </w:rPr>
        <w:drawing>
          <wp:inline distT="0" distB="0" distL="0" distR="0" wp14:anchorId="237CA545" wp14:editId="7FDD097A">
            <wp:extent cx="6035040" cy="1788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6035040" cy="1788430"/>
                    </a:xfrm>
                    <a:prstGeom prst="rect">
                      <a:avLst/>
                    </a:prstGeom>
                  </pic:spPr>
                </pic:pic>
              </a:graphicData>
            </a:graphic>
          </wp:inline>
        </w:drawing>
      </w:r>
    </w:p>
    <w:p w14:paraId="3CDCC611" w14:textId="77777777" w:rsidR="00E46F45" w:rsidRDefault="00000000">
      <w:pPr>
        <w:pStyle w:val="Caption"/>
        <w:jc w:val="center"/>
      </w:pPr>
      <w:r>
        <w:t>Figure 6. Comparison of latent structure before and after manufacturer residualization. The raw cluster and manufacturer structure overlap, while residualized reclustering produces a different patient partition.</w:t>
      </w:r>
    </w:p>
    <w:p w14:paraId="7CA73C56" w14:textId="77777777" w:rsidR="00E46F45" w:rsidRDefault="00E46F45"/>
    <w:p w14:paraId="36C297FE" w14:textId="77777777" w:rsidR="00E46F45" w:rsidRDefault="00000000">
      <w:pPr>
        <w:jc w:val="center"/>
      </w:pPr>
      <w:r>
        <w:rPr>
          <w:noProof/>
        </w:rPr>
        <w:drawing>
          <wp:inline distT="0" distB="0" distL="0" distR="0" wp14:anchorId="5DC17D1D" wp14:editId="62E99BAC">
            <wp:extent cx="5212080" cy="3891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12080" cy="3891898"/>
                    </a:xfrm>
                    <a:prstGeom prst="rect">
                      <a:avLst/>
                    </a:prstGeom>
                  </pic:spPr>
                </pic:pic>
              </a:graphicData>
            </a:graphic>
          </wp:inline>
        </w:drawing>
      </w:r>
    </w:p>
    <w:p w14:paraId="624DC2B7" w14:textId="77777777" w:rsidR="00E46F45" w:rsidRDefault="00000000">
      <w:pPr>
        <w:pStyle w:val="Caption"/>
        <w:jc w:val="center"/>
      </w:pPr>
      <w:r>
        <w:t>Figure 7. Bootstrap stability across raw and harmonized conditions. All conditions remain internally stable, showing that stability alone does not establish biological identity.</w:t>
      </w:r>
    </w:p>
    <w:p w14:paraId="5C33BF58" w14:textId="77777777" w:rsidR="00E46F45" w:rsidRDefault="00E46F45"/>
    <w:p w14:paraId="48407D24" w14:textId="77777777" w:rsidR="00E46F45" w:rsidRDefault="00000000">
      <w:pPr>
        <w:pStyle w:val="Caption"/>
        <w:jc w:val="center"/>
      </w:pPr>
      <w:r>
        <w:lastRenderedPageBreak/>
        <w:t>Table 11. Stability versus identity across raw and harmonized conditions.</w:t>
      </w:r>
    </w:p>
    <w:tbl>
      <w:tblPr>
        <w:tblStyle w:val="TableGrid"/>
        <w:tblW w:w="0" w:type="auto"/>
        <w:jc w:val="center"/>
        <w:tblLook w:val="04A0" w:firstRow="1" w:lastRow="0" w:firstColumn="1" w:lastColumn="0" w:noHBand="0" w:noVBand="1"/>
      </w:tblPr>
      <w:tblGrid>
        <w:gridCol w:w="2130"/>
        <w:gridCol w:w="1703"/>
        <w:gridCol w:w="1283"/>
        <w:gridCol w:w="1563"/>
        <w:gridCol w:w="3391"/>
      </w:tblGrid>
      <w:tr w:rsidR="00E46F45" w14:paraId="6108CA55" w14:textId="77777777">
        <w:trPr>
          <w:jc w:val="center"/>
        </w:trPr>
        <w:tc>
          <w:tcPr>
            <w:tcW w:w="2160" w:type="dxa"/>
            <w:shd w:val="clear" w:color="auto" w:fill="D9EAF7"/>
            <w:tcMar>
              <w:top w:w="80" w:type="dxa"/>
              <w:left w:w="80" w:type="dxa"/>
              <w:bottom w:w="80" w:type="dxa"/>
              <w:right w:w="80" w:type="dxa"/>
            </w:tcMar>
            <w:vAlign w:val="center"/>
          </w:tcPr>
          <w:p w14:paraId="6D0DB6AD" w14:textId="77777777" w:rsidR="00E46F45" w:rsidRDefault="00000000">
            <w:pPr>
              <w:spacing w:after="0"/>
            </w:pPr>
            <w:r>
              <w:rPr>
                <w:sz w:val="16"/>
              </w:rPr>
              <w:t>Condition</w:t>
            </w:r>
          </w:p>
        </w:tc>
        <w:tc>
          <w:tcPr>
            <w:tcW w:w="1728" w:type="dxa"/>
            <w:shd w:val="clear" w:color="auto" w:fill="D9EAF7"/>
            <w:tcMar>
              <w:top w:w="80" w:type="dxa"/>
              <w:left w:w="80" w:type="dxa"/>
              <w:bottom w:w="80" w:type="dxa"/>
              <w:right w:w="80" w:type="dxa"/>
            </w:tcMar>
            <w:vAlign w:val="center"/>
          </w:tcPr>
          <w:p w14:paraId="4225FA91" w14:textId="77777777" w:rsidR="00E46F45" w:rsidRDefault="00000000">
            <w:pPr>
              <w:spacing w:after="0"/>
            </w:pPr>
            <w:r>
              <w:rPr>
                <w:sz w:val="16"/>
              </w:rPr>
              <w:t>Mean bootstrap ARI</w:t>
            </w:r>
          </w:p>
        </w:tc>
        <w:tc>
          <w:tcPr>
            <w:tcW w:w="1296" w:type="dxa"/>
            <w:shd w:val="clear" w:color="auto" w:fill="D9EAF7"/>
            <w:tcMar>
              <w:top w:w="80" w:type="dxa"/>
              <w:left w:w="80" w:type="dxa"/>
              <w:bottom w:w="80" w:type="dxa"/>
              <w:right w:w="80" w:type="dxa"/>
            </w:tcMar>
            <w:vAlign w:val="center"/>
          </w:tcPr>
          <w:p w14:paraId="460A5FEC" w14:textId="77777777" w:rsidR="00E46F45" w:rsidRDefault="00000000">
            <w:pPr>
              <w:spacing w:after="0"/>
            </w:pPr>
            <w:r>
              <w:rPr>
                <w:sz w:val="16"/>
              </w:rPr>
              <w:t>SD ARI</w:t>
            </w:r>
          </w:p>
        </w:tc>
        <w:tc>
          <w:tcPr>
            <w:tcW w:w="1584" w:type="dxa"/>
            <w:shd w:val="clear" w:color="auto" w:fill="D9EAF7"/>
            <w:tcMar>
              <w:top w:w="80" w:type="dxa"/>
              <w:left w:w="80" w:type="dxa"/>
              <w:bottom w:w="80" w:type="dxa"/>
              <w:right w:w="80" w:type="dxa"/>
            </w:tcMar>
            <w:vAlign w:val="center"/>
          </w:tcPr>
          <w:p w14:paraId="170EB302" w14:textId="77777777" w:rsidR="00E46F45" w:rsidRDefault="00000000">
            <w:pPr>
              <w:spacing w:after="0"/>
            </w:pPr>
            <w:r>
              <w:rPr>
                <w:sz w:val="16"/>
              </w:rPr>
              <w:t>ARI versus raw labels</w:t>
            </w:r>
          </w:p>
        </w:tc>
        <w:tc>
          <w:tcPr>
            <w:tcW w:w="3456" w:type="dxa"/>
            <w:shd w:val="clear" w:color="auto" w:fill="D9EAF7"/>
            <w:tcMar>
              <w:top w:w="80" w:type="dxa"/>
              <w:left w:w="80" w:type="dxa"/>
              <w:bottom w:w="80" w:type="dxa"/>
              <w:right w:w="80" w:type="dxa"/>
            </w:tcMar>
            <w:vAlign w:val="center"/>
          </w:tcPr>
          <w:p w14:paraId="29F61823" w14:textId="77777777" w:rsidR="00E46F45" w:rsidRDefault="00000000">
            <w:pPr>
              <w:spacing w:after="0"/>
            </w:pPr>
            <w:r>
              <w:rPr>
                <w:sz w:val="16"/>
              </w:rPr>
              <w:t>Interpretation</w:t>
            </w:r>
          </w:p>
        </w:tc>
      </w:tr>
      <w:tr w:rsidR="00E46F45" w14:paraId="692E794A" w14:textId="77777777">
        <w:trPr>
          <w:jc w:val="center"/>
        </w:trPr>
        <w:tc>
          <w:tcPr>
            <w:tcW w:w="2160" w:type="dxa"/>
            <w:tcMar>
              <w:top w:w="80" w:type="dxa"/>
              <w:left w:w="80" w:type="dxa"/>
              <w:bottom w:w="80" w:type="dxa"/>
              <w:right w:w="80" w:type="dxa"/>
            </w:tcMar>
            <w:vAlign w:val="center"/>
          </w:tcPr>
          <w:p w14:paraId="294713FE" w14:textId="77777777" w:rsidR="00E46F45" w:rsidRDefault="00000000">
            <w:pPr>
              <w:spacing w:after="0"/>
            </w:pPr>
            <w:r>
              <w:rPr>
                <w:sz w:val="16"/>
              </w:rPr>
              <w:t>Raw</w:t>
            </w:r>
          </w:p>
        </w:tc>
        <w:tc>
          <w:tcPr>
            <w:tcW w:w="1728" w:type="dxa"/>
            <w:tcMar>
              <w:top w:w="80" w:type="dxa"/>
              <w:left w:w="80" w:type="dxa"/>
              <w:bottom w:w="80" w:type="dxa"/>
              <w:right w:w="80" w:type="dxa"/>
            </w:tcMar>
            <w:vAlign w:val="center"/>
          </w:tcPr>
          <w:p w14:paraId="26D6CD71" w14:textId="77777777" w:rsidR="00E46F45" w:rsidRDefault="00000000">
            <w:pPr>
              <w:spacing w:after="0"/>
            </w:pPr>
            <w:r>
              <w:rPr>
                <w:sz w:val="16"/>
              </w:rPr>
              <w:t>0.893139</w:t>
            </w:r>
          </w:p>
        </w:tc>
        <w:tc>
          <w:tcPr>
            <w:tcW w:w="1296" w:type="dxa"/>
            <w:tcMar>
              <w:top w:w="80" w:type="dxa"/>
              <w:left w:w="80" w:type="dxa"/>
              <w:bottom w:w="80" w:type="dxa"/>
              <w:right w:w="80" w:type="dxa"/>
            </w:tcMar>
            <w:vAlign w:val="center"/>
          </w:tcPr>
          <w:p w14:paraId="19943D8C" w14:textId="77777777" w:rsidR="00E46F45" w:rsidRDefault="00000000">
            <w:pPr>
              <w:spacing w:after="0"/>
            </w:pPr>
            <w:r>
              <w:rPr>
                <w:sz w:val="16"/>
              </w:rPr>
              <w:t>0.083795</w:t>
            </w:r>
          </w:p>
        </w:tc>
        <w:tc>
          <w:tcPr>
            <w:tcW w:w="1584" w:type="dxa"/>
            <w:tcMar>
              <w:top w:w="80" w:type="dxa"/>
              <w:left w:w="80" w:type="dxa"/>
              <w:bottom w:w="80" w:type="dxa"/>
              <w:right w:w="80" w:type="dxa"/>
            </w:tcMar>
            <w:vAlign w:val="center"/>
          </w:tcPr>
          <w:p w14:paraId="6709E100" w14:textId="77777777" w:rsidR="00E46F45" w:rsidRDefault="00000000">
            <w:pPr>
              <w:spacing w:after="0"/>
            </w:pPr>
            <w:r>
              <w:rPr>
                <w:sz w:val="16"/>
              </w:rPr>
              <w:t>1.000000</w:t>
            </w:r>
          </w:p>
        </w:tc>
        <w:tc>
          <w:tcPr>
            <w:tcW w:w="3456" w:type="dxa"/>
            <w:tcMar>
              <w:top w:w="80" w:type="dxa"/>
              <w:left w:w="80" w:type="dxa"/>
              <w:bottom w:w="80" w:type="dxa"/>
              <w:right w:w="80" w:type="dxa"/>
            </w:tcMar>
            <w:vAlign w:val="center"/>
          </w:tcPr>
          <w:p w14:paraId="01099F3C" w14:textId="77777777" w:rsidR="00E46F45" w:rsidRDefault="00000000">
            <w:pPr>
              <w:spacing w:after="0"/>
            </w:pPr>
            <w:r>
              <w:rPr>
                <w:sz w:val="16"/>
              </w:rPr>
              <w:t>Stable baseline partition.</w:t>
            </w:r>
          </w:p>
        </w:tc>
      </w:tr>
      <w:tr w:rsidR="00E46F45" w14:paraId="0CC244E4" w14:textId="77777777">
        <w:trPr>
          <w:jc w:val="center"/>
        </w:trPr>
        <w:tc>
          <w:tcPr>
            <w:tcW w:w="2160" w:type="dxa"/>
            <w:tcMar>
              <w:top w:w="80" w:type="dxa"/>
              <w:left w:w="80" w:type="dxa"/>
              <w:bottom w:w="80" w:type="dxa"/>
              <w:right w:w="80" w:type="dxa"/>
            </w:tcMar>
            <w:vAlign w:val="center"/>
          </w:tcPr>
          <w:p w14:paraId="36F00A70" w14:textId="77777777" w:rsidR="00E46F45" w:rsidRDefault="00000000">
            <w:pPr>
              <w:spacing w:after="0"/>
            </w:pPr>
            <w:r>
              <w:rPr>
                <w:sz w:val="16"/>
              </w:rPr>
              <w:t>Manufacturer residualized</w:t>
            </w:r>
          </w:p>
        </w:tc>
        <w:tc>
          <w:tcPr>
            <w:tcW w:w="1728" w:type="dxa"/>
            <w:tcMar>
              <w:top w:w="80" w:type="dxa"/>
              <w:left w:w="80" w:type="dxa"/>
              <w:bottom w:w="80" w:type="dxa"/>
              <w:right w:w="80" w:type="dxa"/>
            </w:tcMar>
            <w:vAlign w:val="center"/>
          </w:tcPr>
          <w:p w14:paraId="31CD47F9" w14:textId="77777777" w:rsidR="00E46F45" w:rsidRDefault="00000000">
            <w:pPr>
              <w:spacing w:after="0"/>
            </w:pPr>
            <w:r>
              <w:rPr>
                <w:sz w:val="16"/>
              </w:rPr>
              <w:t>0.918669</w:t>
            </w:r>
          </w:p>
        </w:tc>
        <w:tc>
          <w:tcPr>
            <w:tcW w:w="1296" w:type="dxa"/>
            <w:tcMar>
              <w:top w:w="80" w:type="dxa"/>
              <w:left w:w="80" w:type="dxa"/>
              <w:bottom w:w="80" w:type="dxa"/>
              <w:right w:w="80" w:type="dxa"/>
            </w:tcMar>
            <w:vAlign w:val="center"/>
          </w:tcPr>
          <w:p w14:paraId="2B4EFAC4" w14:textId="77777777" w:rsidR="00E46F45" w:rsidRDefault="00000000">
            <w:pPr>
              <w:spacing w:after="0"/>
            </w:pPr>
            <w:r>
              <w:rPr>
                <w:sz w:val="16"/>
              </w:rPr>
              <w:t>0.046946</w:t>
            </w:r>
          </w:p>
        </w:tc>
        <w:tc>
          <w:tcPr>
            <w:tcW w:w="1584" w:type="dxa"/>
            <w:tcMar>
              <w:top w:w="80" w:type="dxa"/>
              <w:left w:w="80" w:type="dxa"/>
              <w:bottom w:w="80" w:type="dxa"/>
              <w:right w:w="80" w:type="dxa"/>
            </w:tcMar>
            <w:vAlign w:val="center"/>
          </w:tcPr>
          <w:p w14:paraId="0FF70CD8" w14:textId="77777777" w:rsidR="00E46F45" w:rsidRDefault="00000000">
            <w:pPr>
              <w:spacing w:after="0"/>
            </w:pPr>
            <w:r>
              <w:rPr>
                <w:sz w:val="16"/>
              </w:rPr>
              <w:t>0.056485</w:t>
            </w:r>
          </w:p>
        </w:tc>
        <w:tc>
          <w:tcPr>
            <w:tcW w:w="3456" w:type="dxa"/>
            <w:tcMar>
              <w:top w:w="80" w:type="dxa"/>
              <w:left w:w="80" w:type="dxa"/>
              <w:bottom w:w="80" w:type="dxa"/>
              <w:right w:w="80" w:type="dxa"/>
            </w:tcMar>
            <w:vAlign w:val="center"/>
          </w:tcPr>
          <w:p w14:paraId="13B47391" w14:textId="77777777" w:rsidR="00E46F45" w:rsidRDefault="00000000">
            <w:pPr>
              <w:spacing w:after="0"/>
            </w:pPr>
            <w:r>
              <w:rPr>
                <w:sz w:val="16"/>
              </w:rPr>
              <w:t>Stable but nearly unrelated to raw labels.</w:t>
            </w:r>
          </w:p>
        </w:tc>
      </w:tr>
      <w:tr w:rsidR="00E46F45" w14:paraId="5E42897D" w14:textId="77777777">
        <w:trPr>
          <w:jc w:val="center"/>
        </w:trPr>
        <w:tc>
          <w:tcPr>
            <w:tcW w:w="2160" w:type="dxa"/>
            <w:tcMar>
              <w:top w:w="80" w:type="dxa"/>
              <w:left w:w="80" w:type="dxa"/>
              <w:bottom w:w="80" w:type="dxa"/>
              <w:right w:w="80" w:type="dxa"/>
            </w:tcMar>
            <w:vAlign w:val="center"/>
          </w:tcPr>
          <w:p w14:paraId="13D98FAF" w14:textId="77777777" w:rsidR="00E46F45" w:rsidRDefault="00000000">
            <w:pPr>
              <w:spacing w:after="0"/>
            </w:pPr>
            <w:r>
              <w:rPr>
                <w:sz w:val="16"/>
              </w:rPr>
              <w:t>ComBat harmonized</w:t>
            </w:r>
          </w:p>
        </w:tc>
        <w:tc>
          <w:tcPr>
            <w:tcW w:w="1728" w:type="dxa"/>
            <w:tcMar>
              <w:top w:w="80" w:type="dxa"/>
              <w:left w:w="80" w:type="dxa"/>
              <w:bottom w:w="80" w:type="dxa"/>
              <w:right w:w="80" w:type="dxa"/>
            </w:tcMar>
            <w:vAlign w:val="center"/>
          </w:tcPr>
          <w:p w14:paraId="1C69F089" w14:textId="77777777" w:rsidR="00E46F45" w:rsidRDefault="00000000">
            <w:pPr>
              <w:spacing w:after="0"/>
            </w:pPr>
            <w:r>
              <w:rPr>
                <w:sz w:val="16"/>
              </w:rPr>
              <w:t>0.902907</w:t>
            </w:r>
          </w:p>
        </w:tc>
        <w:tc>
          <w:tcPr>
            <w:tcW w:w="1296" w:type="dxa"/>
            <w:tcMar>
              <w:top w:w="80" w:type="dxa"/>
              <w:left w:w="80" w:type="dxa"/>
              <w:bottom w:w="80" w:type="dxa"/>
              <w:right w:w="80" w:type="dxa"/>
            </w:tcMar>
            <w:vAlign w:val="center"/>
          </w:tcPr>
          <w:p w14:paraId="273D87F2" w14:textId="77777777" w:rsidR="00E46F45" w:rsidRDefault="00000000">
            <w:pPr>
              <w:spacing w:after="0"/>
            </w:pPr>
            <w:r>
              <w:rPr>
                <w:sz w:val="16"/>
              </w:rPr>
              <w:t>0.057623</w:t>
            </w:r>
          </w:p>
        </w:tc>
        <w:tc>
          <w:tcPr>
            <w:tcW w:w="1584" w:type="dxa"/>
            <w:tcMar>
              <w:top w:w="80" w:type="dxa"/>
              <w:left w:w="80" w:type="dxa"/>
              <w:bottom w:w="80" w:type="dxa"/>
              <w:right w:w="80" w:type="dxa"/>
            </w:tcMar>
            <w:vAlign w:val="center"/>
          </w:tcPr>
          <w:p w14:paraId="7E951006" w14:textId="77777777" w:rsidR="00E46F45" w:rsidRDefault="00000000">
            <w:pPr>
              <w:spacing w:after="0"/>
            </w:pPr>
            <w:r>
              <w:rPr>
                <w:sz w:val="16"/>
              </w:rPr>
              <w:t>0.064988</w:t>
            </w:r>
          </w:p>
        </w:tc>
        <w:tc>
          <w:tcPr>
            <w:tcW w:w="3456" w:type="dxa"/>
            <w:tcMar>
              <w:top w:w="80" w:type="dxa"/>
              <w:left w:w="80" w:type="dxa"/>
              <w:bottom w:w="80" w:type="dxa"/>
              <w:right w:w="80" w:type="dxa"/>
            </w:tcMar>
            <w:vAlign w:val="center"/>
          </w:tcPr>
          <w:p w14:paraId="3794B077" w14:textId="77777777" w:rsidR="00E46F45" w:rsidRDefault="00000000">
            <w:pPr>
              <w:spacing w:after="0"/>
            </w:pPr>
            <w:r>
              <w:rPr>
                <w:sz w:val="16"/>
              </w:rPr>
              <w:t>Stable but nearly unrelated to raw labels.</w:t>
            </w:r>
          </w:p>
        </w:tc>
      </w:tr>
    </w:tbl>
    <w:p w14:paraId="39A16C75" w14:textId="77777777" w:rsidR="00E46F45" w:rsidRDefault="00E46F45"/>
    <w:p w14:paraId="00CA9B80" w14:textId="77777777" w:rsidR="00E46F45" w:rsidRDefault="00000000">
      <w:pPr>
        <w:pStyle w:val="Caption"/>
        <w:jc w:val="center"/>
      </w:pPr>
      <w:r>
        <w:t>Table 12. Association tests after technical harmonization.</w:t>
      </w:r>
    </w:p>
    <w:tbl>
      <w:tblPr>
        <w:tblStyle w:val="TableGrid"/>
        <w:tblW w:w="0" w:type="auto"/>
        <w:jc w:val="center"/>
        <w:tblLook w:val="04A0" w:firstRow="1" w:lastRow="0" w:firstColumn="1" w:lastColumn="0" w:noHBand="0" w:noVBand="1"/>
      </w:tblPr>
      <w:tblGrid>
        <w:gridCol w:w="1962"/>
        <w:gridCol w:w="1691"/>
        <w:gridCol w:w="1678"/>
        <w:gridCol w:w="1413"/>
        <w:gridCol w:w="3326"/>
      </w:tblGrid>
      <w:tr w:rsidR="00E46F45" w14:paraId="7E1C0865" w14:textId="77777777">
        <w:trPr>
          <w:jc w:val="center"/>
        </w:trPr>
        <w:tc>
          <w:tcPr>
            <w:tcW w:w="2016" w:type="dxa"/>
            <w:shd w:val="clear" w:color="auto" w:fill="D9EAF7"/>
            <w:tcMar>
              <w:top w:w="80" w:type="dxa"/>
              <w:left w:w="80" w:type="dxa"/>
              <w:bottom w:w="80" w:type="dxa"/>
              <w:right w:w="80" w:type="dxa"/>
            </w:tcMar>
            <w:vAlign w:val="center"/>
          </w:tcPr>
          <w:p w14:paraId="77BC2C8D" w14:textId="77777777" w:rsidR="00E46F45" w:rsidRDefault="00000000">
            <w:pPr>
              <w:spacing w:after="0"/>
            </w:pPr>
            <w:r>
              <w:rPr>
                <w:sz w:val="15"/>
              </w:rPr>
              <w:t>Cluster type</w:t>
            </w:r>
          </w:p>
        </w:tc>
        <w:tc>
          <w:tcPr>
            <w:tcW w:w="1728" w:type="dxa"/>
            <w:shd w:val="clear" w:color="auto" w:fill="D9EAF7"/>
            <w:tcMar>
              <w:top w:w="80" w:type="dxa"/>
              <w:left w:w="80" w:type="dxa"/>
              <w:bottom w:w="80" w:type="dxa"/>
              <w:right w:w="80" w:type="dxa"/>
            </w:tcMar>
            <w:vAlign w:val="center"/>
          </w:tcPr>
          <w:p w14:paraId="09062021" w14:textId="77777777" w:rsidR="00E46F45" w:rsidRDefault="00000000">
            <w:pPr>
              <w:spacing w:after="0"/>
            </w:pPr>
            <w:r>
              <w:rPr>
                <w:sz w:val="15"/>
              </w:rPr>
              <w:t>Manufacturer p</w:t>
            </w:r>
          </w:p>
        </w:tc>
        <w:tc>
          <w:tcPr>
            <w:tcW w:w="1728" w:type="dxa"/>
            <w:shd w:val="clear" w:color="auto" w:fill="D9EAF7"/>
            <w:tcMar>
              <w:top w:w="80" w:type="dxa"/>
              <w:left w:w="80" w:type="dxa"/>
              <w:bottom w:w="80" w:type="dxa"/>
              <w:right w:w="80" w:type="dxa"/>
            </w:tcMar>
            <w:vAlign w:val="center"/>
          </w:tcPr>
          <w:p w14:paraId="4B0B373A" w14:textId="77777777" w:rsidR="00E46F45" w:rsidRDefault="00000000">
            <w:pPr>
              <w:spacing w:after="0"/>
            </w:pPr>
            <w:r>
              <w:rPr>
                <w:sz w:val="15"/>
              </w:rPr>
              <w:t>Molecular subtype p</w:t>
            </w:r>
          </w:p>
        </w:tc>
        <w:tc>
          <w:tcPr>
            <w:tcW w:w="1440" w:type="dxa"/>
            <w:shd w:val="clear" w:color="auto" w:fill="D9EAF7"/>
            <w:tcMar>
              <w:top w:w="80" w:type="dxa"/>
              <w:left w:w="80" w:type="dxa"/>
              <w:bottom w:w="80" w:type="dxa"/>
              <w:right w:w="80" w:type="dxa"/>
            </w:tcMar>
            <w:vAlign w:val="center"/>
          </w:tcPr>
          <w:p w14:paraId="0852907A" w14:textId="77777777" w:rsidR="00E46F45" w:rsidRDefault="00000000">
            <w:pPr>
              <w:spacing w:after="0"/>
            </w:pPr>
            <w:r>
              <w:rPr>
                <w:sz w:val="15"/>
              </w:rPr>
              <w:t>Recurrence p</w:t>
            </w:r>
          </w:p>
        </w:tc>
        <w:tc>
          <w:tcPr>
            <w:tcW w:w="3456" w:type="dxa"/>
            <w:shd w:val="clear" w:color="auto" w:fill="D9EAF7"/>
            <w:tcMar>
              <w:top w:w="80" w:type="dxa"/>
              <w:left w:w="80" w:type="dxa"/>
              <w:bottom w:w="80" w:type="dxa"/>
              <w:right w:w="80" w:type="dxa"/>
            </w:tcMar>
            <w:vAlign w:val="center"/>
          </w:tcPr>
          <w:p w14:paraId="627D5B14" w14:textId="77777777" w:rsidR="00E46F45" w:rsidRDefault="00000000">
            <w:pPr>
              <w:spacing w:after="0"/>
            </w:pPr>
            <w:r>
              <w:rPr>
                <w:sz w:val="15"/>
              </w:rPr>
              <w:t>Interpretation</w:t>
            </w:r>
          </w:p>
        </w:tc>
      </w:tr>
      <w:tr w:rsidR="00E46F45" w14:paraId="01B9FCFA" w14:textId="77777777">
        <w:trPr>
          <w:jc w:val="center"/>
        </w:trPr>
        <w:tc>
          <w:tcPr>
            <w:tcW w:w="2016" w:type="dxa"/>
            <w:tcMar>
              <w:top w:w="80" w:type="dxa"/>
              <w:left w:w="80" w:type="dxa"/>
              <w:bottom w:w="80" w:type="dxa"/>
              <w:right w:w="80" w:type="dxa"/>
            </w:tcMar>
            <w:vAlign w:val="center"/>
          </w:tcPr>
          <w:p w14:paraId="147B0DBE" w14:textId="77777777" w:rsidR="00E46F45" w:rsidRDefault="00000000">
            <w:pPr>
              <w:spacing w:after="0"/>
            </w:pPr>
            <w:r>
              <w:rPr>
                <w:sz w:val="15"/>
              </w:rPr>
              <w:t>Raw cluster</w:t>
            </w:r>
          </w:p>
        </w:tc>
        <w:tc>
          <w:tcPr>
            <w:tcW w:w="1728" w:type="dxa"/>
            <w:tcMar>
              <w:top w:w="80" w:type="dxa"/>
              <w:left w:w="80" w:type="dxa"/>
              <w:bottom w:w="80" w:type="dxa"/>
              <w:right w:w="80" w:type="dxa"/>
            </w:tcMar>
            <w:vAlign w:val="center"/>
          </w:tcPr>
          <w:p w14:paraId="4FCB0006" w14:textId="77777777" w:rsidR="00E46F45" w:rsidRDefault="00000000">
            <w:pPr>
              <w:spacing w:after="0"/>
            </w:pPr>
            <w:r>
              <w:rPr>
                <w:sz w:val="15"/>
              </w:rPr>
              <w:t>8.022438E-104</w:t>
            </w:r>
          </w:p>
        </w:tc>
        <w:tc>
          <w:tcPr>
            <w:tcW w:w="1728" w:type="dxa"/>
            <w:tcMar>
              <w:top w:w="80" w:type="dxa"/>
              <w:left w:w="80" w:type="dxa"/>
              <w:bottom w:w="80" w:type="dxa"/>
              <w:right w:w="80" w:type="dxa"/>
            </w:tcMar>
            <w:vAlign w:val="center"/>
          </w:tcPr>
          <w:p w14:paraId="39CCC364" w14:textId="77777777" w:rsidR="00E46F45" w:rsidRDefault="00000000">
            <w:pPr>
              <w:spacing w:after="0"/>
            </w:pPr>
            <w:r>
              <w:rPr>
                <w:sz w:val="15"/>
              </w:rPr>
              <w:t>0.145796</w:t>
            </w:r>
          </w:p>
        </w:tc>
        <w:tc>
          <w:tcPr>
            <w:tcW w:w="1440" w:type="dxa"/>
            <w:tcMar>
              <w:top w:w="80" w:type="dxa"/>
              <w:left w:w="80" w:type="dxa"/>
              <w:bottom w:w="80" w:type="dxa"/>
              <w:right w:w="80" w:type="dxa"/>
            </w:tcMar>
            <w:vAlign w:val="center"/>
          </w:tcPr>
          <w:p w14:paraId="7F70ABAA" w14:textId="77777777" w:rsidR="00E46F45" w:rsidRDefault="00000000">
            <w:pPr>
              <w:spacing w:after="0"/>
            </w:pPr>
            <w:r>
              <w:rPr>
                <w:sz w:val="15"/>
              </w:rPr>
              <w:t>0.765626</w:t>
            </w:r>
          </w:p>
        </w:tc>
        <w:tc>
          <w:tcPr>
            <w:tcW w:w="3456" w:type="dxa"/>
            <w:tcMar>
              <w:top w:w="80" w:type="dxa"/>
              <w:left w:w="80" w:type="dxa"/>
              <w:bottom w:w="80" w:type="dxa"/>
              <w:right w:w="80" w:type="dxa"/>
            </w:tcMar>
            <w:vAlign w:val="center"/>
          </w:tcPr>
          <w:p w14:paraId="20769EE2" w14:textId="77777777" w:rsidR="00E46F45" w:rsidRDefault="00000000">
            <w:pPr>
              <w:spacing w:after="0"/>
            </w:pPr>
            <w:r>
              <w:rPr>
                <w:sz w:val="15"/>
              </w:rPr>
              <w:t>Strong manufacturer dependence.</w:t>
            </w:r>
          </w:p>
        </w:tc>
      </w:tr>
      <w:tr w:rsidR="00E46F45" w14:paraId="1262AF12" w14:textId="77777777">
        <w:trPr>
          <w:jc w:val="center"/>
        </w:trPr>
        <w:tc>
          <w:tcPr>
            <w:tcW w:w="2016" w:type="dxa"/>
            <w:tcMar>
              <w:top w:w="80" w:type="dxa"/>
              <w:left w:w="80" w:type="dxa"/>
              <w:bottom w:w="80" w:type="dxa"/>
              <w:right w:w="80" w:type="dxa"/>
            </w:tcMar>
            <w:vAlign w:val="center"/>
          </w:tcPr>
          <w:p w14:paraId="572AB120" w14:textId="77777777" w:rsidR="00E46F45" w:rsidRDefault="00000000">
            <w:pPr>
              <w:spacing w:after="0"/>
            </w:pPr>
            <w:r>
              <w:rPr>
                <w:sz w:val="15"/>
              </w:rPr>
              <w:t>Residualized cluster</w:t>
            </w:r>
          </w:p>
        </w:tc>
        <w:tc>
          <w:tcPr>
            <w:tcW w:w="1728" w:type="dxa"/>
            <w:tcMar>
              <w:top w:w="80" w:type="dxa"/>
              <w:left w:w="80" w:type="dxa"/>
              <w:bottom w:w="80" w:type="dxa"/>
              <w:right w:w="80" w:type="dxa"/>
            </w:tcMar>
            <w:vAlign w:val="center"/>
          </w:tcPr>
          <w:p w14:paraId="1BD9FC36" w14:textId="77777777" w:rsidR="00E46F45" w:rsidRDefault="00000000">
            <w:pPr>
              <w:spacing w:after="0"/>
            </w:pPr>
            <w:r>
              <w:rPr>
                <w:sz w:val="15"/>
              </w:rPr>
              <w:t>0.529964</w:t>
            </w:r>
          </w:p>
        </w:tc>
        <w:tc>
          <w:tcPr>
            <w:tcW w:w="1728" w:type="dxa"/>
            <w:tcMar>
              <w:top w:w="80" w:type="dxa"/>
              <w:left w:w="80" w:type="dxa"/>
              <w:bottom w:w="80" w:type="dxa"/>
              <w:right w:w="80" w:type="dxa"/>
            </w:tcMar>
            <w:vAlign w:val="center"/>
          </w:tcPr>
          <w:p w14:paraId="14AD5719" w14:textId="77777777" w:rsidR="00E46F45" w:rsidRDefault="00000000">
            <w:pPr>
              <w:spacing w:after="0"/>
            </w:pPr>
            <w:r>
              <w:rPr>
                <w:sz w:val="15"/>
              </w:rPr>
              <w:t>0.716945</w:t>
            </w:r>
          </w:p>
        </w:tc>
        <w:tc>
          <w:tcPr>
            <w:tcW w:w="1440" w:type="dxa"/>
            <w:tcMar>
              <w:top w:w="80" w:type="dxa"/>
              <w:left w:w="80" w:type="dxa"/>
              <w:bottom w:w="80" w:type="dxa"/>
              <w:right w:w="80" w:type="dxa"/>
            </w:tcMar>
            <w:vAlign w:val="center"/>
          </w:tcPr>
          <w:p w14:paraId="58F30564" w14:textId="77777777" w:rsidR="00E46F45" w:rsidRDefault="00000000">
            <w:pPr>
              <w:spacing w:after="0"/>
            </w:pPr>
            <w:r>
              <w:rPr>
                <w:sz w:val="15"/>
              </w:rPr>
              <w:t>0.074725</w:t>
            </w:r>
          </w:p>
        </w:tc>
        <w:tc>
          <w:tcPr>
            <w:tcW w:w="3456" w:type="dxa"/>
            <w:tcMar>
              <w:top w:w="80" w:type="dxa"/>
              <w:left w:w="80" w:type="dxa"/>
              <w:bottom w:w="80" w:type="dxa"/>
              <w:right w:w="80" w:type="dxa"/>
            </w:tcMar>
            <w:vAlign w:val="center"/>
          </w:tcPr>
          <w:p w14:paraId="7E22A6B7" w14:textId="77777777" w:rsidR="00E46F45" w:rsidRDefault="00000000">
            <w:pPr>
              <w:spacing w:after="0"/>
            </w:pPr>
            <w:r>
              <w:rPr>
                <w:sz w:val="15"/>
              </w:rPr>
              <w:t>Manufacturer dependence removed; clinical signal borderline only.</w:t>
            </w:r>
          </w:p>
        </w:tc>
      </w:tr>
      <w:tr w:rsidR="00E46F45" w14:paraId="2118BBE1" w14:textId="77777777">
        <w:trPr>
          <w:jc w:val="center"/>
        </w:trPr>
        <w:tc>
          <w:tcPr>
            <w:tcW w:w="2016" w:type="dxa"/>
            <w:tcMar>
              <w:top w:w="80" w:type="dxa"/>
              <w:left w:w="80" w:type="dxa"/>
              <w:bottom w:w="80" w:type="dxa"/>
              <w:right w:w="80" w:type="dxa"/>
            </w:tcMar>
            <w:vAlign w:val="center"/>
          </w:tcPr>
          <w:p w14:paraId="6EE3114A" w14:textId="77777777" w:rsidR="00E46F45" w:rsidRDefault="00000000">
            <w:pPr>
              <w:spacing w:after="0"/>
            </w:pPr>
            <w:r>
              <w:rPr>
                <w:sz w:val="15"/>
              </w:rPr>
              <w:t>ComBat cluster</w:t>
            </w:r>
          </w:p>
        </w:tc>
        <w:tc>
          <w:tcPr>
            <w:tcW w:w="1728" w:type="dxa"/>
            <w:tcMar>
              <w:top w:w="80" w:type="dxa"/>
              <w:left w:w="80" w:type="dxa"/>
              <w:bottom w:w="80" w:type="dxa"/>
              <w:right w:w="80" w:type="dxa"/>
            </w:tcMar>
            <w:vAlign w:val="center"/>
          </w:tcPr>
          <w:p w14:paraId="181B363A" w14:textId="77777777" w:rsidR="00E46F45" w:rsidRDefault="00000000">
            <w:pPr>
              <w:spacing w:after="0"/>
            </w:pPr>
            <w:r>
              <w:rPr>
                <w:sz w:val="15"/>
              </w:rPr>
              <w:t>0.176522</w:t>
            </w:r>
          </w:p>
        </w:tc>
        <w:tc>
          <w:tcPr>
            <w:tcW w:w="1728" w:type="dxa"/>
            <w:tcMar>
              <w:top w:w="80" w:type="dxa"/>
              <w:left w:w="80" w:type="dxa"/>
              <w:bottom w:w="80" w:type="dxa"/>
              <w:right w:w="80" w:type="dxa"/>
            </w:tcMar>
            <w:vAlign w:val="center"/>
          </w:tcPr>
          <w:p w14:paraId="66FC09BD" w14:textId="77777777" w:rsidR="00E46F45" w:rsidRDefault="00000000">
            <w:pPr>
              <w:spacing w:after="0"/>
            </w:pPr>
            <w:r>
              <w:rPr>
                <w:sz w:val="15"/>
              </w:rPr>
              <w:t>0.809070</w:t>
            </w:r>
          </w:p>
        </w:tc>
        <w:tc>
          <w:tcPr>
            <w:tcW w:w="1440" w:type="dxa"/>
            <w:tcMar>
              <w:top w:w="80" w:type="dxa"/>
              <w:left w:w="80" w:type="dxa"/>
              <w:bottom w:w="80" w:type="dxa"/>
              <w:right w:w="80" w:type="dxa"/>
            </w:tcMar>
            <w:vAlign w:val="center"/>
          </w:tcPr>
          <w:p w14:paraId="6E0E7A1D" w14:textId="77777777" w:rsidR="00E46F45" w:rsidRDefault="00000000">
            <w:pPr>
              <w:spacing w:after="0"/>
            </w:pPr>
            <w:r>
              <w:rPr>
                <w:sz w:val="15"/>
              </w:rPr>
              <w:t>0.055758</w:t>
            </w:r>
          </w:p>
        </w:tc>
        <w:tc>
          <w:tcPr>
            <w:tcW w:w="3456" w:type="dxa"/>
            <w:tcMar>
              <w:top w:w="80" w:type="dxa"/>
              <w:left w:w="80" w:type="dxa"/>
              <w:bottom w:w="80" w:type="dxa"/>
              <w:right w:w="80" w:type="dxa"/>
            </w:tcMar>
            <w:vAlign w:val="center"/>
          </w:tcPr>
          <w:p w14:paraId="3C6F9E4D" w14:textId="77777777" w:rsidR="00E46F45" w:rsidRDefault="00000000">
            <w:pPr>
              <w:spacing w:after="0"/>
            </w:pPr>
            <w:r>
              <w:rPr>
                <w:sz w:val="15"/>
              </w:rPr>
              <w:t>Manufacturer dependence attenuated; clinical signal borderline only.</w:t>
            </w:r>
          </w:p>
        </w:tc>
      </w:tr>
    </w:tbl>
    <w:p w14:paraId="4CEC5A4A" w14:textId="77777777" w:rsidR="00E46F45" w:rsidRDefault="00E46F45"/>
    <w:p w14:paraId="4F3B0145" w14:textId="77777777" w:rsidR="006C5A94" w:rsidRDefault="006C5A94"/>
    <w:p w14:paraId="66378130" w14:textId="77777777" w:rsidR="006C5A94" w:rsidRDefault="006C5A94"/>
    <w:p w14:paraId="2250A186" w14:textId="77777777" w:rsidR="00E46F45" w:rsidRDefault="00000000">
      <w:pPr>
        <w:pStyle w:val="Heading2"/>
      </w:pPr>
      <w:r>
        <w:t>4.4 Key message 4: neither the HR+/HER2+ signal nor the residual size-linked structure supports a biomarker claim</w:t>
      </w:r>
    </w:p>
    <w:p w14:paraId="60BDD48F" w14:textId="77777777" w:rsidR="0074008B" w:rsidRDefault="0074008B"/>
    <w:p w14:paraId="3B89FC17" w14:textId="154B0E51" w:rsidR="00C21441" w:rsidRPr="00C21441" w:rsidRDefault="00C21441" w:rsidP="00C21441">
      <w:pPr>
        <w:spacing w:line="360" w:lineRule="auto"/>
        <w:jc w:val="both"/>
        <w:rPr>
          <w:rFonts w:ascii="Times New Roman" w:hAnsi="Times New Roman" w:cs="Times New Roman"/>
          <w:sz w:val="24"/>
          <w:szCs w:val="24"/>
        </w:rPr>
      </w:pPr>
      <w:r w:rsidRPr="00C21441">
        <w:rPr>
          <w:rFonts w:ascii="Times New Roman" w:hAnsi="Times New Roman" w:cs="Times New Roman"/>
          <w:sz w:val="24"/>
          <w:szCs w:val="24"/>
        </w:rPr>
        <w:t xml:space="preserve">Post harmonization indicates that loss of the </w:t>
      </w:r>
      <w:r w:rsidRPr="00C21441">
        <w:rPr>
          <w:rFonts w:ascii="Times New Roman" w:hAnsi="Times New Roman" w:cs="Times New Roman"/>
          <w:sz w:val="24"/>
          <w:szCs w:val="24"/>
        </w:rPr>
        <w:t>HR+/HER2+ survival signal</w:t>
      </w:r>
      <w:r w:rsidRPr="00C21441">
        <w:rPr>
          <w:rFonts w:ascii="Times New Roman" w:hAnsi="Times New Roman" w:cs="Times New Roman"/>
          <w:sz w:val="24"/>
          <w:szCs w:val="24"/>
        </w:rPr>
        <w:t xml:space="preserve">. </w:t>
      </w:r>
      <w:r w:rsidRPr="00C21441">
        <w:rPr>
          <w:rFonts w:ascii="Times New Roman" w:hAnsi="Times New Roman" w:cs="Times New Roman"/>
          <w:sz w:val="24"/>
          <w:szCs w:val="24"/>
        </w:rPr>
        <w:t>When forced into a Cox model along with raw cluster, the cluster HR dropped to 2.48 and was no longer significant (95% CI 0.46-13.39; p=0.291). Manufacturer itself was also insignificant in that tiny subgroup (HR=2.99; p=0.200), but there are too few degrees of freedom to properly test two correlated predictors with only 10 events (Table 13).</w:t>
      </w:r>
    </w:p>
    <w:p w14:paraId="35A7B251" w14:textId="0A16F5EB" w:rsidR="00C21441" w:rsidRPr="00C21441" w:rsidRDefault="00C21441" w:rsidP="00C21441">
      <w:pPr>
        <w:spacing w:line="360" w:lineRule="auto"/>
        <w:jc w:val="both"/>
        <w:rPr>
          <w:rFonts w:ascii="Times New Roman" w:hAnsi="Times New Roman" w:cs="Times New Roman"/>
          <w:sz w:val="24"/>
          <w:szCs w:val="24"/>
        </w:rPr>
      </w:pPr>
      <w:r w:rsidRPr="00C21441">
        <w:rPr>
          <w:rFonts w:ascii="Times New Roman" w:hAnsi="Times New Roman" w:cs="Times New Roman"/>
          <w:sz w:val="24"/>
          <w:szCs w:val="24"/>
        </w:rPr>
        <w:t>After technical confounders were removed, there remained a structure. However, it is more accurately characterized as a size-correlated residue than as an orthogonal discovery. Clusters attermined after harmonization were no longer detectably coupled with manufacturer, and they associated most strongly with tumor bounding-box volume in the extended analysis (p</w:t>
      </w:r>
      <w:r w:rsidRPr="00C21441">
        <w:rPr>
          <w:rFonts w:ascii="Cambria Math" w:hAnsi="Cambria Math" w:cs="Cambria Math"/>
          <w:sz w:val="24"/>
          <w:szCs w:val="24"/>
        </w:rPr>
        <w:t>∼</w:t>
      </w:r>
      <w:r w:rsidRPr="00C21441">
        <w:rPr>
          <w:rFonts w:ascii="Times New Roman" w:hAnsi="Times New Roman" w:cs="Times New Roman"/>
          <w:sz w:val="24"/>
          <w:szCs w:val="24"/>
        </w:rPr>
        <w:t>10^-26). That residual structure did not meet the prespecified biomarker validation thresholds summarized in Table 14: The recurrence association was weak, radiomic scores did not predict recurrence after clinical covariates, and scores were not sufficiently directionally consistent within vendors to make a biomarker claim.</w:t>
      </w:r>
    </w:p>
    <w:p w14:paraId="4180D4C6" w14:textId="77777777" w:rsidR="00C21441" w:rsidRPr="00C21441" w:rsidRDefault="00C21441" w:rsidP="00C21441">
      <w:pPr>
        <w:spacing w:line="360" w:lineRule="auto"/>
        <w:jc w:val="both"/>
        <w:rPr>
          <w:rFonts w:ascii="Times New Roman" w:hAnsi="Times New Roman" w:cs="Times New Roman"/>
          <w:sz w:val="24"/>
          <w:szCs w:val="24"/>
        </w:rPr>
      </w:pPr>
    </w:p>
    <w:p w14:paraId="7623C901" w14:textId="77777777" w:rsidR="00AD0AAB" w:rsidRDefault="00C21441" w:rsidP="00C21441">
      <w:pPr>
        <w:spacing w:line="360" w:lineRule="auto"/>
        <w:jc w:val="both"/>
        <w:rPr>
          <w:rFonts w:ascii="Times New Roman" w:hAnsi="Times New Roman" w:cs="Times New Roman"/>
          <w:sz w:val="24"/>
          <w:szCs w:val="24"/>
        </w:rPr>
      </w:pPr>
      <w:r w:rsidRPr="00C21441">
        <w:rPr>
          <w:rFonts w:ascii="Times New Roman" w:hAnsi="Times New Roman" w:cs="Times New Roman"/>
          <w:sz w:val="24"/>
          <w:szCs w:val="24"/>
        </w:rPr>
        <w:t xml:space="preserve">The appropriate conclusion is therefore not that radiomic clustering is </w:t>
      </w:r>
      <w:r w:rsidR="00AD0AAB">
        <w:rPr>
          <w:rFonts w:ascii="Times New Roman" w:hAnsi="Times New Roman" w:cs="Times New Roman"/>
          <w:sz w:val="24"/>
          <w:szCs w:val="24"/>
        </w:rPr>
        <w:t>useless but rather</w:t>
      </w:r>
      <w:r w:rsidRPr="00C21441">
        <w:rPr>
          <w:rFonts w:ascii="Times New Roman" w:hAnsi="Times New Roman" w:cs="Times New Roman"/>
          <w:sz w:val="24"/>
          <w:szCs w:val="24"/>
        </w:rPr>
        <w:t xml:space="preserve"> the raw apparent discovery must be downgraded to a false positive after going through acquisition-aware falsification. The lesson is </w:t>
      </w:r>
      <w:r w:rsidR="00AD0AAB">
        <w:rPr>
          <w:rFonts w:ascii="Times New Roman" w:hAnsi="Times New Roman" w:cs="Times New Roman"/>
          <w:sz w:val="24"/>
          <w:szCs w:val="24"/>
        </w:rPr>
        <w:t>therefore the following</w:t>
      </w:r>
    </w:p>
    <w:p w14:paraId="0156DD16" w14:textId="4E27F862" w:rsidR="00C21441" w:rsidRPr="00C21441" w:rsidRDefault="00C21441" w:rsidP="00C21441">
      <w:pPr>
        <w:spacing w:line="360" w:lineRule="auto"/>
        <w:jc w:val="both"/>
        <w:rPr>
          <w:rFonts w:ascii="Times New Roman" w:hAnsi="Times New Roman" w:cs="Times New Roman"/>
          <w:sz w:val="24"/>
          <w:szCs w:val="24"/>
        </w:rPr>
      </w:pPr>
      <w:r w:rsidRPr="00C21441">
        <w:rPr>
          <w:rFonts w:ascii="Times New Roman" w:hAnsi="Times New Roman" w:cs="Times New Roman"/>
          <w:sz w:val="24"/>
          <w:szCs w:val="24"/>
        </w:rPr>
        <w:lastRenderedPageBreak/>
        <w:t xml:space="preserve">Perform identity checks, </w:t>
      </w:r>
      <w:r w:rsidR="00AD0AAB">
        <w:rPr>
          <w:rFonts w:ascii="Times New Roman" w:hAnsi="Times New Roman" w:cs="Times New Roman"/>
          <w:sz w:val="24"/>
          <w:szCs w:val="24"/>
        </w:rPr>
        <w:t>check</w:t>
      </w:r>
      <w:r w:rsidRPr="00C21441">
        <w:rPr>
          <w:rFonts w:ascii="Times New Roman" w:hAnsi="Times New Roman" w:cs="Times New Roman"/>
          <w:sz w:val="24"/>
          <w:szCs w:val="24"/>
        </w:rPr>
        <w:t xml:space="preserve"> for harmonization sensitivity and </w:t>
      </w:r>
      <w:r w:rsidR="00AD0AAB">
        <w:rPr>
          <w:rFonts w:ascii="Times New Roman" w:hAnsi="Times New Roman" w:cs="Times New Roman"/>
          <w:sz w:val="24"/>
          <w:szCs w:val="24"/>
        </w:rPr>
        <w:t>test</w:t>
      </w:r>
      <w:r w:rsidRPr="00C21441">
        <w:rPr>
          <w:rFonts w:ascii="Times New Roman" w:hAnsi="Times New Roman" w:cs="Times New Roman"/>
          <w:sz w:val="24"/>
          <w:szCs w:val="24"/>
        </w:rPr>
        <w:t xml:space="preserve"> for clinical </w:t>
      </w:r>
      <w:r w:rsidR="00AD0AAB">
        <w:rPr>
          <w:rFonts w:ascii="Times New Roman" w:hAnsi="Times New Roman" w:cs="Times New Roman"/>
          <w:sz w:val="24"/>
          <w:szCs w:val="24"/>
        </w:rPr>
        <w:t xml:space="preserve">validity </w:t>
      </w:r>
      <w:r w:rsidRPr="00C21441">
        <w:rPr>
          <w:rFonts w:ascii="Times New Roman" w:hAnsi="Times New Roman" w:cs="Times New Roman"/>
          <w:sz w:val="24"/>
          <w:szCs w:val="24"/>
        </w:rPr>
        <w:t>before interpreting stable clusters as phenotypes.</w:t>
      </w:r>
    </w:p>
    <w:p w14:paraId="73E611C9" w14:textId="77777777" w:rsidR="00C21441" w:rsidRDefault="00C21441"/>
    <w:p w14:paraId="373420D4" w14:textId="77777777" w:rsidR="00E46F45" w:rsidRDefault="00000000">
      <w:pPr>
        <w:pStyle w:val="Caption"/>
        <w:jc w:val="center"/>
      </w:pPr>
      <w:r>
        <w:t>Table 13. Manufacturer-adjusted Cox model in the HR+/HER2+ subgroup.</w:t>
      </w:r>
    </w:p>
    <w:tbl>
      <w:tblPr>
        <w:tblStyle w:val="TableGrid"/>
        <w:tblW w:w="0" w:type="auto"/>
        <w:jc w:val="center"/>
        <w:tblLook w:val="04A0" w:firstRow="1" w:lastRow="0" w:firstColumn="1" w:lastColumn="0" w:noHBand="0" w:noVBand="1"/>
      </w:tblPr>
      <w:tblGrid>
        <w:gridCol w:w="2181"/>
        <w:gridCol w:w="1179"/>
        <w:gridCol w:w="1366"/>
        <w:gridCol w:w="1913"/>
        <w:gridCol w:w="1052"/>
        <w:gridCol w:w="2379"/>
      </w:tblGrid>
      <w:tr w:rsidR="00E46F45" w14:paraId="73D92DC0" w14:textId="77777777">
        <w:trPr>
          <w:jc w:val="center"/>
        </w:trPr>
        <w:tc>
          <w:tcPr>
            <w:tcW w:w="2592" w:type="dxa"/>
            <w:shd w:val="clear" w:color="auto" w:fill="D9EAF7"/>
            <w:tcMar>
              <w:top w:w="80" w:type="dxa"/>
              <w:left w:w="80" w:type="dxa"/>
              <w:bottom w:w="80" w:type="dxa"/>
              <w:right w:w="80" w:type="dxa"/>
            </w:tcMar>
            <w:vAlign w:val="center"/>
          </w:tcPr>
          <w:p w14:paraId="65DC47C5" w14:textId="77777777" w:rsidR="00E46F45" w:rsidRDefault="00000000">
            <w:pPr>
              <w:spacing w:after="0"/>
            </w:pPr>
            <w:r>
              <w:rPr>
                <w:sz w:val="15"/>
              </w:rPr>
              <w:t>Covariate</w:t>
            </w:r>
          </w:p>
        </w:tc>
        <w:tc>
          <w:tcPr>
            <w:tcW w:w="1296" w:type="dxa"/>
            <w:shd w:val="clear" w:color="auto" w:fill="D9EAF7"/>
            <w:tcMar>
              <w:top w:w="80" w:type="dxa"/>
              <w:left w:w="80" w:type="dxa"/>
              <w:bottom w:w="80" w:type="dxa"/>
              <w:right w:w="80" w:type="dxa"/>
            </w:tcMar>
            <w:vAlign w:val="center"/>
          </w:tcPr>
          <w:p w14:paraId="4EBA39D7" w14:textId="77777777" w:rsidR="00E46F45" w:rsidRDefault="00000000">
            <w:pPr>
              <w:spacing w:after="0"/>
            </w:pPr>
            <w:r>
              <w:rPr>
                <w:sz w:val="15"/>
              </w:rPr>
              <w:t>Coefficient</w:t>
            </w:r>
          </w:p>
        </w:tc>
        <w:tc>
          <w:tcPr>
            <w:tcW w:w="1584" w:type="dxa"/>
            <w:shd w:val="clear" w:color="auto" w:fill="D9EAF7"/>
            <w:tcMar>
              <w:top w:w="80" w:type="dxa"/>
              <w:left w:w="80" w:type="dxa"/>
              <w:bottom w:w="80" w:type="dxa"/>
              <w:right w:w="80" w:type="dxa"/>
            </w:tcMar>
            <w:vAlign w:val="center"/>
          </w:tcPr>
          <w:p w14:paraId="5949CED0" w14:textId="77777777" w:rsidR="00E46F45" w:rsidRDefault="00000000">
            <w:pPr>
              <w:spacing w:after="0"/>
            </w:pPr>
            <w:r>
              <w:rPr>
                <w:sz w:val="15"/>
              </w:rPr>
              <w:t>Hazard ratio</w:t>
            </w:r>
          </w:p>
        </w:tc>
        <w:tc>
          <w:tcPr>
            <w:tcW w:w="2304" w:type="dxa"/>
            <w:shd w:val="clear" w:color="auto" w:fill="D9EAF7"/>
            <w:tcMar>
              <w:top w:w="80" w:type="dxa"/>
              <w:left w:w="80" w:type="dxa"/>
              <w:bottom w:w="80" w:type="dxa"/>
              <w:right w:w="80" w:type="dxa"/>
            </w:tcMar>
            <w:vAlign w:val="center"/>
          </w:tcPr>
          <w:p w14:paraId="7F8FD601" w14:textId="77777777" w:rsidR="00E46F45" w:rsidRDefault="00000000">
            <w:pPr>
              <w:spacing w:after="0"/>
            </w:pPr>
            <w:r>
              <w:rPr>
                <w:sz w:val="15"/>
              </w:rPr>
              <w:t>95% CI</w:t>
            </w:r>
          </w:p>
        </w:tc>
        <w:tc>
          <w:tcPr>
            <w:tcW w:w="1152" w:type="dxa"/>
            <w:shd w:val="clear" w:color="auto" w:fill="D9EAF7"/>
            <w:tcMar>
              <w:top w:w="80" w:type="dxa"/>
              <w:left w:w="80" w:type="dxa"/>
              <w:bottom w:w="80" w:type="dxa"/>
              <w:right w:w="80" w:type="dxa"/>
            </w:tcMar>
            <w:vAlign w:val="center"/>
          </w:tcPr>
          <w:p w14:paraId="4C11D967" w14:textId="77777777" w:rsidR="00E46F45" w:rsidRDefault="00000000">
            <w:pPr>
              <w:spacing w:after="0"/>
            </w:pPr>
            <w:r>
              <w:rPr>
                <w:sz w:val="15"/>
              </w:rPr>
              <w:t>p-value</w:t>
            </w:r>
          </w:p>
        </w:tc>
        <w:tc>
          <w:tcPr>
            <w:tcW w:w="2880" w:type="dxa"/>
            <w:shd w:val="clear" w:color="auto" w:fill="D9EAF7"/>
            <w:tcMar>
              <w:top w:w="80" w:type="dxa"/>
              <w:left w:w="80" w:type="dxa"/>
              <w:bottom w:w="80" w:type="dxa"/>
              <w:right w:w="80" w:type="dxa"/>
            </w:tcMar>
            <w:vAlign w:val="center"/>
          </w:tcPr>
          <w:p w14:paraId="63CE13C4" w14:textId="77777777" w:rsidR="00E46F45" w:rsidRDefault="00000000">
            <w:pPr>
              <w:spacing w:after="0"/>
            </w:pPr>
            <w:r>
              <w:rPr>
                <w:sz w:val="15"/>
              </w:rPr>
              <w:t>Interpretation</w:t>
            </w:r>
          </w:p>
        </w:tc>
      </w:tr>
      <w:tr w:rsidR="00E46F45" w14:paraId="1ED162D0" w14:textId="77777777">
        <w:trPr>
          <w:jc w:val="center"/>
        </w:trPr>
        <w:tc>
          <w:tcPr>
            <w:tcW w:w="2592" w:type="dxa"/>
            <w:tcMar>
              <w:top w:w="80" w:type="dxa"/>
              <w:left w:w="80" w:type="dxa"/>
              <w:bottom w:w="80" w:type="dxa"/>
              <w:right w:w="80" w:type="dxa"/>
            </w:tcMar>
            <w:vAlign w:val="center"/>
          </w:tcPr>
          <w:p w14:paraId="6DBD2000" w14:textId="77777777" w:rsidR="00E46F45" w:rsidRDefault="00000000">
            <w:pPr>
              <w:spacing w:after="0"/>
            </w:pPr>
            <w:r>
              <w:rPr>
                <w:sz w:val="15"/>
              </w:rPr>
              <w:t>Raw cluster</w:t>
            </w:r>
          </w:p>
        </w:tc>
        <w:tc>
          <w:tcPr>
            <w:tcW w:w="1296" w:type="dxa"/>
            <w:tcMar>
              <w:top w:w="80" w:type="dxa"/>
              <w:left w:w="80" w:type="dxa"/>
              <w:bottom w:w="80" w:type="dxa"/>
              <w:right w:w="80" w:type="dxa"/>
            </w:tcMar>
            <w:vAlign w:val="center"/>
          </w:tcPr>
          <w:p w14:paraId="0B818695" w14:textId="77777777" w:rsidR="00E46F45" w:rsidRDefault="00000000">
            <w:pPr>
              <w:spacing w:after="0"/>
            </w:pPr>
            <w:r>
              <w:rPr>
                <w:sz w:val="15"/>
              </w:rPr>
              <w:t>0.908162</w:t>
            </w:r>
          </w:p>
        </w:tc>
        <w:tc>
          <w:tcPr>
            <w:tcW w:w="1584" w:type="dxa"/>
            <w:tcMar>
              <w:top w:w="80" w:type="dxa"/>
              <w:left w:w="80" w:type="dxa"/>
              <w:bottom w:w="80" w:type="dxa"/>
              <w:right w:w="80" w:type="dxa"/>
            </w:tcMar>
            <w:vAlign w:val="center"/>
          </w:tcPr>
          <w:p w14:paraId="0314A8DF" w14:textId="77777777" w:rsidR="00E46F45" w:rsidRDefault="00000000">
            <w:pPr>
              <w:spacing w:after="0"/>
            </w:pPr>
            <w:r>
              <w:rPr>
                <w:sz w:val="15"/>
              </w:rPr>
              <w:t>2.479761</w:t>
            </w:r>
          </w:p>
        </w:tc>
        <w:tc>
          <w:tcPr>
            <w:tcW w:w="2304" w:type="dxa"/>
            <w:tcMar>
              <w:top w:w="80" w:type="dxa"/>
              <w:left w:w="80" w:type="dxa"/>
              <w:bottom w:w="80" w:type="dxa"/>
              <w:right w:w="80" w:type="dxa"/>
            </w:tcMar>
            <w:vAlign w:val="center"/>
          </w:tcPr>
          <w:p w14:paraId="4A9F22F7" w14:textId="77777777" w:rsidR="00E46F45" w:rsidRDefault="00000000">
            <w:pPr>
              <w:spacing w:after="0"/>
            </w:pPr>
            <w:r>
              <w:rPr>
                <w:sz w:val="15"/>
              </w:rPr>
              <w:t>0.459408-13.385089</w:t>
            </w:r>
          </w:p>
        </w:tc>
        <w:tc>
          <w:tcPr>
            <w:tcW w:w="1152" w:type="dxa"/>
            <w:tcMar>
              <w:top w:w="80" w:type="dxa"/>
              <w:left w:w="80" w:type="dxa"/>
              <w:bottom w:w="80" w:type="dxa"/>
              <w:right w:w="80" w:type="dxa"/>
            </w:tcMar>
            <w:vAlign w:val="center"/>
          </w:tcPr>
          <w:p w14:paraId="560D4129" w14:textId="77777777" w:rsidR="00E46F45" w:rsidRDefault="00000000">
            <w:pPr>
              <w:spacing w:after="0"/>
            </w:pPr>
            <w:r>
              <w:rPr>
                <w:sz w:val="15"/>
              </w:rPr>
              <w:t>0.291085</w:t>
            </w:r>
          </w:p>
        </w:tc>
        <w:tc>
          <w:tcPr>
            <w:tcW w:w="2880" w:type="dxa"/>
            <w:tcMar>
              <w:top w:w="80" w:type="dxa"/>
              <w:left w:w="80" w:type="dxa"/>
              <w:bottom w:w="80" w:type="dxa"/>
              <w:right w:w="80" w:type="dxa"/>
            </w:tcMar>
            <w:vAlign w:val="center"/>
          </w:tcPr>
          <w:p w14:paraId="5589B429" w14:textId="77777777" w:rsidR="00E46F45" w:rsidRDefault="00000000">
            <w:pPr>
              <w:spacing w:after="0"/>
            </w:pPr>
            <w:r>
              <w:rPr>
                <w:sz w:val="15"/>
              </w:rPr>
              <w:t>Cluster effect attenuates and loses significance.</w:t>
            </w:r>
          </w:p>
        </w:tc>
      </w:tr>
      <w:tr w:rsidR="00E46F45" w14:paraId="43A4F7C0" w14:textId="77777777">
        <w:trPr>
          <w:jc w:val="center"/>
        </w:trPr>
        <w:tc>
          <w:tcPr>
            <w:tcW w:w="2592" w:type="dxa"/>
            <w:tcMar>
              <w:top w:w="80" w:type="dxa"/>
              <w:left w:w="80" w:type="dxa"/>
              <w:bottom w:w="80" w:type="dxa"/>
              <w:right w:w="80" w:type="dxa"/>
            </w:tcMar>
            <w:vAlign w:val="center"/>
          </w:tcPr>
          <w:p w14:paraId="61C877D6" w14:textId="77777777" w:rsidR="00E46F45" w:rsidRDefault="00000000">
            <w:pPr>
              <w:spacing w:after="0"/>
            </w:pPr>
            <w:r>
              <w:rPr>
                <w:sz w:val="15"/>
              </w:rPr>
              <w:t>Manufacturer: Siemens vs GE</w:t>
            </w:r>
          </w:p>
        </w:tc>
        <w:tc>
          <w:tcPr>
            <w:tcW w:w="1296" w:type="dxa"/>
            <w:tcMar>
              <w:top w:w="80" w:type="dxa"/>
              <w:left w:w="80" w:type="dxa"/>
              <w:bottom w:w="80" w:type="dxa"/>
              <w:right w:w="80" w:type="dxa"/>
            </w:tcMar>
            <w:vAlign w:val="center"/>
          </w:tcPr>
          <w:p w14:paraId="62AA485F" w14:textId="77777777" w:rsidR="00E46F45" w:rsidRDefault="00000000">
            <w:pPr>
              <w:spacing w:after="0"/>
            </w:pPr>
            <w:r>
              <w:rPr>
                <w:sz w:val="15"/>
              </w:rPr>
              <w:t>1.096711</w:t>
            </w:r>
          </w:p>
        </w:tc>
        <w:tc>
          <w:tcPr>
            <w:tcW w:w="1584" w:type="dxa"/>
            <w:tcMar>
              <w:top w:w="80" w:type="dxa"/>
              <w:left w:w="80" w:type="dxa"/>
              <w:bottom w:w="80" w:type="dxa"/>
              <w:right w:w="80" w:type="dxa"/>
            </w:tcMar>
            <w:vAlign w:val="center"/>
          </w:tcPr>
          <w:p w14:paraId="39A7597A" w14:textId="77777777" w:rsidR="00E46F45" w:rsidRDefault="00000000">
            <w:pPr>
              <w:spacing w:after="0"/>
            </w:pPr>
            <w:r>
              <w:rPr>
                <w:sz w:val="15"/>
              </w:rPr>
              <w:t>2.994301</w:t>
            </w:r>
          </w:p>
        </w:tc>
        <w:tc>
          <w:tcPr>
            <w:tcW w:w="2304" w:type="dxa"/>
            <w:tcMar>
              <w:top w:w="80" w:type="dxa"/>
              <w:left w:w="80" w:type="dxa"/>
              <w:bottom w:w="80" w:type="dxa"/>
              <w:right w:w="80" w:type="dxa"/>
            </w:tcMar>
            <w:vAlign w:val="center"/>
          </w:tcPr>
          <w:p w14:paraId="6420658D" w14:textId="77777777" w:rsidR="00E46F45" w:rsidRDefault="00000000">
            <w:pPr>
              <w:spacing w:after="0"/>
            </w:pPr>
            <w:r>
              <w:rPr>
                <w:sz w:val="15"/>
              </w:rPr>
              <w:t>0.559256-16.031719</w:t>
            </w:r>
          </w:p>
        </w:tc>
        <w:tc>
          <w:tcPr>
            <w:tcW w:w="1152" w:type="dxa"/>
            <w:tcMar>
              <w:top w:w="80" w:type="dxa"/>
              <w:left w:w="80" w:type="dxa"/>
              <w:bottom w:w="80" w:type="dxa"/>
              <w:right w:w="80" w:type="dxa"/>
            </w:tcMar>
            <w:vAlign w:val="center"/>
          </w:tcPr>
          <w:p w14:paraId="49E4AFF5" w14:textId="77777777" w:rsidR="00E46F45" w:rsidRDefault="00000000">
            <w:pPr>
              <w:spacing w:after="0"/>
            </w:pPr>
            <w:r>
              <w:rPr>
                <w:sz w:val="15"/>
              </w:rPr>
              <w:t>0.200157</w:t>
            </w:r>
          </w:p>
        </w:tc>
        <w:tc>
          <w:tcPr>
            <w:tcW w:w="2880" w:type="dxa"/>
            <w:tcMar>
              <w:top w:w="80" w:type="dxa"/>
              <w:left w:w="80" w:type="dxa"/>
              <w:bottom w:w="80" w:type="dxa"/>
              <w:right w:w="80" w:type="dxa"/>
            </w:tcMar>
            <w:vAlign w:val="center"/>
          </w:tcPr>
          <w:p w14:paraId="653F2CC2" w14:textId="77777777" w:rsidR="00E46F45" w:rsidRDefault="00000000">
            <w:pPr>
              <w:spacing w:after="0"/>
            </w:pPr>
            <w:r>
              <w:rPr>
                <w:sz w:val="15"/>
              </w:rPr>
              <w:t>Non-significant in sparse subgroup; correlated with cluster.</w:t>
            </w:r>
          </w:p>
        </w:tc>
      </w:tr>
    </w:tbl>
    <w:p w14:paraId="2AC16275" w14:textId="77777777" w:rsidR="00E46F45" w:rsidRDefault="00E46F45"/>
    <w:p w14:paraId="57EAF6F2" w14:textId="77777777" w:rsidR="00E46F45" w:rsidRDefault="00000000">
      <w:pPr>
        <w:pStyle w:val="Caption"/>
        <w:jc w:val="center"/>
      </w:pPr>
      <w:r>
        <w:t>Table 14. Prespecified biomarker criteria for the post-harmonization residual structure.</w:t>
      </w:r>
    </w:p>
    <w:tbl>
      <w:tblPr>
        <w:tblStyle w:val="TableGrid"/>
        <w:tblW w:w="0" w:type="auto"/>
        <w:jc w:val="center"/>
        <w:tblLook w:val="04A0" w:firstRow="1" w:lastRow="0" w:firstColumn="1" w:lastColumn="0" w:noHBand="0" w:noVBand="1"/>
      </w:tblPr>
      <w:tblGrid>
        <w:gridCol w:w="2592"/>
        <w:gridCol w:w="5688"/>
        <w:gridCol w:w="1790"/>
      </w:tblGrid>
      <w:tr w:rsidR="00E46F45" w14:paraId="0C7A07D9" w14:textId="77777777">
        <w:trPr>
          <w:jc w:val="center"/>
        </w:trPr>
        <w:tc>
          <w:tcPr>
            <w:tcW w:w="2736" w:type="dxa"/>
            <w:shd w:val="clear" w:color="auto" w:fill="D9EAF7"/>
            <w:tcMar>
              <w:top w:w="80" w:type="dxa"/>
              <w:left w:w="80" w:type="dxa"/>
              <w:bottom w:w="80" w:type="dxa"/>
              <w:right w:w="80" w:type="dxa"/>
            </w:tcMar>
            <w:vAlign w:val="center"/>
          </w:tcPr>
          <w:p w14:paraId="6C1096F3" w14:textId="77777777" w:rsidR="00E46F45" w:rsidRDefault="00000000">
            <w:pPr>
              <w:spacing w:after="0"/>
            </w:pPr>
            <w:r>
              <w:rPr>
                <w:sz w:val="16"/>
              </w:rPr>
              <w:t>Criterion</w:t>
            </w:r>
          </w:p>
        </w:tc>
        <w:tc>
          <w:tcPr>
            <w:tcW w:w="6048" w:type="dxa"/>
            <w:shd w:val="clear" w:color="auto" w:fill="D9EAF7"/>
            <w:tcMar>
              <w:top w:w="80" w:type="dxa"/>
              <w:left w:w="80" w:type="dxa"/>
              <w:bottom w:w="80" w:type="dxa"/>
              <w:right w:w="80" w:type="dxa"/>
            </w:tcMar>
            <w:vAlign w:val="center"/>
          </w:tcPr>
          <w:p w14:paraId="537BDDD7" w14:textId="77777777" w:rsidR="00E46F45" w:rsidRDefault="00000000">
            <w:pPr>
              <w:spacing w:after="0"/>
            </w:pPr>
            <w:r>
              <w:rPr>
                <w:sz w:val="16"/>
              </w:rPr>
              <w:t>Observed result</w:t>
            </w:r>
          </w:p>
        </w:tc>
        <w:tc>
          <w:tcPr>
            <w:tcW w:w="1872" w:type="dxa"/>
            <w:shd w:val="clear" w:color="auto" w:fill="D9EAF7"/>
            <w:tcMar>
              <w:top w:w="80" w:type="dxa"/>
              <w:left w:w="80" w:type="dxa"/>
              <w:bottom w:w="80" w:type="dxa"/>
              <w:right w:w="80" w:type="dxa"/>
            </w:tcMar>
            <w:vAlign w:val="center"/>
          </w:tcPr>
          <w:p w14:paraId="51FA5ACB" w14:textId="77777777" w:rsidR="00E46F45" w:rsidRDefault="00000000">
            <w:pPr>
              <w:spacing w:after="0"/>
            </w:pPr>
            <w:r>
              <w:rPr>
                <w:sz w:val="16"/>
              </w:rPr>
              <w:t>Status</w:t>
            </w:r>
          </w:p>
        </w:tc>
      </w:tr>
      <w:tr w:rsidR="00E46F45" w14:paraId="4E9B593B" w14:textId="77777777">
        <w:trPr>
          <w:jc w:val="center"/>
        </w:trPr>
        <w:tc>
          <w:tcPr>
            <w:tcW w:w="2736" w:type="dxa"/>
            <w:tcMar>
              <w:top w:w="80" w:type="dxa"/>
              <w:left w:w="80" w:type="dxa"/>
              <w:bottom w:w="80" w:type="dxa"/>
              <w:right w:w="80" w:type="dxa"/>
            </w:tcMar>
            <w:vAlign w:val="center"/>
          </w:tcPr>
          <w:p w14:paraId="408BCB1A" w14:textId="77777777" w:rsidR="00E46F45" w:rsidRDefault="00000000">
            <w:pPr>
              <w:spacing w:after="0"/>
            </w:pPr>
            <w:r>
              <w:rPr>
                <w:sz w:val="16"/>
              </w:rPr>
              <w:t>Endpoint association</w:t>
            </w:r>
          </w:p>
        </w:tc>
        <w:tc>
          <w:tcPr>
            <w:tcW w:w="6048" w:type="dxa"/>
            <w:tcMar>
              <w:top w:w="80" w:type="dxa"/>
              <w:left w:w="80" w:type="dxa"/>
              <w:bottom w:w="80" w:type="dxa"/>
              <w:right w:w="80" w:type="dxa"/>
            </w:tcMar>
            <w:vAlign w:val="center"/>
          </w:tcPr>
          <w:p w14:paraId="4DFB71EC" w14:textId="77777777" w:rsidR="00E46F45" w:rsidRDefault="00000000">
            <w:pPr>
              <w:spacing w:after="0"/>
            </w:pPr>
            <w:r>
              <w:rPr>
                <w:sz w:val="16"/>
              </w:rPr>
              <w:t>Cluster-level recurrence signals were borderline or non-robust, and adjusted clinical models did not establish a durable recurrence association.</w:t>
            </w:r>
          </w:p>
        </w:tc>
        <w:tc>
          <w:tcPr>
            <w:tcW w:w="1872" w:type="dxa"/>
            <w:tcMar>
              <w:top w:w="80" w:type="dxa"/>
              <w:left w:w="80" w:type="dxa"/>
              <w:bottom w:w="80" w:type="dxa"/>
              <w:right w:w="80" w:type="dxa"/>
            </w:tcMar>
            <w:vAlign w:val="center"/>
          </w:tcPr>
          <w:p w14:paraId="424E3D88" w14:textId="77777777" w:rsidR="00E46F45" w:rsidRDefault="00000000">
            <w:pPr>
              <w:spacing w:after="0"/>
            </w:pPr>
            <w:r>
              <w:rPr>
                <w:sz w:val="16"/>
              </w:rPr>
              <w:t>Not met</w:t>
            </w:r>
          </w:p>
        </w:tc>
      </w:tr>
      <w:tr w:rsidR="00E46F45" w14:paraId="138AD3F8" w14:textId="77777777">
        <w:trPr>
          <w:jc w:val="center"/>
        </w:trPr>
        <w:tc>
          <w:tcPr>
            <w:tcW w:w="2736" w:type="dxa"/>
            <w:tcMar>
              <w:top w:w="80" w:type="dxa"/>
              <w:left w:w="80" w:type="dxa"/>
              <w:bottom w:w="80" w:type="dxa"/>
              <w:right w:w="80" w:type="dxa"/>
            </w:tcMar>
            <w:vAlign w:val="center"/>
          </w:tcPr>
          <w:p w14:paraId="38BB0992" w14:textId="77777777" w:rsidR="00E46F45" w:rsidRDefault="00000000">
            <w:pPr>
              <w:spacing w:after="0"/>
            </w:pPr>
            <w:r>
              <w:rPr>
                <w:sz w:val="16"/>
              </w:rPr>
              <w:t>Incremental predictive value</w:t>
            </w:r>
          </w:p>
        </w:tc>
        <w:tc>
          <w:tcPr>
            <w:tcW w:w="6048" w:type="dxa"/>
            <w:tcMar>
              <w:top w:w="80" w:type="dxa"/>
              <w:left w:w="80" w:type="dxa"/>
              <w:bottom w:w="80" w:type="dxa"/>
              <w:right w:w="80" w:type="dxa"/>
            </w:tcMar>
            <w:vAlign w:val="center"/>
          </w:tcPr>
          <w:p w14:paraId="7A6AF768" w14:textId="77777777" w:rsidR="00E46F45" w:rsidRDefault="00000000">
            <w:pPr>
              <w:spacing w:after="0"/>
            </w:pPr>
            <w:r>
              <w:rPr>
                <w:sz w:val="16"/>
              </w:rPr>
              <w:t>Radiomic/vascularity-augmented models did not improve recurrence prediction beyond clinical features in nested cross-validation.</w:t>
            </w:r>
          </w:p>
        </w:tc>
        <w:tc>
          <w:tcPr>
            <w:tcW w:w="1872" w:type="dxa"/>
            <w:tcMar>
              <w:top w:w="80" w:type="dxa"/>
              <w:left w:w="80" w:type="dxa"/>
              <w:bottom w:w="80" w:type="dxa"/>
              <w:right w:w="80" w:type="dxa"/>
            </w:tcMar>
            <w:vAlign w:val="center"/>
          </w:tcPr>
          <w:p w14:paraId="74A25B05" w14:textId="77777777" w:rsidR="00E46F45" w:rsidRDefault="00000000">
            <w:pPr>
              <w:spacing w:after="0"/>
            </w:pPr>
            <w:r>
              <w:rPr>
                <w:sz w:val="16"/>
              </w:rPr>
              <w:t>Not met</w:t>
            </w:r>
          </w:p>
        </w:tc>
      </w:tr>
      <w:tr w:rsidR="00E46F45" w14:paraId="01D62B57" w14:textId="77777777">
        <w:trPr>
          <w:jc w:val="center"/>
        </w:trPr>
        <w:tc>
          <w:tcPr>
            <w:tcW w:w="2736" w:type="dxa"/>
            <w:tcMar>
              <w:top w:w="80" w:type="dxa"/>
              <w:left w:w="80" w:type="dxa"/>
              <w:bottom w:w="80" w:type="dxa"/>
              <w:right w:w="80" w:type="dxa"/>
            </w:tcMar>
            <w:vAlign w:val="center"/>
          </w:tcPr>
          <w:p w14:paraId="4FF27C07" w14:textId="77777777" w:rsidR="00E46F45" w:rsidRDefault="00000000">
            <w:pPr>
              <w:spacing w:after="0"/>
            </w:pPr>
            <w:r>
              <w:rPr>
                <w:sz w:val="16"/>
              </w:rPr>
              <w:t>Within-vendor direction consistency</w:t>
            </w:r>
          </w:p>
        </w:tc>
        <w:tc>
          <w:tcPr>
            <w:tcW w:w="6048" w:type="dxa"/>
            <w:tcMar>
              <w:top w:w="80" w:type="dxa"/>
              <w:left w:w="80" w:type="dxa"/>
              <w:bottom w:w="80" w:type="dxa"/>
              <w:right w:w="80" w:type="dxa"/>
            </w:tcMar>
            <w:vAlign w:val="center"/>
          </w:tcPr>
          <w:p w14:paraId="248CF575" w14:textId="77777777" w:rsidR="00E46F45" w:rsidRDefault="00000000">
            <w:pPr>
              <w:spacing w:after="0"/>
            </w:pPr>
            <w:r>
              <w:rPr>
                <w:sz w:val="16"/>
              </w:rPr>
              <w:t>Direction and magnitude were not sufficiently reliable across vendor-restricted analyses to support a biomarker claim.</w:t>
            </w:r>
          </w:p>
        </w:tc>
        <w:tc>
          <w:tcPr>
            <w:tcW w:w="1872" w:type="dxa"/>
            <w:tcMar>
              <w:top w:w="80" w:type="dxa"/>
              <w:left w:w="80" w:type="dxa"/>
              <w:bottom w:w="80" w:type="dxa"/>
              <w:right w:w="80" w:type="dxa"/>
            </w:tcMar>
            <w:vAlign w:val="center"/>
          </w:tcPr>
          <w:p w14:paraId="4EB145F8" w14:textId="77777777" w:rsidR="00E46F45" w:rsidRDefault="00000000">
            <w:pPr>
              <w:spacing w:after="0"/>
            </w:pPr>
            <w:r>
              <w:rPr>
                <w:sz w:val="16"/>
              </w:rPr>
              <w:t>Not met</w:t>
            </w:r>
          </w:p>
        </w:tc>
      </w:tr>
      <w:tr w:rsidR="00E46F45" w14:paraId="01359273" w14:textId="77777777">
        <w:trPr>
          <w:jc w:val="center"/>
        </w:trPr>
        <w:tc>
          <w:tcPr>
            <w:tcW w:w="2736" w:type="dxa"/>
            <w:tcMar>
              <w:top w:w="80" w:type="dxa"/>
              <w:left w:w="80" w:type="dxa"/>
              <w:bottom w:w="80" w:type="dxa"/>
              <w:right w:w="80" w:type="dxa"/>
            </w:tcMar>
            <w:vAlign w:val="center"/>
          </w:tcPr>
          <w:p w14:paraId="10495FD5" w14:textId="77777777" w:rsidR="00E46F45" w:rsidRDefault="00000000">
            <w:pPr>
              <w:spacing w:after="0"/>
            </w:pPr>
            <w:r>
              <w:rPr>
                <w:sz w:val="16"/>
              </w:rPr>
              <w:t>Overall conclusion</w:t>
            </w:r>
          </w:p>
        </w:tc>
        <w:tc>
          <w:tcPr>
            <w:tcW w:w="6048" w:type="dxa"/>
            <w:tcMar>
              <w:top w:w="80" w:type="dxa"/>
              <w:left w:w="80" w:type="dxa"/>
              <w:bottom w:w="80" w:type="dxa"/>
              <w:right w:w="80" w:type="dxa"/>
            </w:tcMar>
            <w:vAlign w:val="center"/>
          </w:tcPr>
          <w:p w14:paraId="69EE1CD6" w14:textId="77777777" w:rsidR="00E46F45" w:rsidRDefault="00000000">
            <w:pPr>
              <w:spacing w:after="0"/>
            </w:pPr>
            <w:r>
              <w:rPr>
                <w:sz w:val="16"/>
              </w:rPr>
              <w:t>Residual structure is vendor-cleaner and size-linked, but it is not validated as a biological or clinical phenotype in this cohort.</w:t>
            </w:r>
          </w:p>
        </w:tc>
        <w:tc>
          <w:tcPr>
            <w:tcW w:w="1872" w:type="dxa"/>
            <w:tcMar>
              <w:top w:w="80" w:type="dxa"/>
              <w:left w:w="80" w:type="dxa"/>
              <w:bottom w:w="80" w:type="dxa"/>
              <w:right w:w="80" w:type="dxa"/>
            </w:tcMar>
            <w:vAlign w:val="center"/>
          </w:tcPr>
          <w:p w14:paraId="6ED51FE5" w14:textId="77777777" w:rsidR="00E46F45" w:rsidRDefault="00000000">
            <w:pPr>
              <w:spacing w:after="0"/>
            </w:pPr>
            <w:r>
              <w:rPr>
                <w:sz w:val="16"/>
              </w:rPr>
              <w:t>Fails biomarker threshold</w:t>
            </w:r>
          </w:p>
        </w:tc>
      </w:tr>
    </w:tbl>
    <w:p w14:paraId="3B82460E" w14:textId="77777777" w:rsidR="00972A77" w:rsidRDefault="00972A77"/>
    <w:p w14:paraId="54ABBFE3" w14:textId="77777777" w:rsidR="00E46F45" w:rsidRDefault="00000000">
      <w:pPr>
        <w:pStyle w:val="Heading1"/>
      </w:pPr>
      <w:r>
        <w:t>5. Discussion</w:t>
      </w:r>
    </w:p>
    <w:p w14:paraId="5BED59BB" w14:textId="7F0EBCCB" w:rsidR="00E46F45" w:rsidRDefault="00000000">
      <w:pPr>
        <w:pStyle w:val="Heading2"/>
      </w:pPr>
      <w:r>
        <w:t xml:space="preserve">5.1 </w:t>
      </w:r>
      <w:r w:rsidR="00051CE4">
        <w:t>Main</w:t>
      </w:r>
      <w:r>
        <w:t xml:space="preserve"> finding: the negative result is the result</w:t>
      </w:r>
    </w:p>
    <w:p w14:paraId="19BB4F92" w14:textId="77777777" w:rsidR="00C21441" w:rsidRDefault="00C21441"/>
    <w:p w14:paraId="4DF57011" w14:textId="6432700C" w:rsidR="00066293" w:rsidRPr="00066293" w:rsidRDefault="00C21441" w:rsidP="00066293">
      <w:pPr>
        <w:spacing w:line="360" w:lineRule="auto"/>
        <w:jc w:val="both"/>
        <w:rPr>
          <w:rFonts w:ascii="Times New Roman" w:hAnsi="Times New Roman" w:cs="Times New Roman"/>
          <w:sz w:val="24"/>
          <w:szCs w:val="24"/>
        </w:rPr>
      </w:pPr>
      <w:r w:rsidRPr="00066293">
        <w:rPr>
          <w:rFonts w:ascii="Times New Roman" w:hAnsi="Times New Roman" w:cs="Times New Roman"/>
          <w:sz w:val="24"/>
          <w:szCs w:val="24"/>
        </w:rPr>
        <w:t xml:space="preserve">The main takeaway of this report is as such: </w:t>
      </w:r>
      <w:r w:rsidRPr="00066293">
        <w:rPr>
          <w:rFonts w:ascii="Times New Roman" w:hAnsi="Times New Roman" w:cs="Times New Roman"/>
          <w:sz w:val="24"/>
          <w:szCs w:val="24"/>
        </w:rPr>
        <w:t>a radiomic partition can be internally stable, visually coherent, and apparently prognostic while failing to represent a biological subgroup.</w:t>
      </w:r>
      <w:r w:rsidRPr="00066293">
        <w:rPr>
          <w:rFonts w:ascii="Times New Roman" w:hAnsi="Times New Roman" w:cs="Times New Roman"/>
          <w:sz w:val="24"/>
          <w:szCs w:val="24"/>
        </w:rPr>
        <w:t xml:space="preserve"> Our initial two group partitions looked compelling when </w:t>
      </w:r>
      <w:r w:rsidR="00B9128D" w:rsidRPr="00066293">
        <w:rPr>
          <w:rFonts w:ascii="Times New Roman" w:hAnsi="Times New Roman" w:cs="Times New Roman"/>
          <w:sz w:val="24"/>
          <w:szCs w:val="24"/>
        </w:rPr>
        <w:t>ranked against</w:t>
      </w:r>
      <w:r w:rsidR="00E063B5">
        <w:rPr>
          <w:rFonts w:ascii="Times New Roman" w:hAnsi="Times New Roman" w:cs="Times New Roman"/>
          <w:sz w:val="24"/>
          <w:szCs w:val="24"/>
        </w:rPr>
        <w:t xml:space="preserve"> a</w:t>
      </w:r>
      <w:r w:rsidR="00B9128D" w:rsidRPr="00066293">
        <w:rPr>
          <w:rFonts w:ascii="Times New Roman" w:hAnsi="Times New Roman" w:cs="Times New Roman"/>
          <w:sz w:val="24"/>
          <w:szCs w:val="24"/>
        </w:rPr>
        <w:t xml:space="preserve"> standard metric, where it was </w:t>
      </w:r>
      <w:r w:rsidR="00066293" w:rsidRPr="00066293">
        <w:rPr>
          <w:rFonts w:ascii="Times New Roman" w:hAnsi="Times New Roman" w:cs="Times New Roman"/>
          <w:sz w:val="24"/>
          <w:szCs w:val="24"/>
        </w:rPr>
        <w:t>reproducible</w:t>
      </w:r>
      <w:r w:rsidR="00B9128D" w:rsidRPr="00066293">
        <w:rPr>
          <w:rFonts w:ascii="Times New Roman" w:hAnsi="Times New Roman" w:cs="Times New Roman"/>
          <w:sz w:val="24"/>
          <w:szCs w:val="24"/>
        </w:rPr>
        <w:t xml:space="preserve"> when resampled, had a </w:t>
      </w:r>
      <w:r w:rsidR="00066293" w:rsidRPr="00066293">
        <w:rPr>
          <w:rFonts w:ascii="Times New Roman" w:hAnsi="Times New Roman" w:cs="Times New Roman"/>
          <w:sz w:val="24"/>
          <w:szCs w:val="24"/>
        </w:rPr>
        <w:t>vascularity</w:t>
      </w:r>
      <w:r w:rsidR="00B9128D" w:rsidRPr="00066293">
        <w:rPr>
          <w:rFonts w:ascii="Times New Roman" w:hAnsi="Times New Roman" w:cs="Times New Roman"/>
          <w:sz w:val="24"/>
          <w:szCs w:val="24"/>
        </w:rPr>
        <w:t xml:space="preserve"> </w:t>
      </w:r>
      <w:r w:rsidR="00066293" w:rsidRPr="00066293">
        <w:rPr>
          <w:rFonts w:ascii="Times New Roman" w:hAnsi="Times New Roman" w:cs="Times New Roman"/>
          <w:sz w:val="24"/>
          <w:szCs w:val="24"/>
        </w:rPr>
        <w:t>associated</w:t>
      </w:r>
      <w:r w:rsidR="00B9128D" w:rsidRPr="00066293">
        <w:rPr>
          <w:rFonts w:ascii="Times New Roman" w:hAnsi="Times New Roman" w:cs="Times New Roman"/>
          <w:sz w:val="24"/>
          <w:szCs w:val="24"/>
        </w:rPr>
        <w:t xml:space="preserve"> profile and hinted at a promising </w:t>
      </w:r>
      <w:r w:rsidR="00B9128D" w:rsidRPr="00066293">
        <w:rPr>
          <w:rFonts w:ascii="Times New Roman" w:hAnsi="Times New Roman" w:cs="Times New Roman"/>
          <w:sz w:val="24"/>
          <w:szCs w:val="24"/>
        </w:rPr>
        <w:t>HR+/HER2+</w:t>
      </w:r>
      <w:r w:rsidR="00B9128D" w:rsidRPr="00066293">
        <w:rPr>
          <w:rFonts w:ascii="Times New Roman" w:hAnsi="Times New Roman" w:cs="Times New Roman"/>
          <w:sz w:val="24"/>
          <w:szCs w:val="24"/>
        </w:rPr>
        <w:t xml:space="preserve"> phenotype with an increase in </w:t>
      </w:r>
      <w:r w:rsidR="00066293" w:rsidRPr="00066293">
        <w:rPr>
          <w:rFonts w:ascii="Times New Roman" w:hAnsi="Times New Roman" w:cs="Times New Roman"/>
          <w:sz w:val="24"/>
          <w:szCs w:val="24"/>
        </w:rPr>
        <w:t>recurrence</w:t>
      </w:r>
      <w:r w:rsidR="00B9128D" w:rsidRPr="00066293">
        <w:rPr>
          <w:rFonts w:ascii="Times New Roman" w:hAnsi="Times New Roman" w:cs="Times New Roman"/>
          <w:sz w:val="24"/>
          <w:szCs w:val="24"/>
        </w:rPr>
        <w:t xml:space="preserve">, </w:t>
      </w:r>
      <w:r w:rsidR="00066293" w:rsidRPr="00066293">
        <w:rPr>
          <w:rFonts w:ascii="Times New Roman" w:hAnsi="Times New Roman" w:cs="Times New Roman"/>
          <w:sz w:val="24"/>
          <w:szCs w:val="24"/>
        </w:rPr>
        <w:t xml:space="preserve">but under closer inspection, the partitions aligned mostly with </w:t>
      </w:r>
      <w:r w:rsidR="00066293" w:rsidRPr="00066293">
        <w:rPr>
          <w:rFonts w:ascii="Times New Roman" w:hAnsi="Times New Roman" w:cs="Times New Roman"/>
          <w:sz w:val="24"/>
          <w:szCs w:val="24"/>
        </w:rPr>
        <w:t>scanner manufacturer and pulse-sequence</w:t>
      </w:r>
      <w:r w:rsidR="00066293" w:rsidRPr="00066293">
        <w:rPr>
          <w:rFonts w:ascii="Times New Roman" w:hAnsi="Times New Roman" w:cs="Times New Roman"/>
          <w:sz w:val="24"/>
          <w:szCs w:val="24"/>
        </w:rPr>
        <w:t xml:space="preserve">. </w:t>
      </w:r>
    </w:p>
    <w:p w14:paraId="2EA483AB" w14:textId="12579700" w:rsidR="00C21441" w:rsidRPr="00066293" w:rsidRDefault="00066293" w:rsidP="00066293">
      <w:pPr>
        <w:spacing w:line="360" w:lineRule="auto"/>
        <w:jc w:val="both"/>
        <w:rPr>
          <w:rFonts w:ascii="Times New Roman" w:hAnsi="Times New Roman" w:cs="Times New Roman"/>
          <w:sz w:val="24"/>
          <w:szCs w:val="24"/>
        </w:rPr>
      </w:pPr>
      <w:r w:rsidRPr="00066293">
        <w:rPr>
          <w:rFonts w:ascii="Times New Roman" w:hAnsi="Times New Roman" w:cs="Times New Roman"/>
          <w:sz w:val="24"/>
          <w:szCs w:val="24"/>
        </w:rPr>
        <w:t>This brings us back to the utility of stability trap terminology. Raw phenotype was not meaningless noise</w:t>
      </w:r>
      <w:r w:rsidR="00E063B5">
        <w:rPr>
          <w:rFonts w:ascii="Times New Roman" w:hAnsi="Times New Roman" w:cs="Times New Roman"/>
          <w:sz w:val="24"/>
          <w:szCs w:val="24"/>
        </w:rPr>
        <w:t>, but rather</w:t>
      </w:r>
      <w:r w:rsidRPr="00066293">
        <w:rPr>
          <w:rFonts w:ascii="Times New Roman" w:hAnsi="Times New Roman" w:cs="Times New Roman"/>
          <w:sz w:val="24"/>
          <w:szCs w:val="24"/>
        </w:rPr>
        <w:t xml:space="preserve"> </w:t>
      </w:r>
      <w:r w:rsidR="00E063B5">
        <w:rPr>
          <w:rFonts w:ascii="Times New Roman" w:hAnsi="Times New Roman" w:cs="Times New Roman"/>
          <w:sz w:val="24"/>
          <w:szCs w:val="24"/>
        </w:rPr>
        <w:t>i</w:t>
      </w:r>
      <w:r w:rsidRPr="00066293">
        <w:rPr>
          <w:rFonts w:ascii="Times New Roman" w:hAnsi="Times New Roman" w:cs="Times New Roman"/>
          <w:sz w:val="24"/>
          <w:szCs w:val="24"/>
        </w:rPr>
        <w:t xml:space="preserve">t was stable because the acquisition signal was stable. High bootstrap </w:t>
      </w:r>
      <w:r w:rsidR="00E063B5">
        <w:rPr>
          <w:rFonts w:ascii="Times New Roman" w:hAnsi="Times New Roman" w:cs="Times New Roman"/>
          <w:sz w:val="24"/>
          <w:szCs w:val="24"/>
        </w:rPr>
        <w:t>scores</w:t>
      </w:r>
      <w:r w:rsidRPr="00066293">
        <w:rPr>
          <w:rFonts w:ascii="Times New Roman" w:hAnsi="Times New Roman" w:cs="Times New Roman"/>
          <w:sz w:val="24"/>
          <w:szCs w:val="24"/>
        </w:rPr>
        <w:t xml:space="preserve"> became misleading because they were interpreted as signals of biological truth. Instead, the accurate </w:t>
      </w:r>
      <w:r w:rsidR="00E063B5">
        <w:rPr>
          <w:rFonts w:ascii="Times New Roman" w:hAnsi="Times New Roman" w:cs="Times New Roman"/>
          <w:sz w:val="24"/>
          <w:szCs w:val="24"/>
        </w:rPr>
        <w:t xml:space="preserve">more correct </w:t>
      </w:r>
      <w:r w:rsidRPr="00066293">
        <w:rPr>
          <w:rFonts w:ascii="Times New Roman" w:hAnsi="Times New Roman" w:cs="Times New Roman"/>
          <w:sz w:val="24"/>
          <w:szCs w:val="24"/>
        </w:rPr>
        <w:t xml:space="preserve">inference is more limited: the clustering algorithm identified and recovered a strong and reproducible signal present in the radiomic feature matrix. The falsification chain then demonstrates that dominant signal is primarily </w:t>
      </w:r>
      <w:r w:rsidRPr="00066293">
        <w:rPr>
          <w:rFonts w:ascii="Times New Roman" w:hAnsi="Times New Roman" w:cs="Times New Roman"/>
          <w:sz w:val="24"/>
          <w:szCs w:val="24"/>
        </w:rPr>
        <w:lastRenderedPageBreak/>
        <w:t>technical. If we must extract a positive finding from this work, therefore, it is the invalidation of the phenotype claim rather than identification of a new phenotype.</w:t>
      </w:r>
    </w:p>
    <w:p w14:paraId="509F8CB8" w14:textId="77777777" w:rsidR="00066293" w:rsidRDefault="00066293"/>
    <w:p w14:paraId="2B4C943A" w14:textId="106D36B9" w:rsidR="00E46F45" w:rsidRDefault="00000000">
      <w:pPr>
        <w:pStyle w:val="Heading2"/>
      </w:pPr>
      <w:r>
        <w:t xml:space="preserve">5.2 </w:t>
      </w:r>
      <w:r w:rsidR="007F2A55">
        <w:t>Dangers of L</w:t>
      </w:r>
      <w:r>
        <w:t xml:space="preserve">anguage </w:t>
      </w:r>
    </w:p>
    <w:p w14:paraId="5501EA69" w14:textId="77777777" w:rsidR="00066293" w:rsidRDefault="00066293" w:rsidP="00066293"/>
    <w:p w14:paraId="71C466E8" w14:textId="480FF237" w:rsidR="00066293" w:rsidRPr="00066293" w:rsidRDefault="00066293" w:rsidP="00066293">
      <w:pPr>
        <w:spacing w:line="360" w:lineRule="auto"/>
        <w:jc w:val="both"/>
        <w:rPr>
          <w:rFonts w:ascii="Times New Roman" w:hAnsi="Times New Roman" w:cs="Times New Roman"/>
          <w:sz w:val="24"/>
          <w:szCs w:val="24"/>
        </w:rPr>
      </w:pPr>
      <w:r w:rsidRPr="00066293">
        <w:rPr>
          <w:rFonts w:ascii="Times New Roman" w:hAnsi="Times New Roman" w:cs="Times New Roman"/>
          <w:sz w:val="24"/>
          <w:szCs w:val="24"/>
        </w:rPr>
        <w:t xml:space="preserve">Feature-wise, the cluster-separating features made sense. Surface-enhancement-return (SER) entropy, SER homogeneity, peak enhancement (PE) variability, certain enhancement-volume ratios, and wash-in/efflux descriptors naturally suggest increased versus decreased vascularity or perfusion. Enhancement-history descriptors are especially interpretable that way in breast DCE-MRI since tumor enhancement behavior is already the central radiological finding on this exam. Those same qualities make the stability trap so </w:t>
      </w:r>
      <w:r w:rsidRPr="00066293">
        <w:rPr>
          <w:rFonts w:ascii="Times New Roman" w:hAnsi="Times New Roman" w:cs="Times New Roman"/>
          <w:sz w:val="24"/>
          <w:szCs w:val="24"/>
        </w:rPr>
        <w:t>malicious</w:t>
      </w:r>
      <w:r w:rsidRPr="00066293">
        <w:rPr>
          <w:rFonts w:ascii="Times New Roman" w:hAnsi="Times New Roman" w:cs="Times New Roman"/>
          <w:sz w:val="24"/>
          <w:szCs w:val="24"/>
        </w:rPr>
        <w:t>, though: conceptually familiar language can too easily coat a technically induced partition.</w:t>
      </w:r>
    </w:p>
    <w:p w14:paraId="156B3003" w14:textId="6DFCD896" w:rsidR="00066293" w:rsidRPr="00066293" w:rsidRDefault="00066293" w:rsidP="00066293">
      <w:pPr>
        <w:spacing w:line="360" w:lineRule="auto"/>
        <w:jc w:val="both"/>
        <w:rPr>
          <w:rFonts w:ascii="Times New Roman" w:hAnsi="Times New Roman" w:cs="Times New Roman"/>
          <w:sz w:val="24"/>
          <w:szCs w:val="24"/>
        </w:rPr>
      </w:pPr>
      <w:r w:rsidRPr="00066293">
        <w:rPr>
          <w:rFonts w:ascii="Times New Roman" w:hAnsi="Times New Roman" w:cs="Times New Roman"/>
          <w:sz w:val="24"/>
          <w:szCs w:val="24"/>
        </w:rPr>
        <w:t>That is not to say the report should avoid using biologically plausible language</w:t>
      </w:r>
      <w:r w:rsidRPr="00066293">
        <w:rPr>
          <w:rFonts w:ascii="Times New Roman" w:hAnsi="Times New Roman" w:cs="Times New Roman"/>
          <w:sz w:val="24"/>
          <w:szCs w:val="24"/>
        </w:rPr>
        <w:t xml:space="preserve"> because</w:t>
      </w:r>
      <w:r w:rsidRPr="00066293">
        <w:rPr>
          <w:rFonts w:ascii="Times New Roman" w:hAnsi="Times New Roman" w:cs="Times New Roman"/>
          <w:sz w:val="24"/>
          <w:szCs w:val="24"/>
        </w:rPr>
        <w:t xml:space="preserve"> Enhancement features are not biologically meaningless; patients just tend not to cluster cleanly by vascular biology in early breast cancer. But that biological plausibility is not evidence. Absent acquisition vulnerability, language would not be an issue</w:t>
      </w:r>
      <w:r w:rsidR="00E063B5">
        <w:rPr>
          <w:rFonts w:ascii="Times New Roman" w:hAnsi="Times New Roman" w:cs="Times New Roman"/>
          <w:sz w:val="24"/>
          <w:szCs w:val="24"/>
        </w:rPr>
        <w:t>, b</w:t>
      </w:r>
      <w:r w:rsidRPr="00066293">
        <w:rPr>
          <w:rFonts w:ascii="Times New Roman" w:hAnsi="Times New Roman" w:cs="Times New Roman"/>
          <w:sz w:val="24"/>
          <w:szCs w:val="24"/>
        </w:rPr>
        <w:t>ut when leading features are acquisition sensitive, vascularity descriptors become hypothesis rather than confirmation. The profile becomes plausible but hypothetical (“these features are known to be associated with vascularity, and the clusters separate on those features”) until the acquisition-ware checks are passed.</w:t>
      </w:r>
    </w:p>
    <w:p w14:paraId="14BF2E31" w14:textId="77777777" w:rsidR="00066293" w:rsidRDefault="00066293" w:rsidP="00066293"/>
    <w:p w14:paraId="3D007B37" w14:textId="77777777" w:rsidR="00E46F45" w:rsidRDefault="00000000">
      <w:pPr>
        <w:pStyle w:val="Heading2"/>
      </w:pPr>
      <w:r>
        <w:t>5.3 Cluster stability and partition identity are separate validation targets</w:t>
      </w:r>
    </w:p>
    <w:p w14:paraId="032BD1C8" w14:textId="77777777" w:rsidR="00066293" w:rsidRDefault="00066293" w:rsidP="00066293"/>
    <w:p w14:paraId="1561186F" w14:textId="213EA538" w:rsidR="00066293" w:rsidRPr="007F2A55" w:rsidRDefault="00066293" w:rsidP="00E063B5">
      <w:pPr>
        <w:spacing w:line="360" w:lineRule="auto"/>
        <w:jc w:val="both"/>
        <w:rPr>
          <w:rFonts w:ascii="Times New Roman" w:hAnsi="Times New Roman" w:cs="Times New Roman"/>
          <w:sz w:val="24"/>
          <w:szCs w:val="24"/>
        </w:rPr>
      </w:pPr>
      <w:r w:rsidRPr="007F2A55">
        <w:rPr>
          <w:rFonts w:ascii="Times New Roman" w:hAnsi="Times New Roman" w:cs="Times New Roman"/>
          <w:sz w:val="24"/>
          <w:szCs w:val="24"/>
        </w:rPr>
        <w:t xml:space="preserve">Separately, harmonization </w:t>
      </w:r>
      <w:r w:rsidR="00E063B5" w:rsidRPr="007F2A55">
        <w:rPr>
          <w:rFonts w:ascii="Times New Roman" w:hAnsi="Times New Roman" w:cs="Times New Roman"/>
          <w:sz w:val="24"/>
          <w:szCs w:val="24"/>
        </w:rPr>
        <w:t>explains</w:t>
      </w:r>
      <w:r w:rsidRPr="007F2A55">
        <w:rPr>
          <w:rFonts w:ascii="Times New Roman" w:hAnsi="Times New Roman" w:cs="Times New Roman"/>
          <w:sz w:val="24"/>
          <w:szCs w:val="24"/>
        </w:rPr>
        <w:t xml:space="preserve"> why cluster stability and partition identity are different validation goals. Harmonization did not destroy cluster stability; residualization and Combat produced perfectly stable yet novel two-cluster solutions. The </w:t>
      </w:r>
      <w:r w:rsidR="00E063B5" w:rsidRPr="007F2A55">
        <w:rPr>
          <w:rFonts w:ascii="Times New Roman" w:hAnsi="Times New Roman" w:cs="Times New Roman"/>
          <w:sz w:val="24"/>
          <w:szCs w:val="24"/>
        </w:rPr>
        <w:t>important</w:t>
      </w:r>
      <w:r w:rsidRPr="007F2A55">
        <w:rPr>
          <w:rFonts w:ascii="Times New Roman" w:hAnsi="Times New Roman" w:cs="Times New Roman"/>
          <w:sz w:val="24"/>
          <w:szCs w:val="24"/>
        </w:rPr>
        <w:t xml:space="preserve"> change was that cluster patient labels were no longer the same before and after harmonization.</w:t>
      </w:r>
    </w:p>
    <w:p w14:paraId="3D2038F8" w14:textId="608FA27A" w:rsidR="00066293" w:rsidRPr="007F2A55" w:rsidRDefault="00066293" w:rsidP="007F2A55">
      <w:pPr>
        <w:spacing w:line="360" w:lineRule="auto"/>
        <w:jc w:val="both"/>
        <w:rPr>
          <w:rFonts w:ascii="Times New Roman" w:hAnsi="Times New Roman" w:cs="Times New Roman"/>
          <w:sz w:val="24"/>
          <w:szCs w:val="24"/>
        </w:rPr>
      </w:pPr>
      <w:r w:rsidRPr="007F2A55">
        <w:rPr>
          <w:rFonts w:ascii="Times New Roman" w:hAnsi="Times New Roman" w:cs="Times New Roman"/>
          <w:sz w:val="24"/>
          <w:szCs w:val="24"/>
        </w:rPr>
        <w:t xml:space="preserve">In </w:t>
      </w:r>
      <w:r w:rsidR="00E063B5" w:rsidRPr="007F2A55">
        <w:rPr>
          <w:rFonts w:ascii="Times New Roman" w:hAnsi="Times New Roman" w:cs="Times New Roman"/>
          <w:sz w:val="24"/>
          <w:szCs w:val="24"/>
        </w:rPr>
        <w:t>practical</w:t>
      </w:r>
      <w:r w:rsidRPr="007F2A55">
        <w:rPr>
          <w:rFonts w:ascii="Times New Roman" w:hAnsi="Times New Roman" w:cs="Times New Roman"/>
          <w:sz w:val="24"/>
          <w:szCs w:val="24"/>
        </w:rPr>
        <w:t xml:space="preserve"> terms, radiomic validation will require more than silhouette scores and bootstrap stabilization. A completed phenotype paper should minimally report cluster preservation after acquisition correction, evaluation of leading PCs for technical versus biological dependencies, harmonization sensitivity of any clinical associations, and post-harmonization structure’s conformance to any prespeciﬁed biomarker criteria.</w:t>
      </w:r>
    </w:p>
    <w:p w14:paraId="7A771A37" w14:textId="77777777" w:rsidR="00066293" w:rsidRDefault="00066293"/>
    <w:p w14:paraId="5AD3F683" w14:textId="77777777" w:rsidR="00051CE4" w:rsidRDefault="00051CE4" w:rsidP="007F2A55">
      <w:pPr>
        <w:spacing w:line="360" w:lineRule="auto"/>
        <w:jc w:val="both"/>
      </w:pPr>
    </w:p>
    <w:p w14:paraId="62D02172" w14:textId="778AED40" w:rsidR="007F2A55" w:rsidRDefault="00000000" w:rsidP="007F2A55">
      <w:pPr>
        <w:pStyle w:val="Heading2"/>
      </w:pPr>
      <w:r>
        <w:t>5.5</w:t>
      </w:r>
      <w:r w:rsidR="007F2A55">
        <w:t xml:space="preserve"> Limitations</w:t>
      </w:r>
    </w:p>
    <w:p w14:paraId="77822FBE" w14:textId="77777777" w:rsidR="00051CE4" w:rsidRDefault="00051CE4" w:rsidP="007F2A55">
      <w:pPr>
        <w:spacing w:line="360" w:lineRule="auto"/>
        <w:jc w:val="both"/>
        <w:rPr>
          <w:rFonts w:ascii="Times New Roman" w:hAnsi="Times New Roman" w:cs="Times New Roman"/>
          <w:sz w:val="24"/>
          <w:szCs w:val="24"/>
        </w:rPr>
      </w:pPr>
    </w:p>
    <w:p w14:paraId="1E9D8FF9" w14:textId="3A0E55EA" w:rsidR="007F2A55" w:rsidRPr="007F2A55" w:rsidRDefault="00051CE4" w:rsidP="007F2A55">
      <w:pPr>
        <w:spacing w:line="360" w:lineRule="auto"/>
        <w:jc w:val="both"/>
        <w:rPr>
          <w:rFonts w:ascii="Times New Roman" w:hAnsi="Times New Roman" w:cs="Times New Roman"/>
          <w:sz w:val="24"/>
          <w:szCs w:val="24"/>
        </w:rPr>
      </w:pPr>
      <w:r>
        <w:rPr>
          <w:rFonts w:ascii="Times New Roman" w:hAnsi="Times New Roman" w:cs="Times New Roman"/>
          <w:sz w:val="24"/>
          <w:szCs w:val="24"/>
        </w:rPr>
        <w:t>This study has s</w:t>
      </w:r>
      <w:r w:rsidR="007F2A55" w:rsidRPr="007F2A55">
        <w:rPr>
          <w:rFonts w:ascii="Times New Roman" w:hAnsi="Times New Roman" w:cs="Times New Roman"/>
          <w:sz w:val="24"/>
          <w:szCs w:val="24"/>
        </w:rPr>
        <w:t xml:space="preserve">everal </w:t>
      </w:r>
      <w:r>
        <w:rPr>
          <w:rFonts w:ascii="Times New Roman" w:hAnsi="Times New Roman" w:cs="Times New Roman"/>
          <w:sz w:val="24"/>
          <w:szCs w:val="24"/>
        </w:rPr>
        <w:t>limitations</w:t>
      </w:r>
      <w:r w:rsidR="007F2A55" w:rsidRPr="007F2A55">
        <w:rPr>
          <w:rFonts w:ascii="Times New Roman" w:hAnsi="Times New Roman" w:cs="Times New Roman"/>
          <w:sz w:val="24"/>
          <w:szCs w:val="24"/>
        </w:rPr>
        <w:t xml:space="preserve">. First, </w:t>
      </w:r>
      <w:r>
        <w:rPr>
          <w:rFonts w:ascii="Times New Roman" w:hAnsi="Times New Roman" w:cs="Times New Roman"/>
          <w:sz w:val="24"/>
          <w:szCs w:val="24"/>
        </w:rPr>
        <w:t>the survival analysis pertaining</w:t>
      </w:r>
      <w:r w:rsidR="007F2A55" w:rsidRPr="007F2A55">
        <w:rPr>
          <w:rFonts w:ascii="Times New Roman" w:hAnsi="Times New Roman" w:cs="Times New Roman"/>
          <w:sz w:val="24"/>
          <w:szCs w:val="24"/>
        </w:rPr>
        <w:t xml:space="preserve"> </w:t>
      </w:r>
      <w:r>
        <w:rPr>
          <w:rFonts w:ascii="Times New Roman" w:hAnsi="Times New Roman" w:cs="Times New Roman"/>
          <w:sz w:val="24"/>
          <w:szCs w:val="24"/>
        </w:rPr>
        <w:t xml:space="preserve">to </w:t>
      </w:r>
      <w:r w:rsidR="007F2A55" w:rsidRPr="007F2A55">
        <w:rPr>
          <w:rFonts w:ascii="Times New Roman" w:hAnsi="Times New Roman" w:cs="Times New Roman"/>
          <w:sz w:val="24"/>
          <w:szCs w:val="24"/>
        </w:rPr>
        <w:t xml:space="preserve">HR+/HER2+ </w:t>
      </w:r>
      <w:r>
        <w:rPr>
          <w:rFonts w:ascii="Times New Roman" w:hAnsi="Times New Roman" w:cs="Times New Roman"/>
          <w:sz w:val="24"/>
          <w:szCs w:val="24"/>
        </w:rPr>
        <w:t>should be taken with caution due to low sample count</w:t>
      </w:r>
      <w:r w:rsidR="007F2A55" w:rsidRPr="007F2A55">
        <w:rPr>
          <w:rFonts w:ascii="Times New Roman" w:hAnsi="Times New Roman" w:cs="Times New Roman"/>
          <w:sz w:val="24"/>
          <w:szCs w:val="24"/>
        </w:rPr>
        <w:t xml:space="preserve"> (N=10)</w:t>
      </w:r>
      <w:r>
        <w:rPr>
          <w:rFonts w:ascii="Times New Roman" w:hAnsi="Times New Roman" w:cs="Times New Roman"/>
          <w:sz w:val="24"/>
          <w:szCs w:val="24"/>
        </w:rPr>
        <w:t>, a problem central to medical imaging analysis</w:t>
      </w:r>
      <w:r w:rsidR="007F2A55" w:rsidRPr="007F2A55">
        <w:rPr>
          <w:rFonts w:ascii="Times New Roman" w:hAnsi="Times New Roman" w:cs="Times New Roman"/>
          <w:sz w:val="24"/>
          <w:szCs w:val="24"/>
        </w:rPr>
        <w:t>. The divergence</w:t>
      </w:r>
      <w:r>
        <w:rPr>
          <w:rFonts w:ascii="Times New Roman" w:hAnsi="Times New Roman" w:cs="Times New Roman"/>
          <w:sz w:val="24"/>
          <w:szCs w:val="24"/>
        </w:rPr>
        <w:t xml:space="preserve"> between the </w:t>
      </w:r>
      <w:proofErr w:type="gramStart"/>
      <w:r>
        <w:rPr>
          <w:rFonts w:ascii="Times New Roman" w:hAnsi="Times New Roman" w:cs="Times New Roman"/>
          <w:sz w:val="24"/>
          <w:szCs w:val="24"/>
        </w:rPr>
        <w:t>subgroup</w:t>
      </w:r>
      <w:proofErr w:type="gramEnd"/>
      <w:r w:rsidR="007F2A55" w:rsidRPr="007F2A55">
        <w:rPr>
          <w:rFonts w:ascii="Times New Roman" w:hAnsi="Times New Roman" w:cs="Times New Roman"/>
          <w:sz w:val="24"/>
          <w:szCs w:val="24"/>
        </w:rPr>
        <w:t xml:space="preserve"> is dramatic, but </w:t>
      </w:r>
      <w:r>
        <w:rPr>
          <w:rFonts w:ascii="Times New Roman" w:hAnsi="Times New Roman" w:cs="Times New Roman"/>
          <w:sz w:val="24"/>
          <w:szCs w:val="24"/>
        </w:rPr>
        <w:t>the</w:t>
      </w:r>
      <w:r w:rsidR="007F2A55" w:rsidRPr="007F2A55">
        <w:rPr>
          <w:rFonts w:ascii="Times New Roman" w:hAnsi="Times New Roman" w:cs="Times New Roman"/>
          <w:sz w:val="24"/>
          <w:szCs w:val="24"/>
        </w:rPr>
        <w:t xml:space="preserve"> CI is wide. More </w:t>
      </w:r>
      <w:r>
        <w:rPr>
          <w:rFonts w:ascii="Times New Roman" w:hAnsi="Times New Roman" w:cs="Times New Roman"/>
          <w:sz w:val="24"/>
          <w:szCs w:val="24"/>
        </w:rPr>
        <w:t>patients</w:t>
      </w:r>
      <w:r w:rsidR="007F2A55" w:rsidRPr="007F2A55">
        <w:rPr>
          <w:rFonts w:ascii="Times New Roman" w:hAnsi="Times New Roman" w:cs="Times New Roman"/>
          <w:sz w:val="24"/>
          <w:szCs w:val="24"/>
        </w:rPr>
        <w:t xml:space="preserve"> would be needed </w:t>
      </w:r>
      <w:r>
        <w:rPr>
          <w:rFonts w:ascii="Times New Roman" w:hAnsi="Times New Roman" w:cs="Times New Roman"/>
          <w:sz w:val="24"/>
          <w:szCs w:val="24"/>
        </w:rPr>
        <w:t xml:space="preserve">if one wishes to </w:t>
      </w:r>
      <w:r w:rsidR="007F2A55" w:rsidRPr="007F2A55">
        <w:rPr>
          <w:rFonts w:ascii="Times New Roman" w:hAnsi="Times New Roman" w:cs="Times New Roman"/>
          <w:sz w:val="24"/>
          <w:szCs w:val="24"/>
        </w:rPr>
        <w:t>quantify any subtype-specific prognostic effect.</w:t>
      </w:r>
    </w:p>
    <w:p w14:paraId="346AC8AD" w14:textId="11D38330" w:rsidR="007F2A55" w:rsidRPr="007F2A55" w:rsidRDefault="00051CE4" w:rsidP="00051CE4">
      <w:pPr>
        <w:spacing w:line="360" w:lineRule="auto"/>
        <w:jc w:val="both"/>
        <w:rPr>
          <w:rFonts w:ascii="Times New Roman" w:hAnsi="Times New Roman" w:cs="Times New Roman"/>
          <w:sz w:val="24"/>
          <w:szCs w:val="24"/>
        </w:rPr>
      </w:pPr>
      <w:r>
        <w:rPr>
          <w:rFonts w:ascii="Times New Roman" w:hAnsi="Times New Roman" w:cs="Times New Roman"/>
          <w:sz w:val="24"/>
          <w:szCs w:val="24"/>
        </w:rPr>
        <w:t>Second</w:t>
      </w:r>
      <w:r w:rsidR="007F2A55" w:rsidRPr="007F2A55">
        <w:rPr>
          <w:rFonts w:ascii="Times New Roman" w:hAnsi="Times New Roman" w:cs="Times New Roman"/>
          <w:sz w:val="24"/>
          <w:szCs w:val="24"/>
        </w:rPr>
        <w:t xml:space="preserve"> k- means clustering </w:t>
      </w:r>
      <w:r>
        <w:rPr>
          <w:rFonts w:ascii="Times New Roman" w:hAnsi="Times New Roman" w:cs="Times New Roman"/>
          <w:sz w:val="24"/>
          <w:szCs w:val="24"/>
        </w:rPr>
        <w:t xml:space="preserve">utilizing </w:t>
      </w:r>
      <w:proofErr w:type="gramStart"/>
      <w:r>
        <w:rPr>
          <w:rFonts w:ascii="Times New Roman" w:hAnsi="Times New Roman" w:cs="Times New Roman"/>
          <w:sz w:val="24"/>
          <w:szCs w:val="24"/>
        </w:rPr>
        <w:t>principle</w:t>
      </w:r>
      <w:proofErr w:type="gramEnd"/>
      <w:r>
        <w:rPr>
          <w:rFonts w:ascii="Times New Roman" w:hAnsi="Times New Roman" w:cs="Times New Roman"/>
          <w:sz w:val="24"/>
          <w:szCs w:val="24"/>
        </w:rPr>
        <w:t xml:space="preserve"> components feature space</w:t>
      </w:r>
      <w:r w:rsidR="007F2A55" w:rsidRPr="007F2A55">
        <w:rPr>
          <w:rFonts w:ascii="Times New Roman" w:hAnsi="Times New Roman" w:cs="Times New Roman"/>
          <w:sz w:val="24"/>
          <w:szCs w:val="24"/>
        </w:rPr>
        <w:t xml:space="preserve"> was legible and justified for the purposes of this falsification exercise</w:t>
      </w:r>
      <w:r>
        <w:rPr>
          <w:rFonts w:ascii="Times New Roman" w:hAnsi="Times New Roman" w:cs="Times New Roman"/>
          <w:sz w:val="24"/>
          <w:szCs w:val="24"/>
        </w:rPr>
        <w:t xml:space="preserve">. But to further strengthen the argument </w:t>
      </w:r>
      <w:proofErr w:type="gramStart"/>
      <w:r>
        <w:rPr>
          <w:rFonts w:ascii="Times New Roman" w:hAnsi="Times New Roman" w:cs="Times New Roman"/>
          <w:sz w:val="24"/>
          <w:szCs w:val="24"/>
        </w:rPr>
        <w:t xml:space="preserve">of  </w:t>
      </w:r>
      <w:r w:rsidRPr="00051CE4">
        <w:rPr>
          <w:rFonts w:ascii="Times New Roman" w:hAnsi="Times New Roman" w:cs="Times New Roman"/>
          <w:sz w:val="24"/>
          <w:szCs w:val="24"/>
        </w:rPr>
        <w:t>technical</w:t>
      </w:r>
      <w:proofErr w:type="gramEnd"/>
      <w:r w:rsidRPr="00051CE4">
        <w:rPr>
          <w:rFonts w:ascii="Times New Roman" w:hAnsi="Times New Roman" w:cs="Times New Roman"/>
          <w:sz w:val="24"/>
          <w:szCs w:val="24"/>
        </w:rPr>
        <w:t xml:space="preserve"> </w:t>
      </w:r>
      <w:r w:rsidRPr="00051CE4">
        <w:rPr>
          <w:rFonts w:ascii="Times New Roman" w:hAnsi="Times New Roman" w:cs="Times New Roman"/>
          <w:sz w:val="24"/>
          <w:szCs w:val="24"/>
        </w:rPr>
        <w:t>confound</w:t>
      </w:r>
      <w:r>
        <w:rPr>
          <w:rFonts w:ascii="Times New Roman" w:hAnsi="Times New Roman" w:cs="Times New Roman"/>
          <w:sz w:val="24"/>
          <w:szCs w:val="24"/>
        </w:rPr>
        <w:t xml:space="preserve">ing, it is recommended to apply more </w:t>
      </w:r>
      <w:r w:rsidR="007F2A55" w:rsidRPr="007F2A55">
        <w:rPr>
          <w:rFonts w:ascii="Times New Roman" w:hAnsi="Times New Roman" w:cs="Times New Roman"/>
          <w:sz w:val="24"/>
          <w:szCs w:val="24"/>
        </w:rPr>
        <w:t xml:space="preserve">unsupervised classifiers. </w:t>
      </w:r>
    </w:p>
    <w:p w14:paraId="0D541DAF" w14:textId="7521EA73" w:rsidR="007F2A55" w:rsidRPr="007F2A55" w:rsidRDefault="007F2A55" w:rsidP="007F2A55">
      <w:pPr>
        <w:spacing w:line="360" w:lineRule="auto"/>
        <w:jc w:val="both"/>
        <w:rPr>
          <w:rFonts w:ascii="Times New Roman" w:hAnsi="Times New Roman" w:cs="Times New Roman"/>
          <w:sz w:val="24"/>
          <w:szCs w:val="24"/>
        </w:rPr>
      </w:pPr>
      <w:r w:rsidRPr="007F2A55">
        <w:rPr>
          <w:rFonts w:ascii="Times New Roman" w:hAnsi="Times New Roman" w:cs="Times New Roman"/>
          <w:sz w:val="24"/>
          <w:szCs w:val="24"/>
        </w:rPr>
        <w:t>Lastly, harmonization is not ground truth.</w:t>
      </w:r>
      <w:r w:rsidR="00051CE4">
        <w:rPr>
          <w:rFonts w:ascii="Times New Roman" w:hAnsi="Times New Roman" w:cs="Times New Roman"/>
          <w:sz w:val="24"/>
          <w:szCs w:val="24"/>
        </w:rPr>
        <w:t xml:space="preserve"> While</w:t>
      </w:r>
      <w:r w:rsidRPr="007F2A55">
        <w:rPr>
          <w:rFonts w:ascii="Times New Roman" w:hAnsi="Times New Roman" w:cs="Times New Roman"/>
          <w:sz w:val="24"/>
          <w:szCs w:val="24"/>
        </w:rPr>
        <w:t xml:space="preserve"> Combat and residualization </w:t>
      </w:r>
      <w:proofErr w:type="gramStart"/>
      <w:r w:rsidR="00051CE4">
        <w:rPr>
          <w:rFonts w:ascii="Times New Roman" w:hAnsi="Times New Roman" w:cs="Times New Roman"/>
          <w:sz w:val="24"/>
          <w:szCs w:val="24"/>
        </w:rPr>
        <w:t>are able to</w:t>
      </w:r>
      <w:proofErr w:type="gramEnd"/>
      <w:r w:rsidR="00051CE4">
        <w:rPr>
          <w:rFonts w:ascii="Times New Roman" w:hAnsi="Times New Roman" w:cs="Times New Roman"/>
          <w:sz w:val="24"/>
          <w:szCs w:val="24"/>
        </w:rPr>
        <w:t xml:space="preserve"> </w:t>
      </w:r>
      <w:r w:rsidRPr="007F2A55">
        <w:rPr>
          <w:rFonts w:ascii="Times New Roman" w:hAnsi="Times New Roman" w:cs="Times New Roman"/>
          <w:sz w:val="24"/>
          <w:szCs w:val="24"/>
        </w:rPr>
        <w:t>remove technical effects</w:t>
      </w:r>
      <w:r w:rsidR="00051CE4">
        <w:rPr>
          <w:rFonts w:ascii="Times New Roman" w:hAnsi="Times New Roman" w:cs="Times New Roman"/>
          <w:sz w:val="24"/>
          <w:szCs w:val="24"/>
        </w:rPr>
        <w:t xml:space="preserve"> the</w:t>
      </w:r>
      <w:r w:rsidRPr="007F2A55">
        <w:rPr>
          <w:rFonts w:ascii="Times New Roman" w:hAnsi="Times New Roman" w:cs="Times New Roman"/>
          <w:sz w:val="24"/>
          <w:szCs w:val="24"/>
        </w:rPr>
        <w:t xml:space="preserve"> post-harmonization subgroup </w:t>
      </w:r>
      <w:proofErr w:type="gramStart"/>
      <w:r w:rsidR="00051CE4">
        <w:rPr>
          <w:rFonts w:ascii="Times New Roman" w:hAnsi="Times New Roman" w:cs="Times New Roman"/>
          <w:sz w:val="24"/>
          <w:szCs w:val="24"/>
        </w:rPr>
        <w:t>are</w:t>
      </w:r>
      <w:proofErr w:type="gramEnd"/>
      <w:r w:rsidR="00051CE4">
        <w:rPr>
          <w:rFonts w:ascii="Times New Roman" w:hAnsi="Times New Roman" w:cs="Times New Roman"/>
          <w:sz w:val="24"/>
          <w:szCs w:val="24"/>
        </w:rPr>
        <w:t xml:space="preserve"> </w:t>
      </w:r>
      <w:r w:rsidRPr="007F2A55">
        <w:rPr>
          <w:rFonts w:ascii="Times New Roman" w:hAnsi="Times New Roman" w:cs="Times New Roman"/>
          <w:sz w:val="24"/>
          <w:szCs w:val="24"/>
        </w:rPr>
        <w:t xml:space="preserve">not inherently biological. </w:t>
      </w:r>
      <w:r w:rsidR="00051CE4">
        <w:rPr>
          <w:rFonts w:ascii="Times New Roman" w:hAnsi="Times New Roman" w:cs="Times New Roman"/>
          <w:sz w:val="24"/>
          <w:szCs w:val="24"/>
        </w:rPr>
        <w:t xml:space="preserve">One must treat </w:t>
      </w:r>
      <w:proofErr w:type="gramStart"/>
      <w:r w:rsidR="00051CE4">
        <w:rPr>
          <w:rFonts w:ascii="Times New Roman" w:hAnsi="Times New Roman" w:cs="Times New Roman"/>
          <w:sz w:val="24"/>
          <w:szCs w:val="24"/>
        </w:rPr>
        <w:t>t</w:t>
      </w:r>
      <w:r w:rsidRPr="007F2A55">
        <w:rPr>
          <w:rFonts w:ascii="Times New Roman" w:hAnsi="Times New Roman" w:cs="Times New Roman"/>
          <w:sz w:val="24"/>
          <w:szCs w:val="24"/>
        </w:rPr>
        <w:t>he harmonization</w:t>
      </w:r>
      <w:proofErr w:type="gramEnd"/>
      <w:r w:rsidRPr="007F2A55">
        <w:rPr>
          <w:rFonts w:ascii="Times New Roman" w:hAnsi="Times New Roman" w:cs="Times New Roman"/>
          <w:sz w:val="24"/>
          <w:szCs w:val="24"/>
        </w:rPr>
        <w:t xml:space="preserve"> as an adversary, not an assurance of validity.</w:t>
      </w:r>
    </w:p>
    <w:p w14:paraId="5CBFFA68" w14:textId="77777777" w:rsidR="00972A77" w:rsidRDefault="00972A77" w:rsidP="00972A77"/>
    <w:p w14:paraId="4259F5C3" w14:textId="77777777" w:rsidR="00972A77" w:rsidRDefault="00972A77" w:rsidP="00972A77"/>
    <w:p w14:paraId="02846F95" w14:textId="77777777" w:rsidR="00972A77" w:rsidRDefault="00972A77" w:rsidP="00972A77"/>
    <w:p w14:paraId="38BF160A" w14:textId="77777777" w:rsidR="00972A77" w:rsidRDefault="00972A77" w:rsidP="00972A77"/>
    <w:p w14:paraId="19564B36" w14:textId="77777777" w:rsidR="00972A77" w:rsidRDefault="00972A77" w:rsidP="00972A77"/>
    <w:p w14:paraId="4270ED0B" w14:textId="4C1E7805" w:rsidR="00E46F45" w:rsidRDefault="00000000" w:rsidP="00972A77">
      <w:pPr>
        <w:pStyle w:val="Heading1"/>
      </w:pPr>
      <w:r>
        <w:t>6. Conclusion</w:t>
      </w:r>
    </w:p>
    <w:p w14:paraId="1F9DE471" w14:textId="77777777" w:rsidR="00AD0AAB" w:rsidRDefault="00AD0AAB" w:rsidP="00084114">
      <w:pPr>
        <w:rPr>
          <w:b/>
          <w:bCs/>
          <w:lang w:val="en-GB"/>
        </w:rPr>
      </w:pPr>
    </w:p>
    <w:p w14:paraId="62052EB0" w14:textId="768A9290" w:rsidR="00084114" w:rsidRPr="00AD0AAB" w:rsidRDefault="00AD0AAB" w:rsidP="00AD0AAB">
      <w:pPr>
        <w:spacing w:line="360" w:lineRule="auto"/>
        <w:jc w:val="both"/>
        <w:rPr>
          <w:rFonts w:ascii="Times New Roman" w:hAnsi="Times New Roman" w:cs="Times New Roman"/>
          <w:sz w:val="24"/>
          <w:szCs w:val="24"/>
          <w:lang w:val="en-GB"/>
        </w:rPr>
      </w:pPr>
      <w:r w:rsidRPr="00AD0AAB">
        <w:rPr>
          <w:rFonts w:ascii="Times New Roman" w:hAnsi="Times New Roman" w:cs="Times New Roman"/>
          <w:sz w:val="24"/>
          <w:szCs w:val="24"/>
          <w:lang w:val="en-GB"/>
        </w:rPr>
        <w:t>Our study demonstrates that radiomic phenotypes can be internally stable, visually coherent</w:t>
      </w:r>
      <w:r>
        <w:rPr>
          <w:rFonts w:ascii="Times New Roman" w:hAnsi="Times New Roman" w:cs="Times New Roman"/>
          <w:sz w:val="24"/>
          <w:szCs w:val="24"/>
          <w:lang w:val="en-GB"/>
        </w:rPr>
        <w:t xml:space="preserve"> </w:t>
      </w:r>
      <w:r w:rsidRPr="00AD0AAB">
        <w:rPr>
          <w:rFonts w:ascii="Times New Roman" w:hAnsi="Times New Roman" w:cs="Times New Roman"/>
          <w:sz w:val="24"/>
          <w:szCs w:val="24"/>
          <w:lang w:val="en-GB"/>
        </w:rPr>
        <w:t xml:space="preserve">and apparently prognostic, but still fail multiple tests of biological identity. Using </w:t>
      </w:r>
      <w:r>
        <w:rPr>
          <w:rFonts w:ascii="Times New Roman" w:hAnsi="Times New Roman" w:cs="Times New Roman"/>
          <w:sz w:val="24"/>
          <w:szCs w:val="24"/>
          <w:lang w:val="en-GB"/>
        </w:rPr>
        <w:t>a</w:t>
      </w:r>
      <w:r w:rsidRPr="00AD0AAB">
        <w:rPr>
          <w:rFonts w:ascii="Times New Roman" w:hAnsi="Times New Roman" w:cs="Times New Roman"/>
          <w:sz w:val="24"/>
          <w:szCs w:val="24"/>
          <w:lang w:val="en-GB"/>
        </w:rPr>
        <w:t xml:space="preserve"> 922-patient multi-vendor breast MRI </w:t>
      </w:r>
      <w:r>
        <w:rPr>
          <w:rFonts w:ascii="Times New Roman" w:hAnsi="Times New Roman" w:cs="Times New Roman"/>
          <w:sz w:val="24"/>
          <w:szCs w:val="24"/>
          <w:lang w:val="en-GB"/>
        </w:rPr>
        <w:t>dataset</w:t>
      </w:r>
      <w:r w:rsidRPr="00AD0AAB">
        <w:rPr>
          <w:rFonts w:ascii="Times New Roman" w:hAnsi="Times New Roman" w:cs="Times New Roman"/>
          <w:sz w:val="24"/>
          <w:szCs w:val="24"/>
          <w:lang w:val="en-GB"/>
        </w:rPr>
        <w:t>, we showed that even a standard unsupervised workflow will produce an internally stable, vascularity- like two-cluster solution that appears to carry strong prognostic information for HR+/HER2+ survival. Acquisition-aware falsification</w:t>
      </w:r>
      <w:r>
        <w:rPr>
          <w:rFonts w:ascii="Times New Roman" w:hAnsi="Times New Roman" w:cs="Times New Roman"/>
          <w:sz w:val="24"/>
          <w:szCs w:val="24"/>
          <w:lang w:val="en-GB"/>
        </w:rPr>
        <w:t xml:space="preserve"> tests</w:t>
      </w:r>
      <w:r w:rsidRPr="00AD0AAB">
        <w:rPr>
          <w:rFonts w:ascii="Times New Roman" w:hAnsi="Times New Roman" w:cs="Times New Roman"/>
          <w:sz w:val="24"/>
          <w:szCs w:val="24"/>
          <w:lang w:val="en-GB"/>
        </w:rPr>
        <w:t xml:space="preserve"> thus changed the interpretation of our initial findings: (a) leading PCs and raw cluster labels were dominated by manufacturer and pulse-sequence structure; (b) manufacturer harmonization substantially weakened the survival association; and (c) </w:t>
      </w:r>
      <w:proofErr w:type="spellStart"/>
      <w:r w:rsidRPr="00AD0AAB">
        <w:rPr>
          <w:rFonts w:ascii="Times New Roman" w:hAnsi="Times New Roman" w:cs="Times New Roman"/>
          <w:sz w:val="24"/>
          <w:szCs w:val="24"/>
          <w:lang w:val="en-GB"/>
        </w:rPr>
        <w:t>residualization</w:t>
      </w:r>
      <w:proofErr w:type="spellEnd"/>
      <w:r w:rsidRPr="00AD0AAB">
        <w:rPr>
          <w:rFonts w:ascii="Times New Roman" w:hAnsi="Times New Roman" w:cs="Times New Roman"/>
          <w:sz w:val="24"/>
          <w:szCs w:val="24"/>
          <w:lang w:val="en-GB"/>
        </w:rPr>
        <w:t xml:space="preserve"> or </w:t>
      </w:r>
      <w:proofErr w:type="spellStart"/>
      <w:r w:rsidRPr="00AD0AAB">
        <w:rPr>
          <w:rFonts w:ascii="Times New Roman" w:hAnsi="Times New Roman" w:cs="Times New Roman"/>
          <w:sz w:val="24"/>
          <w:szCs w:val="24"/>
          <w:lang w:val="en-GB"/>
        </w:rPr>
        <w:t>ComBat</w:t>
      </w:r>
      <w:proofErr w:type="spellEnd"/>
      <w:r w:rsidRPr="00AD0AAB">
        <w:rPr>
          <w:rFonts w:ascii="Times New Roman" w:hAnsi="Times New Roman" w:cs="Times New Roman"/>
          <w:sz w:val="24"/>
          <w:szCs w:val="24"/>
          <w:lang w:val="en-GB"/>
        </w:rPr>
        <w:t xml:space="preserve"> entirely supplanted our original patient partition but maintained its internal stability. The broadest claim we make is methodological: Stability is best viewed as the first step of radiomic phenotype validation, not the last. Internal consistency should be accompanied by a battery of tests including multi-condition discovery, harmonization sensitivity</w:t>
      </w:r>
      <w:r>
        <w:rPr>
          <w:rFonts w:ascii="Times New Roman" w:hAnsi="Times New Roman" w:cs="Times New Roman"/>
          <w:sz w:val="24"/>
          <w:szCs w:val="24"/>
          <w:lang w:val="en-GB"/>
        </w:rPr>
        <w:t xml:space="preserve"> and</w:t>
      </w:r>
      <w:r w:rsidRPr="00AD0AAB">
        <w:rPr>
          <w:rFonts w:ascii="Times New Roman" w:hAnsi="Times New Roman" w:cs="Times New Roman"/>
          <w:sz w:val="24"/>
          <w:szCs w:val="24"/>
          <w:lang w:val="en-GB"/>
        </w:rPr>
        <w:t xml:space="preserve"> within-vendor sanity checks</w:t>
      </w:r>
      <w:r>
        <w:rPr>
          <w:rFonts w:ascii="Times New Roman" w:hAnsi="Times New Roman" w:cs="Times New Roman"/>
          <w:sz w:val="24"/>
          <w:szCs w:val="24"/>
          <w:lang w:val="en-GB"/>
        </w:rPr>
        <w:t xml:space="preserve">. </w:t>
      </w:r>
      <w:r w:rsidRPr="00AD0AAB">
        <w:rPr>
          <w:rFonts w:ascii="Times New Roman" w:hAnsi="Times New Roman" w:cs="Times New Roman"/>
          <w:sz w:val="24"/>
          <w:szCs w:val="24"/>
          <w:lang w:val="en-GB"/>
        </w:rPr>
        <w:t>While our analysis was focused on breast MRI, the general principals apply to any multi-</w:t>
      </w:r>
      <w:proofErr w:type="spellStart"/>
      <w:r w:rsidRPr="00AD0AAB">
        <w:rPr>
          <w:rFonts w:ascii="Times New Roman" w:hAnsi="Times New Roman" w:cs="Times New Roman"/>
          <w:sz w:val="24"/>
          <w:szCs w:val="24"/>
          <w:lang w:val="en-GB"/>
        </w:rPr>
        <w:t>center</w:t>
      </w:r>
      <w:proofErr w:type="spellEnd"/>
      <w:r w:rsidRPr="00AD0AAB">
        <w:rPr>
          <w:rFonts w:ascii="Times New Roman" w:hAnsi="Times New Roman" w:cs="Times New Roman"/>
          <w:sz w:val="24"/>
          <w:szCs w:val="24"/>
          <w:lang w:val="en-GB"/>
        </w:rPr>
        <w:t xml:space="preserve"> or multi-</w:t>
      </w:r>
      <w:r w:rsidRPr="00AD0AAB">
        <w:rPr>
          <w:rFonts w:ascii="Times New Roman" w:hAnsi="Times New Roman" w:cs="Times New Roman"/>
          <w:sz w:val="24"/>
          <w:szCs w:val="24"/>
          <w:lang w:val="en-GB"/>
        </w:rPr>
        <w:lastRenderedPageBreak/>
        <w:t>vendor radiomics/imaging-AI context in which technical variance may be stable enough to confound biology.</w:t>
      </w:r>
    </w:p>
    <w:p w14:paraId="43C2D485" w14:textId="77777777" w:rsidR="00337F7F" w:rsidRDefault="00337F7F"/>
    <w:p w14:paraId="4F8AA428" w14:textId="77777777" w:rsidR="00AD0AAB" w:rsidRDefault="00AD0AAB"/>
    <w:p w14:paraId="68A76209" w14:textId="77777777" w:rsidR="00AD0AAB" w:rsidRDefault="00AD0AAB"/>
    <w:p w14:paraId="68D64E3A" w14:textId="77777777" w:rsidR="00AD0AAB" w:rsidRDefault="00AD0AAB"/>
    <w:p w14:paraId="633D63EE" w14:textId="77777777" w:rsidR="00AD0AAB" w:rsidRDefault="00AD0AAB"/>
    <w:p w14:paraId="4A7A4C05" w14:textId="77777777" w:rsidR="00AD0AAB" w:rsidRDefault="00AD0AAB"/>
    <w:p w14:paraId="6E3B8530" w14:textId="77777777" w:rsidR="00AD0AAB" w:rsidRDefault="00AD0AAB"/>
    <w:p w14:paraId="297CC19A" w14:textId="77777777" w:rsidR="00AD0AAB" w:rsidRDefault="00AD0AAB"/>
    <w:p w14:paraId="741F4901" w14:textId="77777777" w:rsidR="00AD0AAB" w:rsidRDefault="00AD0AAB"/>
    <w:p w14:paraId="091F781B" w14:textId="77777777" w:rsidR="00337F7F" w:rsidRDefault="00337F7F"/>
    <w:p w14:paraId="5916A5BA" w14:textId="77777777" w:rsidR="00337F7F" w:rsidRDefault="00337F7F"/>
    <w:p w14:paraId="4A694AA5" w14:textId="77777777" w:rsidR="00337F7F" w:rsidRDefault="00337F7F"/>
    <w:p w14:paraId="724199F8" w14:textId="77777777" w:rsidR="00AD0AAB" w:rsidRDefault="00AD0AAB"/>
    <w:p w14:paraId="384BA0A2" w14:textId="77777777" w:rsidR="00AD0AAB" w:rsidRDefault="00AD0AAB"/>
    <w:p w14:paraId="6326B4FF" w14:textId="77777777" w:rsidR="00AD0AAB" w:rsidRDefault="00AD0AAB"/>
    <w:p w14:paraId="4C4CFBB8" w14:textId="77777777" w:rsidR="00AD0AAB" w:rsidRDefault="00AD0AAB"/>
    <w:p w14:paraId="7E9DD7B6" w14:textId="77777777" w:rsidR="00AD0AAB" w:rsidRDefault="00AD0AAB"/>
    <w:p w14:paraId="74D03724" w14:textId="77777777" w:rsidR="00E46F45" w:rsidRDefault="00000000">
      <w:pPr>
        <w:pStyle w:val="Heading1"/>
      </w:pPr>
      <w:r>
        <w:t>Supplementary Material</w:t>
      </w:r>
    </w:p>
    <w:p w14:paraId="118A3BA0" w14:textId="77777777" w:rsidR="00337F7F" w:rsidRPr="00337F7F" w:rsidRDefault="00337F7F" w:rsidP="00337F7F"/>
    <w:p w14:paraId="2450821D" w14:textId="77777777" w:rsidR="00E46F45" w:rsidRDefault="00000000">
      <w:pPr>
        <w:pStyle w:val="Caption"/>
        <w:jc w:val="center"/>
      </w:pPr>
      <w:r>
        <w:t>Supplementary Table S1. Structural interpretation of the raw PCA and clustering outputs.</w:t>
      </w:r>
    </w:p>
    <w:tbl>
      <w:tblPr>
        <w:tblStyle w:val="TableGrid"/>
        <w:tblW w:w="0" w:type="auto"/>
        <w:jc w:val="center"/>
        <w:tblLook w:val="04A0" w:firstRow="1" w:lastRow="0" w:firstColumn="1" w:lastColumn="0" w:noHBand="0" w:noVBand="1"/>
      </w:tblPr>
      <w:tblGrid>
        <w:gridCol w:w="2878"/>
        <w:gridCol w:w="7192"/>
      </w:tblGrid>
      <w:tr w:rsidR="00E46F45" w14:paraId="50AA39DC" w14:textId="77777777">
        <w:trPr>
          <w:jc w:val="center"/>
        </w:trPr>
        <w:tc>
          <w:tcPr>
            <w:tcW w:w="2880" w:type="dxa"/>
            <w:shd w:val="clear" w:color="auto" w:fill="D9EAF7"/>
            <w:tcMar>
              <w:top w:w="80" w:type="dxa"/>
              <w:left w:w="80" w:type="dxa"/>
              <w:bottom w:w="80" w:type="dxa"/>
              <w:right w:w="80" w:type="dxa"/>
            </w:tcMar>
            <w:vAlign w:val="center"/>
          </w:tcPr>
          <w:p w14:paraId="3F9C5299" w14:textId="77777777" w:rsidR="00E46F45" w:rsidRDefault="00000000">
            <w:pPr>
              <w:spacing w:after="0"/>
            </w:pPr>
            <w:r>
              <w:rPr>
                <w:sz w:val="16"/>
              </w:rPr>
              <w:t>Item</w:t>
            </w:r>
          </w:p>
        </w:tc>
        <w:tc>
          <w:tcPr>
            <w:tcW w:w="7200" w:type="dxa"/>
            <w:shd w:val="clear" w:color="auto" w:fill="D9EAF7"/>
            <w:tcMar>
              <w:top w:w="80" w:type="dxa"/>
              <w:left w:w="80" w:type="dxa"/>
              <w:bottom w:w="80" w:type="dxa"/>
              <w:right w:w="80" w:type="dxa"/>
            </w:tcMar>
            <w:vAlign w:val="center"/>
          </w:tcPr>
          <w:p w14:paraId="6B199D08" w14:textId="77777777" w:rsidR="00E46F45" w:rsidRDefault="00000000">
            <w:pPr>
              <w:spacing w:after="0"/>
            </w:pPr>
            <w:r>
              <w:rPr>
                <w:sz w:val="16"/>
              </w:rPr>
              <w:t>Interpretation</w:t>
            </w:r>
          </w:p>
        </w:tc>
      </w:tr>
      <w:tr w:rsidR="00E46F45" w14:paraId="4EDF4BF4" w14:textId="77777777">
        <w:trPr>
          <w:jc w:val="center"/>
        </w:trPr>
        <w:tc>
          <w:tcPr>
            <w:tcW w:w="2880" w:type="dxa"/>
            <w:tcMar>
              <w:top w:w="80" w:type="dxa"/>
              <w:left w:w="80" w:type="dxa"/>
              <w:bottom w:w="80" w:type="dxa"/>
              <w:right w:w="80" w:type="dxa"/>
            </w:tcMar>
            <w:vAlign w:val="center"/>
          </w:tcPr>
          <w:p w14:paraId="2D7A93CD" w14:textId="77777777" w:rsidR="00E46F45" w:rsidRDefault="00000000">
            <w:pPr>
              <w:spacing w:after="0"/>
            </w:pPr>
            <w:r>
              <w:rPr>
                <w:sz w:val="16"/>
              </w:rPr>
              <w:t>Scree plot</w:t>
            </w:r>
          </w:p>
        </w:tc>
        <w:tc>
          <w:tcPr>
            <w:tcW w:w="7200" w:type="dxa"/>
            <w:tcMar>
              <w:top w:w="80" w:type="dxa"/>
              <w:left w:w="80" w:type="dxa"/>
              <w:bottom w:w="80" w:type="dxa"/>
              <w:right w:w="80" w:type="dxa"/>
            </w:tcMar>
            <w:vAlign w:val="center"/>
          </w:tcPr>
          <w:p w14:paraId="5284E202" w14:textId="77777777" w:rsidR="00E46F45" w:rsidRDefault="00000000">
            <w:pPr>
              <w:spacing w:after="0"/>
            </w:pPr>
            <w:r>
              <w:rPr>
                <w:sz w:val="16"/>
              </w:rPr>
              <w:t>Variance declines progressively after the first few PCs; structure is present but not concentrated in a single biological axis.</w:t>
            </w:r>
          </w:p>
        </w:tc>
      </w:tr>
      <w:tr w:rsidR="00E46F45" w14:paraId="43CD6541" w14:textId="77777777">
        <w:trPr>
          <w:jc w:val="center"/>
        </w:trPr>
        <w:tc>
          <w:tcPr>
            <w:tcW w:w="2880" w:type="dxa"/>
            <w:tcMar>
              <w:top w:w="80" w:type="dxa"/>
              <w:left w:w="80" w:type="dxa"/>
              <w:bottom w:w="80" w:type="dxa"/>
              <w:right w:w="80" w:type="dxa"/>
            </w:tcMar>
            <w:vAlign w:val="center"/>
          </w:tcPr>
          <w:p w14:paraId="6771B8B0" w14:textId="77777777" w:rsidR="00E46F45" w:rsidRDefault="00000000">
            <w:pPr>
              <w:spacing w:after="0"/>
            </w:pPr>
            <w:r>
              <w:rPr>
                <w:sz w:val="16"/>
              </w:rPr>
              <w:t>PC1-PC2 scatter</w:t>
            </w:r>
          </w:p>
        </w:tc>
        <w:tc>
          <w:tcPr>
            <w:tcW w:w="7200" w:type="dxa"/>
            <w:tcMar>
              <w:top w:w="80" w:type="dxa"/>
              <w:left w:w="80" w:type="dxa"/>
              <w:bottom w:w="80" w:type="dxa"/>
              <w:right w:w="80" w:type="dxa"/>
            </w:tcMar>
            <w:vAlign w:val="center"/>
          </w:tcPr>
          <w:p w14:paraId="10C72B1B" w14:textId="77777777" w:rsidR="00E46F45" w:rsidRDefault="00000000">
            <w:pPr>
              <w:spacing w:after="0"/>
            </w:pPr>
            <w:r>
              <w:rPr>
                <w:sz w:val="16"/>
              </w:rPr>
              <w:t>Patients form a continuous distribution without clean natural separation.</w:t>
            </w:r>
          </w:p>
        </w:tc>
      </w:tr>
      <w:tr w:rsidR="00E46F45" w14:paraId="6FBD3DE1" w14:textId="77777777">
        <w:trPr>
          <w:jc w:val="center"/>
        </w:trPr>
        <w:tc>
          <w:tcPr>
            <w:tcW w:w="2880" w:type="dxa"/>
            <w:tcMar>
              <w:top w:w="80" w:type="dxa"/>
              <w:left w:w="80" w:type="dxa"/>
              <w:bottom w:w="80" w:type="dxa"/>
              <w:right w:w="80" w:type="dxa"/>
            </w:tcMar>
            <w:vAlign w:val="center"/>
          </w:tcPr>
          <w:p w14:paraId="39B23C2A" w14:textId="77777777" w:rsidR="00E46F45" w:rsidRDefault="00000000">
            <w:pPr>
              <w:spacing w:after="0"/>
            </w:pPr>
            <w:r>
              <w:rPr>
                <w:sz w:val="16"/>
              </w:rPr>
              <w:t>Raw k=2 clusters</w:t>
            </w:r>
          </w:p>
        </w:tc>
        <w:tc>
          <w:tcPr>
            <w:tcW w:w="7200" w:type="dxa"/>
            <w:tcMar>
              <w:top w:w="80" w:type="dxa"/>
              <w:left w:w="80" w:type="dxa"/>
              <w:bottom w:w="80" w:type="dxa"/>
              <w:right w:w="80" w:type="dxa"/>
            </w:tcMar>
            <w:vAlign w:val="center"/>
          </w:tcPr>
          <w:p w14:paraId="05BAF107" w14:textId="77777777" w:rsidR="00E46F45" w:rsidRDefault="00000000">
            <w:pPr>
              <w:spacing w:after="0"/>
            </w:pPr>
            <w:r>
              <w:rPr>
                <w:sz w:val="16"/>
              </w:rPr>
              <w:t>Cluster separation occurs primarily along the dominant PC axis.</w:t>
            </w:r>
          </w:p>
        </w:tc>
      </w:tr>
      <w:tr w:rsidR="00E46F45" w14:paraId="05F35BBE" w14:textId="77777777">
        <w:trPr>
          <w:jc w:val="center"/>
        </w:trPr>
        <w:tc>
          <w:tcPr>
            <w:tcW w:w="2880" w:type="dxa"/>
            <w:tcMar>
              <w:top w:w="80" w:type="dxa"/>
              <w:left w:w="80" w:type="dxa"/>
              <w:bottom w:w="80" w:type="dxa"/>
              <w:right w:w="80" w:type="dxa"/>
            </w:tcMar>
            <w:vAlign w:val="center"/>
          </w:tcPr>
          <w:p w14:paraId="49FBE49D" w14:textId="77777777" w:rsidR="00E46F45" w:rsidRDefault="00000000">
            <w:pPr>
              <w:spacing w:after="0"/>
            </w:pPr>
            <w:r>
              <w:rPr>
                <w:sz w:val="16"/>
              </w:rPr>
              <w:t>Manufacturer coloring</w:t>
            </w:r>
          </w:p>
        </w:tc>
        <w:tc>
          <w:tcPr>
            <w:tcW w:w="7200" w:type="dxa"/>
            <w:tcMar>
              <w:top w:w="80" w:type="dxa"/>
              <w:left w:w="80" w:type="dxa"/>
              <w:bottom w:w="80" w:type="dxa"/>
              <w:right w:w="80" w:type="dxa"/>
            </w:tcMar>
            <w:vAlign w:val="center"/>
          </w:tcPr>
          <w:p w14:paraId="5F7E28E2" w14:textId="77777777" w:rsidR="00E46F45" w:rsidRDefault="00000000">
            <w:pPr>
              <w:spacing w:after="0"/>
            </w:pPr>
            <w:r>
              <w:rPr>
                <w:sz w:val="16"/>
              </w:rPr>
              <w:t>Manufacturer distribution closely mirrors the raw cluster geometry.</w:t>
            </w:r>
          </w:p>
        </w:tc>
      </w:tr>
      <w:tr w:rsidR="00E46F45" w14:paraId="451CFE89" w14:textId="77777777">
        <w:trPr>
          <w:jc w:val="center"/>
        </w:trPr>
        <w:tc>
          <w:tcPr>
            <w:tcW w:w="2880" w:type="dxa"/>
            <w:tcMar>
              <w:top w:w="80" w:type="dxa"/>
              <w:left w:w="80" w:type="dxa"/>
              <w:bottom w:w="80" w:type="dxa"/>
              <w:right w:w="80" w:type="dxa"/>
            </w:tcMar>
            <w:vAlign w:val="center"/>
          </w:tcPr>
          <w:p w14:paraId="6413423E" w14:textId="77777777" w:rsidR="00E46F45" w:rsidRDefault="00000000">
            <w:pPr>
              <w:spacing w:after="0"/>
            </w:pPr>
            <w:r>
              <w:rPr>
                <w:sz w:val="16"/>
              </w:rPr>
              <w:t>Residualized clusters</w:t>
            </w:r>
          </w:p>
        </w:tc>
        <w:tc>
          <w:tcPr>
            <w:tcW w:w="7200" w:type="dxa"/>
            <w:tcMar>
              <w:top w:w="80" w:type="dxa"/>
              <w:left w:w="80" w:type="dxa"/>
              <w:bottom w:w="80" w:type="dxa"/>
              <w:right w:w="80" w:type="dxa"/>
            </w:tcMar>
            <w:vAlign w:val="center"/>
          </w:tcPr>
          <w:p w14:paraId="51E12388" w14:textId="77777777" w:rsidR="00E46F45" w:rsidRDefault="00000000">
            <w:pPr>
              <w:spacing w:after="0"/>
            </w:pPr>
            <w:r>
              <w:rPr>
                <w:sz w:val="16"/>
              </w:rPr>
              <w:t>Technical correction produces a different stable partition.</w:t>
            </w:r>
          </w:p>
        </w:tc>
      </w:tr>
    </w:tbl>
    <w:p w14:paraId="045D975A" w14:textId="77777777" w:rsidR="00E46F45" w:rsidRDefault="00E46F45"/>
    <w:p w14:paraId="15841969" w14:textId="77777777" w:rsidR="00E46F45" w:rsidRDefault="00000000">
      <w:pPr>
        <w:jc w:val="center"/>
      </w:pPr>
      <w:r>
        <w:rPr>
          <w:noProof/>
        </w:rPr>
        <w:lastRenderedPageBreak/>
        <w:drawing>
          <wp:inline distT="0" distB="0" distL="0" distR="0" wp14:anchorId="37060308" wp14:editId="7CAF12CF">
            <wp:extent cx="5303520" cy="3960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303520" cy="3960177"/>
                    </a:xfrm>
                    <a:prstGeom prst="rect">
                      <a:avLst/>
                    </a:prstGeom>
                  </pic:spPr>
                </pic:pic>
              </a:graphicData>
            </a:graphic>
          </wp:inline>
        </w:drawing>
      </w:r>
    </w:p>
    <w:p w14:paraId="07CF9017" w14:textId="0DB8EC26" w:rsidR="00E46F45" w:rsidRDefault="00000000">
      <w:pPr>
        <w:pStyle w:val="Caption"/>
        <w:jc w:val="center"/>
      </w:pPr>
      <w:r>
        <w:t xml:space="preserve">Supplementary Figure S1. Raw radiomic cluster distribution within each manufacturer. </w:t>
      </w:r>
    </w:p>
    <w:p w14:paraId="40D765A6" w14:textId="77777777" w:rsidR="00E46F45" w:rsidRDefault="00E46F45"/>
    <w:p w14:paraId="226359FD" w14:textId="77777777" w:rsidR="00E46F45" w:rsidRDefault="00000000">
      <w:pPr>
        <w:jc w:val="center"/>
      </w:pPr>
      <w:r>
        <w:rPr>
          <w:noProof/>
        </w:rPr>
        <w:drawing>
          <wp:inline distT="0" distB="0" distL="0" distR="0" wp14:anchorId="63718549" wp14:editId="1513258D">
            <wp:extent cx="5303520" cy="4111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303520" cy="4111182"/>
                    </a:xfrm>
                    <a:prstGeom prst="rect">
                      <a:avLst/>
                    </a:prstGeom>
                  </pic:spPr>
                </pic:pic>
              </a:graphicData>
            </a:graphic>
          </wp:inline>
        </w:drawing>
      </w:r>
    </w:p>
    <w:p w14:paraId="587FF9BA" w14:textId="63572557" w:rsidR="00E46F45" w:rsidRDefault="00000000">
      <w:pPr>
        <w:pStyle w:val="Caption"/>
        <w:jc w:val="center"/>
      </w:pPr>
      <w:r>
        <w:lastRenderedPageBreak/>
        <w:t xml:space="preserve">Supplementary Figure S2. PCA space colored by manufacturer. </w:t>
      </w:r>
    </w:p>
    <w:p w14:paraId="409C44F7" w14:textId="77777777" w:rsidR="00E46F45" w:rsidRDefault="00E46F45"/>
    <w:p w14:paraId="460E7CE4" w14:textId="77777777" w:rsidR="00E46F45" w:rsidRDefault="00000000">
      <w:pPr>
        <w:jc w:val="center"/>
      </w:pPr>
      <w:r>
        <w:rPr>
          <w:noProof/>
        </w:rPr>
        <w:drawing>
          <wp:inline distT="0" distB="0" distL="0" distR="0" wp14:anchorId="1A945882" wp14:editId="4814353D">
            <wp:extent cx="5303520" cy="41111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303520" cy="4111182"/>
                    </a:xfrm>
                    <a:prstGeom prst="rect">
                      <a:avLst/>
                    </a:prstGeom>
                  </pic:spPr>
                </pic:pic>
              </a:graphicData>
            </a:graphic>
          </wp:inline>
        </w:drawing>
      </w:r>
    </w:p>
    <w:p w14:paraId="34DA0368" w14:textId="265D461A" w:rsidR="00E46F45" w:rsidRDefault="00000000">
      <w:pPr>
        <w:pStyle w:val="Caption"/>
        <w:jc w:val="center"/>
      </w:pPr>
      <w:r>
        <w:t xml:space="preserve">Supplementary Figure S3. PCA space </w:t>
      </w:r>
      <w:proofErr w:type="gramStart"/>
      <w:r>
        <w:t>colored</w:t>
      </w:r>
      <w:proofErr w:type="gramEnd"/>
      <w:r>
        <w:t xml:space="preserve"> by raw radiomic cluster. </w:t>
      </w:r>
    </w:p>
    <w:p w14:paraId="2AC178AF" w14:textId="77777777" w:rsidR="00E46F45" w:rsidRDefault="00E46F45"/>
    <w:p w14:paraId="5B3FAB7D" w14:textId="77777777" w:rsidR="00E46F45" w:rsidRDefault="00000000">
      <w:pPr>
        <w:pStyle w:val="Caption"/>
        <w:jc w:val="center"/>
      </w:pPr>
      <w:r>
        <w:t>Supplementary Table S2. Raw cluster assignment by molecular subtype.</w:t>
      </w:r>
    </w:p>
    <w:tbl>
      <w:tblPr>
        <w:tblStyle w:val="TableGrid"/>
        <w:tblW w:w="0" w:type="auto"/>
        <w:jc w:val="center"/>
        <w:tblLook w:val="04A0" w:firstRow="1" w:lastRow="0" w:firstColumn="1" w:lastColumn="0" w:noHBand="0" w:noVBand="1"/>
      </w:tblPr>
      <w:tblGrid>
        <w:gridCol w:w="1296"/>
        <w:gridCol w:w="1728"/>
        <w:gridCol w:w="1728"/>
        <w:gridCol w:w="1728"/>
        <w:gridCol w:w="1728"/>
      </w:tblGrid>
      <w:tr w:rsidR="00E46F45" w14:paraId="5177A5C0" w14:textId="77777777">
        <w:trPr>
          <w:jc w:val="center"/>
        </w:trPr>
        <w:tc>
          <w:tcPr>
            <w:tcW w:w="1296" w:type="dxa"/>
            <w:shd w:val="clear" w:color="auto" w:fill="D9EAF7"/>
            <w:tcMar>
              <w:top w:w="80" w:type="dxa"/>
              <w:left w:w="80" w:type="dxa"/>
              <w:bottom w:w="80" w:type="dxa"/>
              <w:right w:w="80" w:type="dxa"/>
            </w:tcMar>
            <w:vAlign w:val="center"/>
          </w:tcPr>
          <w:p w14:paraId="34A2B30D" w14:textId="77777777" w:rsidR="00E46F45" w:rsidRDefault="00000000">
            <w:pPr>
              <w:spacing w:after="0"/>
            </w:pPr>
            <w:r>
              <w:rPr>
                <w:sz w:val="16"/>
              </w:rPr>
              <w:t>Cluster</w:t>
            </w:r>
          </w:p>
        </w:tc>
        <w:tc>
          <w:tcPr>
            <w:tcW w:w="1728" w:type="dxa"/>
            <w:shd w:val="clear" w:color="auto" w:fill="D9EAF7"/>
            <w:tcMar>
              <w:top w:w="80" w:type="dxa"/>
              <w:left w:w="80" w:type="dxa"/>
              <w:bottom w:w="80" w:type="dxa"/>
              <w:right w:w="80" w:type="dxa"/>
            </w:tcMar>
            <w:vAlign w:val="center"/>
          </w:tcPr>
          <w:p w14:paraId="60BBCEFD" w14:textId="77777777" w:rsidR="00E46F45" w:rsidRDefault="00000000">
            <w:pPr>
              <w:spacing w:after="0"/>
            </w:pPr>
            <w:r>
              <w:rPr>
                <w:sz w:val="16"/>
              </w:rPr>
              <w:t>Subtype 0</w:t>
            </w:r>
          </w:p>
        </w:tc>
        <w:tc>
          <w:tcPr>
            <w:tcW w:w="1728" w:type="dxa"/>
            <w:shd w:val="clear" w:color="auto" w:fill="D9EAF7"/>
            <w:tcMar>
              <w:top w:w="80" w:type="dxa"/>
              <w:left w:w="80" w:type="dxa"/>
              <w:bottom w:w="80" w:type="dxa"/>
              <w:right w:w="80" w:type="dxa"/>
            </w:tcMar>
            <w:vAlign w:val="center"/>
          </w:tcPr>
          <w:p w14:paraId="2000B4E0" w14:textId="77777777" w:rsidR="00E46F45" w:rsidRDefault="00000000">
            <w:pPr>
              <w:spacing w:after="0"/>
            </w:pPr>
            <w:r>
              <w:rPr>
                <w:sz w:val="16"/>
              </w:rPr>
              <w:t>Subtype 1</w:t>
            </w:r>
          </w:p>
        </w:tc>
        <w:tc>
          <w:tcPr>
            <w:tcW w:w="1728" w:type="dxa"/>
            <w:shd w:val="clear" w:color="auto" w:fill="D9EAF7"/>
            <w:tcMar>
              <w:top w:w="80" w:type="dxa"/>
              <w:left w:w="80" w:type="dxa"/>
              <w:bottom w:w="80" w:type="dxa"/>
              <w:right w:w="80" w:type="dxa"/>
            </w:tcMar>
            <w:vAlign w:val="center"/>
          </w:tcPr>
          <w:p w14:paraId="5627BD9B" w14:textId="77777777" w:rsidR="00E46F45" w:rsidRDefault="00000000">
            <w:pPr>
              <w:spacing w:after="0"/>
            </w:pPr>
            <w:r>
              <w:rPr>
                <w:sz w:val="16"/>
              </w:rPr>
              <w:t>Subtype 2</w:t>
            </w:r>
          </w:p>
        </w:tc>
        <w:tc>
          <w:tcPr>
            <w:tcW w:w="1728" w:type="dxa"/>
            <w:shd w:val="clear" w:color="auto" w:fill="D9EAF7"/>
            <w:tcMar>
              <w:top w:w="80" w:type="dxa"/>
              <w:left w:w="80" w:type="dxa"/>
              <w:bottom w:w="80" w:type="dxa"/>
              <w:right w:w="80" w:type="dxa"/>
            </w:tcMar>
            <w:vAlign w:val="center"/>
          </w:tcPr>
          <w:p w14:paraId="4DA1C10B" w14:textId="77777777" w:rsidR="00E46F45" w:rsidRDefault="00000000">
            <w:pPr>
              <w:spacing w:after="0"/>
            </w:pPr>
            <w:r>
              <w:rPr>
                <w:sz w:val="16"/>
              </w:rPr>
              <w:t>Subtype 3</w:t>
            </w:r>
          </w:p>
        </w:tc>
      </w:tr>
      <w:tr w:rsidR="00E46F45" w14:paraId="09C28B9A" w14:textId="77777777">
        <w:trPr>
          <w:jc w:val="center"/>
        </w:trPr>
        <w:tc>
          <w:tcPr>
            <w:tcW w:w="1296" w:type="dxa"/>
            <w:tcMar>
              <w:top w:w="80" w:type="dxa"/>
              <w:left w:w="80" w:type="dxa"/>
              <w:bottom w:w="80" w:type="dxa"/>
              <w:right w:w="80" w:type="dxa"/>
            </w:tcMar>
            <w:vAlign w:val="center"/>
          </w:tcPr>
          <w:p w14:paraId="761EA005" w14:textId="77777777" w:rsidR="00E46F45" w:rsidRDefault="00000000">
            <w:pPr>
              <w:spacing w:after="0"/>
            </w:pPr>
            <w:r>
              <w:rPr>
                <w:sz w:val="16"/>
              </w:rPr>
              <w:t>0</w:t>
            </w:r>
          </w:p>
        </w:tc>
        <w:tc>
          <w:tcPr>
            <w:tcW w:w="1728" w:type="dxa"/>
            <w:tcMar>
              <w:top w:w="80" w:type="dxa"/>
              <w:left w:w="80" w:type="dxa"/>
              <w:bottom w:w="80" w:type="dxa"/>
              <w:right w:w="80" w:type="dxa"/>
            </w:tcMar>
            <w:vAlign w:val="center"/>
          </w:tcPr>
          <w:p w14:paraId="0FEDE7E4" w14:textId="77777777" w:rsidR="00E46F45" w:rsidRDefault="00000000">
            <w:pPr>
              <w:spacing w:after="0"/>
            </w:pPr>
            <w:r>
              <w:rPr>
                <w:sz w:val="16"/>
              </w:rPr>
              <w:t>383</w:t>
            </w:r>
          </w:p>
        </w:tc>
        <w:tc>
          <w:tcPr>
            <w:tcW w:w="1728" w:type="dxa"/>
            <w:tcMar>
              <w:top w:w="80" w:type="dxa"/>
              <w:left w:w="80" w:type="dxa"/>
              <w:bottom w:w="80" w:type="dxa"/>
              <w:right w:w="80" w:type="dxa"/>
            </w:tcMar>
            <w:vAlign w:val="center"/>
          </w:tcPr>
          <w:p w14:paraId="34E5C3E9" w14:textId="77777777" w:rsidR="00E46F45" w:rsidRDefault="00000000">
            <w:pPr>
              <w:spacing w:after="0"/>
            </w:pPr>
            <w:r>
              <w:rPr>
                <w:sz w:val="16"/>
              </w:rPr>
              <w:t>56</w:t>
            </w:r>
          </w:p>
        </w:tc>
        <w:tc>
          <w:tcPr>
            <w:tcW w:w="1728" w:type="dxa"/>
            <w:tcMar>
              <w:top w:w="80" w:type="dxa"/>
              <w:left w:w="80" w:type="dxa"/>
              <w:bottom w:w="80" w:type="dxa"/>
              <w:right w:w="80" w:type="dxa"/>
            </w:tcMar>
            <w:vAlign w:val="center"/>
          </w:tcPr>
          <w:p w14:paraId="6D999051" w14:textId="77777777" w:rsidR="00E46F45" w:rsidRDefault="00000000">
            <w:pPr>
              <w:spacing w:after="0"/>
            </w:pPr>
            <w:r>
              <w:rPr>
                <w:sz w:val="16"/>
              </w:rPr>
              <w:t>41</w:t>
            </w:r>
          </w:p>
        </w:tc>
        <w:tc>
          <w:tcPr>
            <w:tcW w:w="1728" w:type="dxa"/>
            <w:tcMar>
              <w:top w:w="80" w:type="dxa"/>
              <w:left w:w="80" w:type="dxa"/>
              <w:bottom w:w="80" w:type="dxa"/>
              <w:right w:w="80" w:type="dxa"/>
            </w:tcMar>
            <w:vAlign w:val="center"/>
          </w:tcPr>
          <w:p w14:paraId="374268FD" w14:textId="77777777" w:rsidR="00E46F45" w:rsidRDefault="00000000">
            <w:pPr>
              <w:spacing w:after="0"/>
            </w:pPr>
            <w:r>
              <w:rPr>
                <w:sz w:val="16"/>
              </w:rPr>
              <w:t>106</w:t>
            </w:r>
          </w:p>
        </w:tc>
      </w:tr>
      <w:tr w:rsidR="00E46F45" w14:paraId="55F52DB0" w14:textId="77777777">
        <w:trPr>
          <w:jc w:val="center"/>
        </w:trPr>
        <w:tc>
          <w:tcPr>
            <w:tcW w:w="1296" w:type="dxa"/>
            <w:tcMar>
              <w:top w:w="80" w:type="dxa"/>
              <w:left w:w="80" w:type="dxa"/>
              <w:bottom w:w="80" w:type="dxa"/>
              <w:right w:w="80" w:type="dxa"/>
            </w:tcMar>
            <w:vAlign w:val="center"/>
          </w:tcPr>
          <w:p w14:paraId="077256AF" w14:textId="77777777" w:rsidR="00E46F45" w:rsidRDefault="00000000">
            <w:pPr>
              <w:spacing w:after="0"/>
            </w:pPr>
            <w:r>
              <w:rPr>
                <w:sz w:val="16"/>
              </w:rPr>
              <w:t>1</w:t>
            </w:r>
          </w:p>
        </w:tc>
        <w:tc>
          <w:tcPr>
            <w:tcW w:w="1728" w:type="dxa"/>
            <w:tcMar>
              <w:top w:w="80" w:type="dxa"/>
              <w:left w:w="80" w:type="dxa"/>
              <w:bottom w:w="80" w:type="dxa"/>
              <w:right w:w="80" w:type="dxa"/>
            </w:tcMar>
            <w:vAlign w:val="center"/>
          </w:tcPr>
          <w:p w14:paraId="487432D8" w14:textId="77777777" w:rsidR="00E46F45" w:rsidRDefault="00000000">
            <w:pPr>
              <w:spacing w:after="0"/>
            </w:pPr>
            <w:r>
              <w:rPr>
                <w:sz w:val="16"/>
              </w:rPr>
              <w:t>212</w:t>
            </w:r>
          </w:p>
        </w:tc>
        <w:tc>
          <w:tcPr>
            <w:tcW w:w="1728" w:type="dxa"/>
            <w:tcMar>
              <w:top w:w="80" w:type="dxa"/>
              <w:left w:w="80" w:type="dxa"/>
              <w:bottom w:w="80" w:type="dxa"/>
              <w:right w:w="80" w:type="dxa"/>
            </w:tcMar>
            <w:vAlign w:val="center"/>
          </w:tcPr>
          <w:p w14:paraId="2CCF55F2" w14:textId="77777777" w:rsidR="00E46F45" w:rsidRDefault="00000000">
            <w:pPr>
              <w:spacing w:after="0"/>
            </w:pPr>
            <w:r>
              <w:rPr>
                <w:sz w:val="16"/>
              </w:rPr>
              <w:t>48</w:t>
            </w:r>
          </w:p>
        </w:tc>
        <w:tc>
          <w:tcPr>
            <w:tcW w:w="1728" w:type="dxa"/>
            <w:tcMar>
              <w:top w:w="80" w:type="dxa"/>
              <w:left w:w="80" w:type="dxa"/>
              <w:bottom w:w="80" w:type="dxa"/>
              <w:right w:w="80" w:type="dxa"/>
            </w:tcMar>
            <w:vAlign w:val="center"/>
          </w:tcPr>
          <w:p w14:paraId="2920F7B6" w14:textId="77777777" w:rsidR="00E46F45" w:rsidRDefault="00000000">
            <w:pPr>
              <w:spacing w:after="0"/>
            </w:pPr>
            <w:r>
              <w:rPr>
                <w:sz w:val="16"/>
              </w:rPr>
              <w:t>18</w:t>
            </w:r>
          </w:p>
        </w:tc>
        <w:tc>
          <w:tcPr>
            <w:tcW w:w="1728" w:type="dxa"/>
            <w:tcMar>
              <w:top w:w="80" w:type="dxa"/>
              <w:left w:w="80" w:type="dxa"/>
              <w:bottom w:w="80" w:type="dxa"/>
              <w:right w:w="80" w:type="dxa"/>
            </w:tcMar>
            <w:vAlign w:val="center"/>
          </w:tcPr>
          <w:p w14:paraId="70CBCFF0" w14:textId="77777777" w:rsidR="00E46F45" w:rsidRDefault="00000000">
            <w:pPr>
              <w:spacing w:after="0"/>
            </w:pPr>
            <w:r>
              <w:rPr>
                <w:sz w:val="16"/>
              </w:rPr>
              <w:t>58</w:t>
            </w:r>
          </w:p>
        </w:tc>
      </w:tr>
    </w:tbl>
    <w:p w14:paraId="39E68A63" w14:textId="77777777" w:rsidR="00E46F45" w:rsidRDefault="00E46F45"/>
    <w:p w14:paraId="5C57BC73" w14:textId="0ACE45ED" w:rsidR="00E46F45" w:rsidRDefault="00000000">
      <w:pPr>
        <w:pStyle w:val="Caption"/>
        <w:jc w:val="center"/>
      </w:pPr>
      <w:r>
        <w:t>Supplementary Table S3. Raw cluster assignment by recurrence event.</w:t>
      </w:r>
    </w:p>
    <w:tbl>
      <w:tblPr>
        <w:tblStyle w:val="TableGrid"/>
        <w:tblW w:w="0" w:type="auto"/>
        <w:jc w:val="center"/>
        <w:tblLook w:val="04A0" w:firstRow="1" w:lastRow="0" w:firstColumn="1" w:lastColumn="0" w:noHBand="0" w:noVBand="1"/>
      </w:tblPr>
      <w:tblGrid>
        <w:gridCol w:w="1296"/>
        <w:gridCol w:w="2304"/>
        <w:gridCol w:w="1872"/>
      </w:tblGrid>
      <w:tr w:rsidR="00E46F45" w14:paraId="6920B5C9" w14:textId="77777777">
        <w:trPr>
          <w:jc w:val="center"/>
        </w:trPr>
        <w:tc>
          <w:tcPr>
            <w:tcW w:w="1296" w:type="dxa"/>
            <w:shd w:val="clear" w:color="auto" w:fill="D9EAF7"/>
            <w:tcMar>
              <w:top w:w="80" w:type="dxa"/>
              <w:left w:w="80" w:type="dxa"/>
              <w:bottom w:w="80" w:type="dxa"/>
              <w:right w:w="80" w:type="dxa"/>
            </w:tcMar>
            <w:vAlign w:val="center"/>
          </w:tcPr>
          <w:p w14:paraId="2CE5625E" w14:textId="77777777" w:rsidR="00E46F45" w:rsidRDefault="00000000">
            <w:pPr>
              <w:spacing w:after="0"/>
            </w:pPr>
            <w:r>
              <w:rPr>
                <w:sz w:val="16"/>
              </w:rPr>
              <w:t>Cluster</w:t>
            </w:r>
          </w:p>
        </w:tc>
        <w:tc>
          <w:tcPr>
            <w:tcW w:w="2304" w:type="dxa"/>
            <w:shd w:val="clear" w:color="auto" w:fill="D9EAF7"/>
            <w:tcMar>
              <w:top w:w="80" w:type="dxa"/>
              <w:left w:w="80" w:type="dxa"/>
              <w:bottom w:w="80" w:type="dxa"/>
              <w:right w:w="80" w:type="dxa"/>
            </w:tcMar>
            <w:vAlign w:val="center"/>
          </w:tcPr>
          <w:p w14:paraId="76FB7AC6" w14:textId="77777777" w:rsidR="00E46F45" w:rsidRDefault="00000000">
            <w:pPr>
              <w:spacing w:after="0"/>
            </w:pPr>
            <w:r>
              <w:rPr>
                <w:sz w:val="16"/>
              </w:rPr>
              <w:t>No recurrence</w:t>
            </w:r>
          </w:p>
        </w:tc>
        <w:tc>
          <w:tcPr>
            <w:tcW w:w="1872" w:type="dxa"/>
            <w:shd w:val="clear" w:color="auto" w:fill="D9EAF7"/>
            <w:tcMar>
              <w:top w:w="80" w:type="dxa"/>
              <w:left w:w="80" w:type="dxa"/>
              <w:bottom w:w="80" w:type="dxa"/>
              <w:right w:w="80" w:type="dxa"/>
            </w:tcMar>
            <w:vAlign w:val="center"/>
          </w:tcPr>
          <w:p w14:paraId="28A1FAD6" w14:textId="77777777" w:rsidR="00E46F45" w:rsidRDefault="00000000">
            <w:pPr>
              <w:spacing w:after="0"/>
            </w:pPr>
            <w:r>
              <w:rPr>
                <w:sz w:val="16"/>
              </w:rPr>
              <w:t>Recurrence</w:t>
            </w:r>
          </w:p>
        </w:tc>
      </w:tr>
      <w:tr w:rsidR="00E46F45" w14:paraId="641E89F7" w14:textId="77777777">
        <w:trPr>
          <w:jc w:val="center"/>
        </w:trPr>
        <w:tc>
          <w:tcPr>
            <w:tcW w:w="1296" w:type="dxa"/>
            <w:tcMar>
              <w:top w:w="80" w:type="dxa"/>
              <w:left w:w="80" w:type="dxa"/>
              <w:bottom w:w="80" w:type="dxa"/>
              <w:right w:w="80" w:type="dxa"/>
            </w:tcMar>
            <w:vAlign w:val="center"/>
          </w:tcPr>
          <w:p w14:paraId="26EADC41" w14:textId="77777777" w:rsidR="00E46F45" w:rsidRDefault="00000000">
            <w:pPr>
              <w:spacing w:after="0"/>
            </w:pPr>
            <w:r>
              <w:rPr>
                <w:sz w:val="16"/>
              </w:rPr>
              <w:t>0</w:t>
            </w:r>
          </w:p>
        </w:tc>
        <w:tc>
          <w:tcPr>
            <w:tcW w:w="2304" w:type="dxa"/>
            <w:tcMar>
              <w:top w:w="80" w:type="dxa"/>
              <w:left w:w="80" w:type="dxa"/>
              <w:bottom w:w="80" w:type="dxa"/>
              <w:right w:w="80" w:type="dxa"/>
            </w:tcMar>
            <w:vAlign w:val="center"/>
          </w:tcPr>
          <w:p w14:paraId="1B10633C" w14:textId="77777777" w:rsidR="00E46F45" w:rsidRDefault="00000000">
            <w:pPr>
              <w:spacing w:after="0"/>
            </w:pPr>
            <w:r>
              <w:rPr>
                <w:sz w:val="16"/>
              </w:rPr>
              <w:t>527</w:t>
            </w:r>
          </w:p>
        </w:tc>
        <w:tc>
          <w:tcPr>
            <w:tcW w:w="1872" w:type="dxa"/>
            <w:tcMar>
              <w:top w:w="80" w:type="dxa"/>
              <w:left w:w="80" w:type="dxa"/>
              <w:bottom w:w="80" w:type="dxa"/>
              <w:right w:w="80" w:type="dxa"/>
            </w:tcMar>
            <w:vAlign w:val="center"/>
          </w:tcPr>
          <w:p w14:paraId="5EBBC26C" w14:textId="77777777" w:rsidR="00E46F45" w:rsidRDefault="00000000">
            <w:pPr>
              <w:spacing w:after="0"/>
            </w:pPr>
            <w:r>
              <w:rPr>
                <w:sz w:val="16"/>
              </w:rPr>
              <w:t>57</w:t>
            </w:r>
          </w:p>
        </w:tc>
      </w:tr>
      <w:tr w:rsidR="00E46F45" w14:paraId="39A77329" w14:textId="77777777">
        <w:trPr>
          <w:jc w:val="center"/>
        </w:trPr>
        <w:tc>
          <w:tcPr>
            <w:tcW w:w="1296" w:type="dxa"/>
            <w:tcMar>
              <w:top w:w="80" w:type="dxa"/>
              <w:left w:w="80" w:type="dxa"/>
              <w:bottom w:w="80" w:type="dxa"/>
              <w:right w:w="80" w:type="dxa"/>
            </w:tcMar>
            <w:vAlign w:val="center"/>
          </w:tcPr>
          <w:p w14:paraId="029FB5AE" w14:textId="77777777" w:rsidR="00E46F45" w:rsidRDefault="00000000">
            <w:pPr>
              <w:spacing w:after="0"/>
            </w:pPr>
            <w:r>
              <w:rPr>
                <w:sz w:val="16"/>
              </w:rPr>
              <w:t>1</w:t>
            </w:r>
          </w:p>
        </w:tc>
        <w:tc>
          <w:tcPr>
            <w:tcW w:w="2304" w:type="dxa"/>
            <w:tcMar>
              <w:top w:w="80" w:type="dxa"/>
              <w:left w:w="80" w:type="dxa"/>
              <w:bottom w:w="80" w:type="dxa"/>
              <w:right w:w="80" w:type="dxa"/>
            </w:tcMar>
            <w:vAlign w:val="center"/>
          </w:tcPr>
          <w:p w14:paraId="44098BBC" w14:textId="77777777" w:rsidR="00E46F45" w:rsidRDefault="00000000">
            <w:pPr>
              <w:spacing w:after="0"/>
            </w:pPr>
            <w:r>
              <w:rPr>
                <w:sz w:val="16"/>
              </w:rPr>
              <w:t>306</w:t>
            </w:r>
          </w:p>
        </w:tc>
        <w:tc>
          <w:tcPr>
            <w:tcW w:w="1872" w:type="dxa"/>
            <w:tcMar>
              <w:top w:w="80" w:type="dxa"/>
              <w:left w:w="80" w:type="dxa"/>
              <w:bottom w:w="80" w:type="dxa"/>
              <w:right w:w="80" w:type="dxa"/>
            </w:tcMar>
            <w:vAlign w:val="center"/>
          </w:tcPr>
          <w:p w14:paraId="3D4275A1" w14:textId="77777777" w:rsidR="00E46F45" w:rsidRDefault="00000000">
            <w:pPr>
              <w:spacing w:after="0"/>
            </w:pPr>
            <w:r>
              <w:rPr>
                <w:sz w:val="16"/>
              </w:rPr>
              <w:t>30</w:t>
            </w:r>
          </w:p>
        </w:tc>
      </w:tr>
    </w:tbl>
    <w:p w14:paraId="67F9C548" w14:textId="77777777" w:rsidR="00E46F45" w:rsidRDefault="00E46F45"/>
    <w:p w14:paraId="74124FBE" w14:textId="77777777" w:rsidR="00E46F45" w:rsidRDefault="00000000">
      <w:pPr>
        <w:pStyle w:val="Caption"/>
        <w:jc w:val="center"/>
      </w:pPr>
      <w:r>
        <w:t>Supplementary Table S4. Biological interpretation of dominant feature patterns.</w:t>
      </w:r>
    </w:p>
    <w:tbl>
      <w:tblPr>
        <w:tblStyle w:val="TableGrid"/>
        <w:tblW w:w="0" w:type="auto"/>
        <w:jc w:val="center"/>
        <w:tblLook w:val="04A0" w:firstRow="1" w:lastRow="0" w:firstColumn="1" w:lastColumn="0" w:noHBand="0" w:noVBand="1"/>
      </w:tblPr>
      <w:tblGrid>
        <w:gridCol w:w="2841"/>
        <w:gridCol w:w="2559"/>
        <w:gridCol w:w="4670"/>
      </w:tblGrid>
      <w:tr w:rsidR="00E46F45" w14:paraId="6A79CC5F" w14:textId="77777777">
        <w:trPr>
          <w:jc w:val="center"/>
        </w:trPr>
        <w:tc>
          <w:tcPr>
            <w:tcW w:w="2880" w:type="dxa"/>
            <w:shd w:val="clear" w:color="auto" w:fill="D9EAF7"/>
            <w:tcMar>
              <w:top w:w="80" w:type="dxa"/>
              <w:left w:w="80" w:type="dxa"/>
              <w:bottom w:w="80" w:type="dxa"/>
              <w:right w:w="80" w:type="dxa"/>
            </w:tcMar>
            <w:vAlign w:val="center"/>
          </w:tcPr>
          <w:p w14:paraId="7D8A1E23" w14:textId="77777777" w:rsidR="00E46F45" w:rsidRDefault="00000000">
            <w:pPr>
              <w:spacing w:after="0"/>
            </w:pPr>
            <w:r>
              <w:rPr>
                <w:sz w:val="15"/>
              </w:rPr>
              <w:t>Feature category</w:t>
            </w:r>
          </w:p>
        </w:tc>
        <w:tc>
          <w:tcPr>
            <w:tcW w:w="2592" w:type="dxa"/>
            <w:shd w:val="clear" w:color="auto" w:fill="D9EAF7"/>
            <w:tcMar>
              <w:top w:w="80" w:type="dxa"/>
              <w:left w:w="80" w:type="dxa"/>
              <w:bottom w:w="80" w:type="dxa"/>
              <w:right w:w="80" w:type="dxa"/>
            </w:tcMar>
            <w:vAlign w:val="center"/>
          </w:tcPr>
          <w:p w14:paraId="36B31722" w14:textId="77777777" w:rsidR="00E46F45" w:rsidRDefault="00000000">
            <w:pPr>
              <w:spacing w:after="0"/>
            </w:pPr>
            <w:r>
              <w:rPr>
                <w:sz w:val="15"/>
              </w:rPr>
              <w:t>Cluster pattern</w:t>
            </w:r>
          </w:p>
        </w:tc>
        <w:tc>
          <w:tcPr>
            <w:tcW w:w="4752" w:type="dxa"/>
            <w:shd w:val="clear" w:color="auto" w:fill="D9EAF7"/>
            <w:tcMar>
              <w:top w:w="80" w:type="dxa"/>
              <w:left w:w="80" w:type="dxa"/>
              <w:bottom w:w="80" w:type="dxa"/>
              <w:right w:w="80" w:type="dxa"/>
            </w:tcMar>
            <w:vAlign w:val="center"/>
          </w:tcPr>
          <w:p w14:paraId="0F8B34EB" w14:textId="77777777" w:rsidR="00E46F45" w:rsidRDefault="00000000">
            <w:pPr>
              <w:spacing w:after="0"/>
            </w:pPr>
            <w:r>
              <w:rPr>
                <w:sz w:val="15"/>
              </w:rPr>
              <w:t>Interpretation</w:t>
            </w:r>
          </w:p>
        </w:tc>
      </w:tr>
      <w:tr w:rsidR="00E46F45" w14:paraId="54E3B9AE" w14:textId="77777777">
        <w:trPr>
          <w:jc w:val="center"/>
        </w:trPr>
        <w:tc>
          <w:tcPr>
            <w:tcW w:w="2880" w:type="dxa"/>
            <w:tcMar>
              <w:top w:w="80" w:type="dxa"/>
              <w:left w:w="80" w:type="dxa"/>
              <w:bottom w:w="80" w:type="dxa"/>
              <w:right w:w="80" w:type="dxa"/>
            </w:tcMar>
            <w:vAlign w:val="center"/>
          </w:tcPr>
          <w:p w14:paraId="5DA250C5" w14:textId="77777777" w:rsidR="00E46F45" w:rsidRDefault="00000000">
            <w:pPr>
              <w:spacing w:after="0"/>
            </w:pPr>
            <w:r>
              <w:rPr>
                <w:sz w:val="15"/>
              </w:rPr>
              <w:t>SER entropy features</w:t>
            </w:r>
          </w:p>
        </w:tc>
        <w:tc>
          <w:tcPr>
            <w:tcW w:w="2592" w:type="dxa"/>
            <w:tcMar>
              <w:top w:w="80" w:type="dxa"/>
              <w:left w:w="80" w:type="dxa"/>
              <w:bottom w:w="80" w:type="dxa"/>
              <w:right w:w="80" w:type="dxa"/>
            </w:tcMar>
            <w:vAlign w:val="center"/>
          </w:tcPr>
          <w:p w14:paraId="370183DD" w14:textId="77777777" w:rsidR="00E46F45" w:rsidRDefault="00000000">
            <w:pPr>
              <w:spacing w:after="0"/>
            </w:pPr>
            <w:r>
              <w:rPr>
                <w:sz w:val="15"/>
              </w:rPr>
              <w:t>Elevated in Cluster 1</w:t>
            </w:r>
          </w:p>
        </w:tc>
        <w:tc>
          <w:tcPr>
            <w:tcW w:w="4752" w:type="dxa"/>
            <w:tcMar>
              <w:top w:w="80" w:type="dxa"/>
              <w:left w:w="80" w:type="dxa"/>
              <w:bottom w:w="80" w:type="dxa"/>
              <w:right w:w="80" w:type="dxa"/>
            </w:tcMar>
            <w:vAlign w:val="center"/>
          </w:tcPr>
          <w:p w14:paraId="502C7725" w14:textId="77777777" w:rsidR="00E46F45" w:rsidRDefault="00000000">
            <w:pPr>
              <w:spacing w:after="0"/>
            </w:pPr>
            <w:r>
              <w:rPr>
                <w:sz w:val="15"/>
              </w:rPr>
              <w:t>Greater enhancement heterogeneity and spatial disorder.</w:t>
            </w:r>
          </w:p>
        </w:tc>
      </w:tr>
      <w:tr w:rsidR="00E46F45" w14:paraId="37A45392" w14:textId="77777777">
        <w:trPr>
          <w:jc w:val="center"/>
        </w:trPr>
        <w:tc>
          <w:tcPr>
            <w:tcW w:w="2880" w:type="dxa"/>
            <w:tcMar>
              <w:top w:w="80" w:type="dxa"/>
              <w:left w:w="80" w:type="dxa"/>
              <w:bottom w:w="80" w:type="dxa"/>
              <w:right w:w="80" w:type="dxa"/>
            </w:tcMar>
            <w:vAlign w:val="center"/>
          </w:tcPr>
          <w:p w14:paraId="3F572FFD" w14:textId="77777777" w:rsidR="00E46F45" w:rsidRDefault="00000000">
            <w:pPr>
              <w:spacing w:after="0"/>
            </w:pPr>
            <w:r>
              <w:rPr>
                <w:sz w:val="15"/>
              </w:rPr>
              <w:t>SER homogeneity features</w:t>
            </w:r>
          </w:p>
        </w:tc>
        <w:tc>
          <w:tcPr>
            <w:tcW w:w="2592" w:type="dxa"/>
            <w:tcMar>
              <w:top w:w="80" w:type="dxa"/>
              <w:left w:w="80" w:type="dxa"/>
              <w:bottom w:w="80" w:type="dxa"/>
              <w:right w:w="80" w:type="dxa"/>
            </w:tcMar>
            <w:vAlign w:val="center"/>
          </w:tcPr>
          <w:p w14:paraId="0ED8C658" w14:textId="77777777" w:rsidR="00E46F45" w:rsidRDefault="00000000">
            <w:pPr>
              <w:spacing w:after="0"/>
            </w:pPr>
            <w:r>
              <w:rPr>
                <w:sz w:val="15"/>
              </w:rPr>
              <w:t>Elevated in Cluster 0</w:t>
            </w:r>
          </w:p>
        </w:tc>
        <w:tc>
          <w:tcPr>
            <w:tcW w:w="4752" w:type="dxa"/>
            <w:tcMar>
              <w:top w:w="80" w:type="dxa"/>
              <w:left w:w="80" w:type="dxa"/>
              <w:bottom w:w="80" w:type="dxa"/>
              <w:right w:w="80" w:type="dxa"/>
            </w:tcMar>
            <w:vAlign w:val="center"/>
          </w:tcPr>
          <w:p w14:paraId="2D3DD1BF" w14:textId="77777777" w:rsidR="00E46F45" w:rsidRDefault="00000000">
            <w:pPr>
              <w:spacing w:after="0"/>
            </w:pPr>
            <w:r>
              <w:rPr>
                <w:sz w:val="15"/>
              </w:rPr>
              <w:t>More spatially uniform enhancement behavior.</w:t>
            </w:r>
          </w:p>
        </w:tc>
      </w:tr>
      <w:tr w:rsidR="00E46F45" w14:paraId="147B9F2C" w14:textId="77777777">
        <w:trPr>
          <w:jc w:val="center"/>
        </w:trPr>
        <w:tc>
          <w:tcPr>
            <w:tcW w:w="2880" w:type="dxa"/>
            <w:tcMar>
              <w:top w:w="80" w:type="dxa"/>
              <w:left w:w="80" w:type="dxa"/>
              <w:bottom w:w="80" w:type="dxa"/>
              <w:right w:w="80" w:type="dxa"/>
            </w:tcMar>
            <w:vAlign w:val="center"/>
          </w:tcPr>
          <w:p w14:paraId="3626D0F2" w14:textId="77777777" w:rsidR="00E46F45" w:rsidRDefault="00000000">
            <w:pPr>
              <w:spacing w:after="0"/>
            </w:pPr>
            <w:r>
              <w:rPr>
                <w:sz w:val="15"/>
              </w:rPr>
              <w:t>SER standard deviation</w:t>
            </w:r>
          </w:p>
        </w:tc>
        <w:tc>
          <w:tcPr>
            <w:tcW w:w="2592" w:type="dxa"/>
            <w:tcMar>
              <w:top w:w="80" w:type="dxa"/>
              <w:left w:w="80" w:type="dxa"/>
              <w:bottom w:w="80" w:type="dxa"/>
              <w:right w:w="80" w:type="dxa"/>
            </w:tcMar>
            <w:vAlign w:val="center"/>
          </w:tcPr>
          <w:p w14:paraId="0A2AA3A4" w14:textId="77777777" w:rsidR="00E46F45" w:rsidRDefault="00000000">
            <w:pPr>
              <w:spacing w:after="0"/>
            </w:pPr>
            <w:r>
              <w:rPr>
                <w:sz w:val="15"/>
              </w:rPr>
              <w:t>Elevated in Cluster 0</w:t>
            </w:r>
          </w:p>
        </w:tc>
        <w:tc>
          <w:tcPr>
            <w:tcW w:w="4752" w:type="dxa"/>
            <w:tcMar>
              <w:top w:w="80" w:type="dxa"/>
              <w:left w:w="80" w:type="dxa"/>
              <w:bottom w:w="80" w:type="dxa"/>
              <w:right w:w="80" w:type="dxa"/>
            </w:tcMar>
            <w:vAlign w:val="center"/>
          </w:tcPr>
          <w:p w14:paraId="20D4883F" w14:textId="77777777" w:rsidR="00E46F45" w:rsidRDefault="00000000">
            <w:pPr>
              <w:spacing w:after="0"/>
            </w:pPr>
            <w:r>
              <w:rPr>
                <w:sz w:val="15"/>
              </w:rPr>
              <w:t>Greater enhancement intensity dispersion in the more homogeneous phenotype.</w:t>
            </w:r>
          </w:p>
        </w:tc>
      </w:tr>
      <w:tr w:rsidR="00E46F45" w14:paraId="007E7B3F" w14:textId="77777777">
        <w:trPr>
          <w:jc w:val="center"/>
        </w:trPr>
        <w:tc>
          <w:tcPr>
            <w:tcW w:w="2880" w:type="dxa"/>
            <w:tcMar>
              <w:top w:w="80" w:type="dxa"/>
              <w:left w:w="80" w:type="dxa"/>
              <w:bottom w:w="80" w:type="dxa"/>
              <w:right w:w="80" w:type="dxa"/>
            </w:tcMar>
            <w:vAlign w:val="center"/>
          </w:tcPr>
          <w:p w14:paraId="65961CFF" w14:textId="77777777" w:rsidR="00E46F45" w:rsidRDefault="00000000">
            <w:pPr>
              <w:spacing w:after="0"/>
            </w:pPr>
            <w:r>
              <w:rPr>
                <w:sz w:val="15"/>
              </w:rPr>
              <w:lastRenderedPageBreak/>
              <w:t>Enhancement-volume ratios</w:t>
            </w:r>
          </w:p>
        </w:tc>
        <w:tc>
          <w:tcPr>
            <w:tcW w:w="2592" w:type="dxa"/>
            <w:tcMar>
              <w:top w:w="80" w:type="dxa"/>
              <w:left w:w="80" w:type="dxa"/>
              <w:bottom w:w="80" w:type="dxa"/>
              <w:right w:w="80" w:type="dxa"/>
            </w:tcMar>
            <w:vAlign w:val="center"/>
          </w:tcPr>
          <w:p w14:paraId="4AE33D73" w14:textId="77777777" w:rsidR="00E46F45" w:rsidRDefault="00000000">
            <w:pPr>
              <w:spacing w:after="0"/>
            </w:pPr>
            <w:r>
              <w:rPr>
                <w:sz w:val="15"/>
              </w:rPr>
              <w:t>Strongly cluster-separating</w:t>
            </w:r>
          </w:p>
        </w:tc>
        <w:tc>
          <w:tcPr>
            <w:tcW w:w="4752" w:type="dxa"/>
            <w:tcMar>
              <w:top w:w="80" w:type="dxa"/>
              <w:left w:w="80" w:type="dxa"/>
              <w:bottom w:w="80" w:type="dxa"/>
              <w:right w:w="80" w:type="dxa"/>
            </w:tcMar>
            <w:vAlign w:val="center"/>
          </w:tcPr>
          <w:p w14:paraId="0AB94451" w14:textId="77777777" w:rsidR="00E46F45" w:rsidRDefault="00000000">
            <w:pPr>
              <w:spacing w:after="0"/>
            </w:pPr>
            <w:r>
              <w:rPr>
                <w:sz w:val="15"/>
              </w:rPr>
              <w:t>Differences in global vascular enhancement burden.</w:t>
            </w:r>
          </w:p>
        </w:tc>
      </w:tr>
      <w:tr w:rsidR="00E46F45" w14:paraId="02500E5C" w14:textId="77777777">
        <w:trPr>
          <w:jc w:val="center"/>
        </w:trPr>
        <w:tc>
          <w:tcPr>
            <w:tcW w:w="2880" w:type="dxa"/>
            <w:tcMar>
              <w:top w:w="80" w:type="dxa"/>
              <w:left w:w="80" w:type="dxa"/>
              <w:bottom w:w="80" w:type="dxa"/>
              <w:right w:w="80" w:type="dxa"/>
            </w:tcMar>
            <w:vAlign w:val="center"/>
          </w:tcPr>
          <w:p w14:paraId="0F4ACC9F" w14:textId="77777777" w:rsidR="00E46F45" w:rsidRDefault="00000000">
            <w:pPr>
              <w:spacing w:after="0"/>
            </w:pPr>
            <w:r>
              <w:rPr>
                <w:sz w:val="15"/>
              </w:rPr>
              <w:t>Wash-in/washout slope features</w:t>
            </w:r>
          </w:p>
        </w:tc>
        <w:tc>
          <w:tcPr>
            <w:tcW w:w="2592" w:type="dxa"/>
            <w:tcMar>
              <w:top w:w="80" w:type="dxa"/>
              <w:left w:w="80" w:type="dxa"/>
              <w:bottom w:w="80" w:type="dxa"/>
              <w:right w:w="80" w:type="dxa"/>
            </w:tcMar>
            <w:vAlign w:val="center"/>
          </w:tcPr>
          <w:p w14:paraId="4398B419" w14:textId="77777777" w:rsidR="00E46F45" w:rsidRDefault="00000000">
            <w:pPr>
              <w:spacing w:after="0"/>
            </w:pPr>
            <w:r>
              <w:rPr>
                <w:sz w:val="15"/>
              </w:rPr>
              <w:t>Strongly cluster-separating</w:t>
            </w:r>
          </w:p>
        </w:tc>
        <w:tc>
          <w:tcPr>
            <w:tcW w:w="4752" w:type="dxa"/>
            <w:tcMar>
              <w:top w:w="80" w:type="dxa"/>
              <w:left w:w="80" w:type="dxa"/>
              <w:bottom w:w="80" w:type="dxa"/>
              <w:right w:w="80" w:type="dxa"/>
            </w:tcMar>
            <w:vAlign w:val="center"/>
          </w:tcPr>
          <w:p w14:paraId="5441FB3C" w14:textId="77777777" w:rsidR="00E46F45" w:rsidRDefault="00000000">
            <w:pPr>
              <w:spacing w:after="0"/>
            </w:pPr>
            <w:r>
              <w:rPr>
                <w:sz w:val="15"/>
              </w:rPr>
              <w:t>Distinct enhancement kinetics between raw clusters.</w:t>
            </w:r>
          </w:p>
        </w:tc>
      </w:tr>
      <w:tr w:rsidR="00E46F45" w14:paraId="525E6E13" w14:textId="77777777">
        <w:trPr>
          <w:jc w:val="center"/>
        </w:trPr>
        <w:tc>
          <w:tcPr>
            <w:tcW w:w="2880" w:type="dxa"/>
            <w:tcMar>
              <w:top w:w="80" w:type="dxa"/>
              <w:left w:w="80" w:type="dxa"/>
              <w:bottom w:w="80" w:type="dxa"/>
              <w:right w:w="80" w:type="dxa"/>
            </w:tcMar>
            <w:vAlign w:val="center"/>
          </w:tcPr>
          <w:p w14:paraId="54437F91" w14:textId="77777777" w:rsidR="00E46F45" w:rsidRDefault="00000000">
            <w:pPr>
              <w:spacing w:after="0"/>
            </w:pPr>
            <w:r>
              <w:rPr>
                <w:sz w:val="15"/>
              </w:rPr>
              <w:t>Overall phenotype structure</w:t>
            </w:r>
          </w:p>
        </w:tc>
        <w:tc>
          <w:tcPr>
            <w:tcW w:w="2592" w:type="dxa"/>
            <w:tcMar>
              <w:top w:w="80" w:type="dxa"/>
              <w:left w:w="80" w:type="dxa"/>
              <w:bottom w:w="80" w:type="dxa"/>
              <w:right w:w="80" w:type="dxa"/>
            </w:tcMar>
            <w:vAlign w:val="center"/>
          </w:tcPr>
          <w:p w14:paraId="3C81B498" w14:textId="77777777" w:rsidR="00E46F45" w:rsidRDefault="00000000">
            <w:pPr>
              <w:spacing w:after="0"/>
            </w:pPr>
            <w:r>
              <w:rPr>
                <w:sz w:val="15"/>
              </w:rPr>
              <w:t>Enhancement-dominant</w:t>
            </w:r>
          </w:p>
        </w:tc>
        <w:tc>
          <w:tcPr>
            <w:tcW w:w="4752" w:type="dxa"/>
            <w:tcMar>
              <w:top w:w="80" w:type="dxa"/>
              <w:left w:w="80" w:type="dxa"/>
              <w:bottom w:w="80" w:type="dxa"/>
              <w:right w:w="80" w:type="dxa"/>
            </w:tcMar>
            <w:vAlign w:val="center"/>
          </w:tcPr>
          <w:p w14:paraId="56FA10AC" w14:textId="77777777" w:rsidR="00E46F45" w:rsidRDefault="00000000">
            <w:pPr>
              <w:spacing w:after="0"/>
            </w:pPr>
            <w:r>
              <w:rPr>
                <w:sz w:val="15"/>
              </w:rPr>
              <w:t>Putative vascularity-related radiomic phenotype before falsification.</w:t>
            </w:r>
          </w:p>
        </w:tc>
      </w:tr>
    </w:tbl>
    <w:p w14:paraId="0BB1B5B5" w14:textId="77777777" w:rsidR="00E46F45" w:rsidRDefault="00E46F45"/>
    <w:p w14:paraId="3B949C53" w14:textId="77777777" w:rsidR="00E46F45" w:rsidRDefault="00000000">
      <w:pPr>
        <w:pStyle w:val="Caption"/>
        <w:jc w:val="center"/>
      </w:pPr>
      <w:r>
        <w:t>Supplementary Table S5. Claim-status summary after falsification.</w:t>
      </w:r>
    </w:p>
    <w:tbl>
      <w:tblPr>
        <w:tblStyle w:val="TableGrid"/>
        <w:tblW w:w="0" w:type="auto"/>
        <w:jc w:val="center"/>
        <w:tblLook w:val="04A0" w:firstRow="1" w:lastRow="0" w:firstColumn="1" w:lastColumn="0" w:noHBand="0" w:noVBand="1"/>
      </w:tblPr>
      <w:tblGrid>
        <w:gridCol w:w="4456"/>
        <w:gridCol w:w="5614"/>
      </w:tblGrid>
      <w:tr w:rsidR="00E46F45" w14:paraId="68B50EA6" w14:textId="77777777">
        <w:trPr>
          <w:jc w:val="center"/>
        </w:trPr>
        <w:tc>
          <w:tcPr>
            <w:tcW w:w="4608" w:type="dxa"/>
            <w:shd w:val="clear" w:color="auto" w:fill="D9EAF7"/>
            <w:tcMar>
              <w:top w:w="80" w:type="dxa"/>
              <w:left w:w="80" w:type="dxa"/>
              <w:bottom w:w="80" w:type="dxa"/>
              <w:right w:w="80" w:type="dxa"/>
            </w:tcMar>
            <w:vAlign w:val="center"/>
          </w:tcPr>
          <w:p w14:paraId="4F3DDF23" w14:textId="77777777" w:rsidR="00E46F45" w:rsidRDefault="00000000">
            <w:pPr>
              <w:spacing w:after="0"/>
            </w:pPr>
            <w:r>
              <w:rPr>
                <w:sz w:val="16"/>
              </w:rPr>
              <w:t>Claim</w:t>
            </w:r>
          </w:p>
        </w:tc>
        <w:tc>
          <w:tcPr>
            <w:tcW w:w="5760" w:type="dxa"/>
            <w:shd w:val="clear" w:color="auto" w:fill="D9EAF7"/>
            <w:tcMar>
              <w:top w:w="80" w:type="dxa"/>
              <w:left w:w="80" w:type="dxa"/>
              <w:bottom w:w="80" w:type="dxa"/>
              <w:right w:w="80" w:type="dxa"/>
            </w:tcMar>
            <w:vAlign w:val="center"/>
          </w:tcPr>
          <w:p w14:paraId="13A62A65" w14:textId="77777777" w:rsidR="00E46F45" w:rsidRDefault="00000000">
            <w:pPr>
              <w:spacing w:after="0"/>
            </w:pPr>
            <w:r>
              <w:rPr>
                <w:sz w:val="16"/>
              </w:rPr>
              <w:t>Status in this cohort</w:t>
            </w:r>
          </w:p>
        </w:tc>
      </w:tr>
      <w:tr w:rsidR="00E46F45" w14:paraId="292D82B1" w14:textId="77777777">
        <w:trPr>
          <w:jc w:val="center"/>
        </w:trPr>
        <w:tc>
          <w:tcPr>
            <w:tcW w:w="4608" w:type="dxa"/>
            <w:tcMar>
              <w:top w:w="80" w:type="dxa"/>
              <w:left w:w="80" w:type="dxa"/>
              <w:bottom w:w="80" w:type="dxa"/>
              <w:right w:w="80" w:type="dxa"/>
            </w:tcMar>
            <w:vAlign w:val="center"/>
          </w:tcPr>
          <w:p w14:paraId="04FFEBB9" w14:textId="77777777" w:rsidR="00E46F45" w:rsidRDefault="00000000">
            <w:pPr>
              <w:spacing w:after="0"/>
            </w:pPr>
            <w:r>
              <w:rPr>
                <w:sz w:val="16"/>
              </w:rPr>
              <w:t>Raw two-cluster phenotype is internally stable</w:t>
            </w:r>
          </w:p>
        </w:tc>
        <w:tc>
          <w:tcPr>
            <w:tcW w:w="5760" w:type="dxa"/>
            <w:tcMar>
              <w:top w:w="80" w:type="dxa"/>
              <w:left w:w="80" w:type="dxa"/>
              <w:bottom w:w="80" w:type="dxa"/>
              <w:right w:w="80" w:type="dxa"/>
            </w:tcMar>
            <w:vAlign w:val="center"/>
          </w:tcPr>
          <w:p w14:paraId="6902BD85" w14:textId="77777777" w:rsidR="00E46F45" w:rsidRDefault="00000000">
            <w:pPr>
              <w:spacing w:after="0"/>
            </w:pPr>
            <w:r>
              <w:rPr>
                <w:sz w:val="16"/>
              </w:rPr>
              <w:t>Supported by bootstrap ARI.</w:t>
            </w:r>
          </w:p>
        </w:tc>
      </w:tr>
      <w:tr w:rsidR="00E46F45" w14:paraId="4C3100D4" w14:textId="77777777">
        <w:trPr>
          <w:jc w:val="center"/>
        </w:trPr>
        <w:tc>
          <w:tcPr>
            <w:tcW w:w="4608" w:type="dxa"/>
            <w:tcMar>
              <w:top w:w="80" w:type="dxa"/>
              <w:left w:w="80" w:type="dxa"/>
              <w:bottom w:w="80" w:type="dxa"/>
              <w:right w:w="80" w:type="dxa"/>
            </w:tcMar>
            <w:vAlign w:val="center"/>
          </w:tcPr>
          <w:p w14:paraId="51FB7EF1" w14:textId="77777777" w:rsidR="00E46F45" w:rsidRDefault="00000000">
            <w:pPr>
              <w:spacing w:after="0"/>
            </w:pPr>
            <w:r>
              <w:rPr>
                <w:sz w:val="16"/>
              </w:rPr>
              <w:t>Raw phenotype has vascularity-like feature appearance</w:t>
            </w:r>
          </w:p>
        </w:tc>
        <w:tc>
          <w:tcPr>
            <w:tcW w:w="5760" w:type="dxa"/>
            <w:tcMar>
              <w:top w:w="80" w:type="dxa"/>
              <w:left w:w="80" w:type="dxa"/>
              <w:bottom w:w="80" w:type="dxa"/>
              <w:right w:w="80" w:type="dxa"/>
            </w:tcMar>
            <w:vAlign w:val="center"/>
          </w:tcPr>
          <w:p w14:paraId="3841B7B2" w14:textId="77777777" w:rsidR="00E46F45" w:rsidRDefault="00000000">
            <w:pPr>
              <w:spacing w:after="0"/>
            </w:pPr>
            <w:r>
              <w:rPr>
                <w:sz w:val="16"/>
              </w:rPr>
              <w:t>Supported by SER/PE/enhancement-texture feature ranking, but treated only as a plausible counterexample.</w:t>
            </w:r>
          </w:p>
        </w:tc>
      </w:tr>
      <w:tr w:rsidR="00E46F45" w14:paraId="47F3394B" w14:textId="77777777">
        <w:trPr>
          <w:jc w:val="center"/>
        </w:trPr>
        <w:tc>
          <w:tcPr>
            <w:tcW w:w="4608" w:type="dxa"/>
            <w:tcMar>
              <w:top w:w="80" w:type="dxa"/>
              <w:left w:w="80" w:type="dxa"/>
              <w:bottom w:w="80" w:type="dxa"/>
              <w:right w:w="80" w:type="dxa"/>
            </w:tcMar>
            <w:vAlign w:val="center"/>
          </w:tcPr>
          <w:p w14:paraId="0EF9A4B4" w14:textId="77777777" w:rsidR="00E46F45" w:rsidRDefault="00000000">
            <w:pPr>
              <w:spacing w:after="0"/>
            </w:pPr>
            <w:r>
              <w:rPr>
                <w:sz w:val="16"/>
              </w:rPr>
              <w:t>Raw phenotype is an independent biological biomarker</w:t>
            </w:r>
          </w:p>
        </w:tc>
        <w:tc>
          <w:tcPr>
            <w:tcW w:w="5760" w:type="dxa"/>
            <w:tcMar>
              <w:top w:w="80" w:type="dxa"/>
              <w:left w:w="80" w:type="dxa"/>
              <w:bottom w:w="80" w:type="dxa"/>
              <w:right w:w="80" w:type="dxa"/>
            </w:tcMar>
            <w:vAlign w:val="center"/>
          </w:tcPr>
          <w:p w14:paraId="1A303F25" w14:textId="77777777" w:rsidR="00E46F45" w:rsidRDefault="00000000">
            <w:pPr>
              <w:spacing w:after="0"/>
            </w:pPr>
            <w:r>
              <w:rPr>
                <w:sz w:val="16"/>
              </w:rPr>
              <w:t>Not supported after technical adjudication.</w:t>
            </w:r>
          </w:p>
        </w:tc>
      </w:tr>
      <w:tr w:rsidR="00E46F45" w14:paraId="2E1F3C74" w14:textId="77777777">
        <w:trPr>
          <w:jc w:val="center"/>
        </w:trPr>
        <w:tc>
          <w:tcPr>
            <w:tcW w:w="4608" w:type="dxa"/>
            <w:tcMar>
              <w:top w:w="80" w:type="dxa"/>
              <w:left w:w="80" w:type="dxa"/>
              <w:bottom w:w="80" w:type="dxa"/>
              <w:right w:w="80" w:type="dxa"/>
            </w:tcMar>
            <w:vAlign w:val="center"/>
          </w:tcPr>
          <w:p w14:paraId="58E9DDB1" w14:textId="77777777" w:rsidR="00E46F45" w:rsidRDefault="00000000">
            <w:pPr>
              <w:spacing w:after="0"/>
            </w:pPr>
            <w:r>
              <w:rPr>
                <w:sz w:val="16"/>
              </w:rPr>
              <w:t>Leading PCs are more technical than subtype-linked</w:t>
            </w:r>
          </w:p>
        </w:tc>
        <w:tc>
          <w:tcPr>
            <w:tcW w:w="5760" w:type="dxa"/>
            <w:tcMar>
              <w:top w:w="80" w:type="dxa"/>
              <w:left w:w="80" w:type="dxa"/>
              <w:bottom w:w="80" w:type="dxa"/>
              <w:right w:w="80" w:type="dxa"/>
            </w:tcMar>
            <w:vAlign w:val="center"/>
          </w:tcPr>
          <w:p w14:paraId="1EEABB46" w14:textId="77777777" w:rsidR="00E46F45" w:rsidRDefault="00000000">
            <w:pPr>
              <w:spacing w:after="0"/>
            </w:pPr>
            <w:r>
              <w:rPr>
                <w:sz w:val="16"/>
              </w:rPr>
              <w:t>Supported by manufacturer/TR/TE/acquisition-matrix dominance.</w:t>
            </w:r>
          </w:p>
        </w:tc>
      </w:tr>
      <w:tr w:rsidR="00E46F45" w14:paraId="2281788A" w14:textId="77777777">
        <w:trPr>
          <w:jc w:val="center"/>
        </w:trPr>
        <w:tc>
          <w:tcPr>
            <w:tcW w:w="4608" w:type="dxa"/>
            <w:tcMar>
              <w:top w:w="80" w:type="dxa"/>
              <w:left w:w="80" w:type="dxa"/>
              <w:bottom w:w="80" w:type="dxa"/>
              <w:right w:w="80" w:type="dxa"/>
            </w:tcMar>
            <w:vAlign w:val="center"/>
          </w:tcPr>
          <w:p w14:paraId="7F5F07AD" w14:textId="77777777" w:rsidR="00E46F45" w:rsidRDefault="00000000">
            <w:pPr>
              <w:spacing w:after="0"/>
            </w:pPr>
            <w:r>
              <w:rPr>
                <w:sz w:val="16"/>
              </w:rPr>
              <w:t>Cluster stability and cluster identity are equivalent</w:t>
            </w:r>
          </w:p>
        </w:tc>
        <w:tc>
          <w:tcPr>
            <w:tcW w:w="5760" w:type="dxa"/>
            <w:tcMar>
              <w:top w:w="80" w:type="dxa"/>
              <w:left w:w="80" w:type="dxa"/>
              <w:bottom w:w="80" w:type="dxa"/>
              <w:right w:w="80" w:type="dxa"/>
            </w:tcMar>
            <w:vAlign w:val="center"/>
          </w:tcPr>
          <w:p w14:paraId="7BB67A5F" w14:textId="77777777" w:rsidR="00E46F45" w:rsidRDefault="00000000">
            <w:pPr>
              <w:spacing w:after="0"/>
            </w:pPr>
            <w:r>
              <w:rPr>
                <w:sz w:val="16"/>
              </w:rPr>
              <w:t>Refuted: harmonized partitions remain stable but lose raw identity.</w:t>
            </w:r>
          </w:p>
        </w:tc>
      </w:tr>
      <w:tr w:rsidR="00E46F45" w14:paraId="0D12AB0D" w14:textId="77777777">
        <w:trPr>
          <w:jc w:val="center"/>
        </w:trPr>
        <w:tc>
          <w:tcPr>
            <w:tcW w:w="4608" w:type="dxa"/>
            <w:tcMar>
              <w:top w:w="80" w:type="dxa"/>
              <w:left w:w="80" w:type="dxa"/>
              <w:bottom w:w="80" w:type="dxa"/>
              <w:right w:w="80" w:type="dxa"/>
            </w:tcMar>
            <w:vAlign w:val="center"/>
          </w:tcPr>
          <w:p w14:paraId="5BF9FA82" w14:textId="77777777" w:rsidR="00E46F45" w:rsidRDefault="00000000">
            <w:pPr>
              <w:spacing w:after="0"/>
            </w:pPr>
            <w:r>
              <w:rPr>
                <w:sz w:val="16"/>
              </w:rPr>
              <w:t>Residual post-harmonization structure is a validated biomarker</w:t>
            </w:r>
          </w:p>
        </w:tc>
        <w:tc>
          <w:tcPr>
            <w:tcW w:w="5760" w:type="dxa"/>
            <w:tcMar>
              <w:top w:w="80" w:type="dxa"/>
              <w:left w:w="80" w:type="dxa"/>
              <w:bottom w:w="80" w:type="dxa"/>
              <w:right w:w="80" w:type="dxa"/>
            </w:tcMar>
            <w:vAlign w:val="center"/>
          </w:tcPr>
          <w:p w14:paraId="200C25CB" w14:textId="77777777" w:rsidR="00E46F45" w:rsidRDefault="00000000">
            <w:pPr>
              <w:spacing w:after="0"/>
            </w:pPr>
            <w:r>
              <w:rPr>
                <w:sz w:val="16"/>
              </w:rPr>
              <w:t>Not supported; fails prespecified biomarker criteria.</w:t>
            </w:r>
          </w:p>
        </w:tc>
      </w:tr>
      <w:tr w:rsidR="00E46F45" w14:paraId="3FE9BD4E" w14:textId="77777777">
        <w:trPr>
          <w:jc w:val="center"/>
        </w:trPr>
        <w:tc>
          <w:tcPr>
            <w:tcW w:w="4608" w:type="dxa"/>
            <w:tcMar>
              <w:top w:w="80" w:type="dxa"/>
              <w:left w:w="80" w:type="dxa"/>
              <w:bottom w:w="80" w:type="dxa"/>
              <w:right w:w="80" w:type="dxa"/>
            </w:tcMar>
            <w:vAlign w:val="center"/>
          </w:tcPr>
          <w:p w14:paraId="2038BE15" w14:textId="77777777" w:rsidR="00E46F45" w:rsidRDefault="00000000">
            <w:pPr>
              <w:spacing w:after="0"/>
            </w:pPr>
            <w:r>
              <w:rPr>
                <w:sz w:val="16"/>
              </w:rPr>
              <w:t>The framework generalizes beyond breast MRI</w:t>
            </w:r>
          </w:p>
        </w:tc>
        <w:tc>
          <w:tcPr>
            <w:tcW w:w="5760" w:type="dxa"/>
            <w:tcMar>
              <w:top w:w="80" w:type="dxa"/>
              <w:left w:w="80" w:type="dxa"/>
              <w:bottom w:w="80" w:type="dxa"/>
              <w:right w:w="80" w:type="dxa"/>
            </w:tcMar>
            <w:vAlign w:val="center"/>
          </w:tcPr>
          <w:p w14:paraId="3BE0F37C" w14:textId="77777777" w:rsidR="00E46F45" w:rsidRDefault="00000000">
            <w:pPr>
              <w:spacing w:after="0"/>
            </w:pPr>
            <w:r>
              <w:rPr>
                <w:sz w:val="16"/>
              </w:rPr>
              <w:t>Methodologically applicable to multi-vendor and multicenter imaging settings.</w:t>
            </w:r>
          </w:p>
        </w:tc>
      </w:tr>
    </w:tbl>
    <w:p w14:paraId="05102A56" w14:textId="77777777" w:rsidR="00E46F45" w:rsidRDefault="00E46F45"/>
    <w:p w14:paraId="0AADC69D" w14:textId="77777777" w:rsidR="00022715" w:rsidRDefault="00022715"/>
    <w:p w14:paraId="5D16AC59" w14:textId="77777777" w:rsidR="00022715" w:rsidRDefault="00022715" w:rsidP="00337F7F">
      <w:pPr>
        <w:pStyle w:val="Heading1"/>
      </w:pPr>
      <w:r>
        <w:t>References</w:t>
      </w:r>
    </w:p>
    <w:p w14:paraId="11BD01B5" w14:textId="77777777" w:rsidR="00337F7F" w:rsidRDefault="00337F7F" w:rsidP="00022715"/>
    <w:p w14:paraId="1AF7255E"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Aerts, H. J., Velazquez, E. R., </w:t>
      </w:r>
      <w:proofErr w:type="spellStart"/>
      <w:r w:rsidRPr="005536E1">
        <w:rPr>
          <w:rFonts w:ascii="Times New Roman" w:hAnsi="Times New Roman" w:cs="Times New Roman"/>
          <w:sz w:val="24"/>
          <w:szCs w:val="24"/>
        </w:rPr>
        <w:t>Leijenaar</w:t>
      </w:r>
      <w:proofErr w:type="spellEnd"/>
      <w:r w:rsidRPr="005536E1">
        <w:rPr>
          <w:rFonts w:ascii="Times New Roman" w:hAnsi="Times New Roman" w:cs="Times New Roman"/>
          <w:sz w:val="24"/>
          <w:szCs w:val="24"/>
        </w:rPr>
        <w:t xml:space="preserve">, R. T., Parmar, C., Grossmann, P., Carvalho, S., ... &amp; Lambin, P. (2014). Decoding </w:t>
      </w:r>
      <w:proofErr w:type="spellStart"/>
      <w:r w:rsidRPr="005536E1">
        <w:rPr>
          <w:rFonts w:ascii="Times New Roman" w:hAnsi="Times New Roman" w:cs="Times New Roman"/>
          <w:sz w:val="24"/>
          <w:szCs w:val="24"/>
        </w:rPr>
        <w:t>tumour</w:t>
      </w:r>
      <w:proofErr w:type="spellEnd"/>
      <w:r w:rsidRPr="005536E1">
        <w:rPr>
          <w:rFonts w:ascii="Times New Roman" w:hAnsi="Times New Roman" w:cs="Times New Roman"/>
          <w:sz w:val="24"/>
          <w:szCs w:val="24"/>
        </w:rPr>
        <w:t xml:space="preserve"> phenotype by noninvasive imaging using a quantitative radiomics approach. </w:t>
      </w:r>
      <w:r w:rsidRPr="005536E1">
        <w:rPr>
          <w:rFonts w:ascii="Times New Roman" w:hAnsi="Times New Roman" w:cs="Times New Roman"/>
          <w:i/>
          <w:iCs/>
          <w:sz w:val="24"/>
          <w:szCs w:val="24"/>
        </w:rPr>
        <w:t>Nature communications</w:t>
      </w:r>
      <w:r w:rsidRPr="005536E1">
        <w:rPr>
          <w:rFonts w:ascii="Times New Roman" w:hAnsi="Times New Roman" w:cs="Times New Roman"/>
          <w:sz w:val="24"/>
          <w:szCs w:val="24"/>
        </w:rPr>
        <w:t>, </w:t>
      </w:r>
      <w:r w:rsidRPr="005536E1">
        <w:rPr>
          <w:rFonts w:ascii="Times New Roman" w:hAnsi="Times New Roman" w:cs="Times New Roman"/>
          <w:i/>
          <w:iCs/>
          <w:sz w:val="24"/>
          <w:szCs w:val="24"/>
        </w:rPr>
        <w:t>5</w:t>
      </w:r>
      <w:r w:rsidRPr="005536E1">
        <w:rPr>
          <w:rFonts w:ascii="Times New Roman" w:hAnsi="Times New Roman" w:cs="Times New Roman"/>
          <w:sz w:val="24"/>
          <w:szCs w:val="24"/>
        </w:rPr>
        <w:t>(1), 4006.</w:t>
      </w:r>
    </w:p>
    <w:p w14:paraId="16614BDC"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Berenguer, R., Pastor-Juan, M. D. R., Canales-Vázquez, J., Castro-García, M., Villas, M. V., Mansilla Legorburo, F., &amp; Sabater, S. (2018). Radiomics of CT features may be nonreproducible and redundant: influence of CT acquisition parameters. </w:t>
      </w:r>
      <w:r w:rsidRPr="005536E1">
        <w:rPr>
          <w:rFonts w:ascii="Times New Roman" w:hAnsi="Times New Roman" w:cs="Times New Roman"/>
          <w:i/>
          <w:iCs/>
          <w:sz w:val="24"/>
          <w:szCs w:val="24"/>
        </w:rPr>
        <w:t>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288</w:t>
      </w:r>
      <w:r w:rsidRPr="005536E1">
        <w:rPr>
          <w:rFonts w:ascii="Times New Roman" w:hAnsi="Times New Roman" w:cs="Times New Roman"/>
          <w:sz w:val="24"/>
          <w:szCs w:val="24"/>
        </w:rPr>
        <w:t>(2), 407-415.</w:t>
      </w:r>
    </w:p>
    <w:p w14:paraId="2DA8000E"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Bhooshan, N., Giger, M. L., Jansen, S. A., Li, H., Lan, L., &amp; Newstead, G. M. (2010). Cancerous breast lesions on dynamic contrast-enhanced MR images: computerized characterization for image-based prognostic markers. </w:t>
      </w:r>
      <w:r w:rsidRPr="005536E1">
        <w:rPr>
          <w:rFonts w:ascii="Times New Roman" w:hAnsi="Times New Roman" w:cs="Times New Roman"/>
          <w:i/>
          <w:iCs/>
          <w:sz w:val="24"/>
          <w:szCs w:val="24"/>
        </w:rPr>
        <w:t>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254</w:t>
      </w:r>
      <w:r w:rsidRPr="005536E1">
        <w:rPr>
          <w:rFonts w:ascii="Times New Roman" w:hAnsi="Times New Roman" w:cs="Times New Roman"/>
          <w:sz w:val="24"/>
          <w:szCs w:val="24"/>
        </w:rPr>
        <w:t>(3), 680-690.</w:t>
      </w:r>
    </w:p>
    <w:p w14:paraId="2116D75B"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Collins, G. S., Reitsma, J. B., Altman, D. G., &amp; Moons, K. G. (2015). Transparent reporting of a multivariable prediction model for individual prognosis or diagnosis (TRIPOD): the TRIPOD statement. </w:t>
      </w:r>
      <w:r w:rsidRPr="005536E1">
        <w:rPr>
          <w:rFonts w:ascii="Times New Roman" w:hAnsi="Times New Roman" w:cs="Times New Roman"/>
          <w:i/>
          <w:iCs/>
          <w:sz w:val="24"/>
          <w:szCs w:val="24"/>
        </w:rPr>
        <w:t>Journal of British Surgery</w:t>
      </w:r>
      <w:r w:rsidRPr="005536E1">
        <w:rPr>
          <w:rFonts w:ascii="Times New Roman" w:hAnsi="Times New Roman" w:cs="Times New Roman"/>
          <w:sz w:val="24"/>
          <w:szCs w:val="24"/>
        </w:rPr>
        <w:t>, </w:t>
      </w:r>
      <w:r w:rsidRPr="005536E1">
        <w:rPr>
          <w:rFonts w:ascii="Times New Roman" w:hAnsi="Times New Roman" w:cs="Times New Roman"/>
          <w:i/>
          <w:iCs/>
          <w:sz w:val="24"/>
          <w:szCs w:val="24"/>
        </w:rPr>
        <w:t>102</w:t>
      </w:r>
      <w:r w:rsidRPr="005536E1">
        <w:rPr>
          <w:rFonts w:ascii="Times New Roman" w:hAnsi="Times New Roman" w:cs="Times New Roman"/>
          <w:sz w:val="24"/>
          <w:szCs w:val="24"/>
        </w:rPr>
        <w:t>(3), 148-158.</w:t>
      </w:r>
    </w:p>
    <w:p w14:paraId="04506F5E"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Da-Ano, R., </w:t>
      </w:r>
      <w:proofErr w:type="spellStart"/>
      <w:r w:rsidRPr="005536E1">
        <w:rPr>
          <w:rFonts w:ascii="Times New Roman" w:hAnsi="Times New Roman" w:cs="Times New Roman"/>
          <w:sz w:val="24"/>
          <w:szCs w:val="24"/>
        </w:rPr>
        <w:t>Visvikis</w:t>
      </w:r>
      <w:proofErr w:type="spellEnd"/>
      <w:r w:rsidRPr="005536E1">
        <w:rPr>
          <w:rFonts w:ascii="Times New Roman" w:hAnsi="Times New Roman" w:cs="Times New Roman"/>
          <w:sz w:val="24"/>
          <w:szCs w:val="24"/>
        </w:rPr>
        <w:t>, D., &amp; Hatt, M. (2020). Harmonization strategies for multicenter radiomics investigations. </w:t>
      </w:r>
      <w:r w:rsidRPr="005536E1">
        <w:rPr>
          <w:rFonts w:ascii="Times New Roman" w:hAnsi="Times New Roman" w:cs="Times New Roman"/>
          <w:i/>
          <w:iCs/>
          <w:sz w:val="24"/>
          <w:szCs w:val="24"/>
        </w:rPr>
        <w:t>Physics in Medicine &amp; Biology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65</w:t>
      </w:r>
      <w:r w:rsidRPr="005536E1">
        <w:rPr>
          <w:rFonts w:ascii="Times New Roman" w:hAnsi="Times New Roman" w:cs="Times New Roman"/>
          <w:sz w:val="24"/>
          <w:szCs w:val="24"/>
        </w:rPr>
        <w:t>(24), 24TR02.</w:t>
      </w:r>
    </w:p>
    <w:p w14:paraId="1CCD0A32"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Doran, S. J., Kumar, S., Orton, M., d’Arcy, J., </w:t>
      </w:r>
      <w:proofErr w:type="spellStart"/>
      <w:r w:rsidRPr="005536E1">
        <w:rPr>
          <w:rFonts w:ascii="Times New Roman" w:hAnsi="Times New Roman" w:cs="Times New Roman"/>
          <w:sz w:val="24"/>
          <w:szCs w:val="24"/>
        </w:rPr>
        <w:t>Kwaks</w:t>
      </w:r>
      <w:proofErr w:type="spellEnd"/>
      <w:r w:rsidRPr="005536E1">
        <w:rPr>
          <w:rFonts w:ascii="Times New Roman" w:hAnsi="Times New Roman" w:cs="Times New Roman"/>
          <w:sz w:val="24"/>
          <w:szCs w:val="24"/>
        </w:rPr>
        <w:t>, F., O’Flynn, E., ... &amp; Koh, D. M. (2021). “Real-world” radiomics from multi-vendor MRI: an original retrospective study on the prediction of nodal status and disease survival in breast cancer, as an exemplar to promote discussion of the wider issues. </w:t>
      </w:r>
      <w:r w:rsidRPr="005536E1">
        <w:rPr>
          <w:rFonts w:ascii="Times New Roman" w:hAnsi="Times New Roman" w:cs="Times New Roman"/>
          <w:i/>
          <w:iCs/>
          <w:sz w:val="24"/>
          <w:szCs w:val="24"/>
        </w:rPr>
        <w:t>Cancer Imaging</w:t>
      </w:r>
      <w:r w:rsidRPr="005536E1">
        <w:rPr>
          <w:rFonts w:ascii="Times New Roman" w:hAnsi="Times New Roman" w:cs="Times New Roman"/>
          <w:sz w:val="24"/>
          <w:szCs w:val="24"/>
        </w:rPr>
        <w:t>, </w:t>
      </w:r>
      <w:r w:rsidRPr="005536E1">
        <w:rPr>
          <w:rFonts w:ascii="Times New Roman" w:hAnsi="Times New Roman" w:cs="Times New Roman"/>
          <w:i/>
          <w:iCs/>
          <w:sz w:val="24"/>
          <w:szCs w:val="24"/>
        </w:rPr>
        <w:t>21</w:t>
      </w:r>
      <w:r w:rsidRPr="005536E1">
        <w:rPr>
          <w:rFonts w:ascii="Times New Roman" w:hAnsi="Times New Roman" w:cs="Times New Roman"/>
          <w:sz w:val="24"/>
          <w:szCs w:val="24"/>
        </w:rPr>
        <w:t>(1), 37.</w:t>
      </w:r>
    </w:p>
    <w:p w14:paraId="010CD79D"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lastRenderedPageBreak/>
        <w:t xml:space="preserve">Duron, L., </w:t>
      </w:r>
      <w:proofErr w:type="spellStart"/>
      <w:r w:rsidRPr="005536E1">
        <w:rPr>
          <w:rFonts w:ascii="Times New Roman" w:hAnsi="Times New Roman" w:cs="Times New Roman"/>
          <w:sz w:val="24"/>
          <w:szCs w:val="24"/>
        </w:rPr>
        <w:t>Balvay</w:t>
      </w:r>
      <w:proofErr w:type="spellEnd"/>
      <w:r w:rsidRPr="005536E1">
        <w:rPr>
          <w:rFonts w:ascii="Times New Roman" w:hAnsi="Times New Roman" w:cs="Times New Roman"/>
          <w:sz w:val="24"/>
          <w:szCs w:val="24"/>
        </w:rPr>
        <w:t xml:space="preserve">, D., Vande Perre, S., </w:t>
      </w:r>
      <w:proofErr w:type="spellStart"/>
      <w:r w:rsidRPr="005536E1">
        <w:rPr>
          <w:rFonts w:ascii="Times New Roman" w:hAnsi="Times New Roman" w:cs="Times New Roman"/>
          <w:sz w:val="24"/>
          <w:szCs w:val="24"/>
        </w:rPr>
        <w:t>Bouchouicha</w:t>
      </w:r>
      <w:proofErr w:type="spellEnd"/>
      <w:r w:rsidRPr="005536E1">
        <w:rPr>
          <w:rFonts w:ascii="Times New Roman" w:hAnsi="Times New Roman" w:cs="Times New Roman"/>
          <w:sz w:val="24"/>
          <w:szCs w:val="24"/>
        </w:rPr>
        <w:t>, A., Savatovsky, J., Sadik, J. C., ... &amp; Lecler, A. (2019). Gray-level discretization impacts reproducible MRI radiomics texture features. </w:t>
      </w:r>
      <w:proofErr w:type="spellStart"/>
      <w:r w:rsidRPr="005536E1">
        <w:rPr>
          <w:rFonts w:ascii="Times New Roman" w:hAnsi="Times New Roman" w:cs="Times New Roman"/>
          <w:i/>
          <w:iCs/>
          <w:sz w:val="24"/>
          <w:szCs w:val="24"/>
        </w:rPr>
        <w:t>PLoS</w:t>
      </w:r>
      <w:proofErr w:type="spellEnd"/>
      <w:r w:rsidRPr="005536E1">
        <w:rPr>
          <w:rFonts w:ascii="Times New Roman" w:hAnsi="Times New Roman" w:cs="Times New Roman"/>
          <w:i/>
          <w:iCs/>
          <w:sz w:val="24"/>
          <w:szCs w:val="24"/>
        </w:rPr>
        <w:t xml:space="preserve"> One</w:t>
      </w:r>
      <w:r w:rsidRPr="005536E1">
        <w:rPr>
          <w:rFonts w:ascii="Times New Roman" w:hAnsi="Times New Roman" w:cs="Times New Roman"/>
          <w:sz w:val="24"/>
          <w:szCs w:val="24"/>
        </w:rPr>
        <w:t>, </w:t>
      </w:r>
      <w:r w:rsidRPr="005536E1">
        <w:rPr>
          <w:rFonts w:ascii="Times New Roman" w:hAnsi="Times New Roman" w:cs="Times New Roman"/>
          <w:i/>
          <w:iCs/>
          <w:sz w:val="24"/>
          <w:szCs w:val="24"/>
        </w:rPr>
        <w:t>14</w:t>
      </w:r>
      <w:r w:rsidRPr="005536E1">
        <w:rPr>
          <w:rFonts w:ascii="Times New Roman" w:hAnsi="Times New Roman" w:cs="Times New Roman"/>
          <w:sz w:val="24"/>
          <w:szCs w:val="24"/>
        </w:rPr>
        <w:t>(3), e0213459.</w:t>
      </w:r>
    </w:p>
    <w:p w14:paraId="64B86565"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Fortin, J. P., Cullen, N., Sheline, Y. I., Taylor, W. D., </w:t>
      </w:r>
      <w:proofErr w:type="spellStart"/>
      <w:r w:rsidRPr="005536E1">
        <w:rPr>
          <w:rFonts w:ascii="Times New Roman" w:hAnsi="Times New Roman" w:cs="Times New Roman"/>
          <w:sz w:val="24"/>
          <w:szCs w:val="24"/>
        </w:rPr>
        <w:t>Aselcioglu</w:t>
      </w:r>
      <w:proofErr w:type="spellEnd"/>
      <w:r w:rsidRPr="005536E1">
        <w:rPr>
          <w:rFonts w:ascii="Times New Roman" w:hAnsi="Times New Roman" w:cs="Times New Roman"/>
          <w:sz w:val="24"/>
          <w:szCs w:val="24"/>
        </w:rPr>
        <w:t>, I., Cook, P. A., ... &amp; Shinohara, R. T. (2018). Harmonization of cortical thickness measurements across scanners and sites. </w:t>
      </w:r>
      <w:r w:rsidRPr="005536E1">
        <w:rPr>
          <w:rFonts w:ascii="Times New Roman" w:hAnsi="Times New Roman" w:cs="Times New Roman"/>
          <w:i/>
          <w:iCs/>
          <w:sz w:val="24"/>
          <w:szCs w:val="24"/>
        </w:rPr>
        <w:t>Neuroimage</w:t>
      </w:r>
      <w:r w:rsidRPr="005536E1">
        <w:rPr>
          <w:rFonts w:ascii="Times New Roman" w:hAnsi="Times New Roman" w:cs="Times New Roman"/>
          <w:sz w:val="24"/>
          <w:szCs w:val="24"/>
        </w:rPr>
        <w:t>, </w:t>
      </w:r>
      <w:r w:rsidRPr="005536E1">
        <w:rPr>
          <w:rFonts w:ascii="Times New Roman" w:hAnsi="Times New Roman" w:cs="Times New Roman"/>
          <w:i/>
          <w:iCs/>
          <w:sz w:val="24"/>
          <w:szCs w:val="24"/>
        </w:rPr>
        <w:t>167</w:t>
      </w:r>
      <w:r w:rsidRPr="005536E1">
        <w:rPr>
          <w:rFonts w:ascii="Times New Roman" w:hAnsi="Times New Roman" w:cs="Times New Roman"/>
          <w:sz w:val="24"/>
          <w:szCs w:val="24"/>
        </w:rPr>
        <w:t>, 104-120.</w:t>
      </w:r>
    </w:p>
    <w:p w14:paraId="1116B8D9"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Gillies, R. J., Kinahan, P. E., &amp; </w:t>
      </w:r>
      <w:proofErr w:type="spellStart"/>
      <w:r w:rsidRPr="005536E1">
        <w:rPr>
          <w:rFonts w:ascii="Times New Roman" w:hAnsi="Times New Roman" w:cs="Times New Roman"/>
          <w:sz w:val="24"/>
          <w:szCs w:val="24"/>
        </w:rPr>
        <w:t>Hricak</w:t>
      </w:r>
      <w:proofErr w:type="spellEnd"/>
      <w:r w:rsidRPr="005536E1">
        <w:rPr>
          <w:rFonts w:ascii="Times New Roman" w:hAnsi="Times New Roman" w:cs="Times New Roman"/>
          <w:sz w:val="24"/>
          <w:szCs w:val="24"/>
        </w:rPr>
        <w:t>, H. (2016). Radiomics: images are more than pictures, they are data. </w:t>
      </w:r>
      <w:r w:rsidRPr="005536E1">
        <w:rPr>
          <w:rFonts w:ascii="Times New Roman" w:hAnsi="Times New Roman" w:cs="Times New Roman"/>
          <w:i/>
          <w:iCs/>
          <w:sz w:val="24"/>
          <w:szCs w:val="24"/>
        </w:rPr>
        <w:t>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278</w:t>
      </w:r>
      <w:r w:rsidRPr="005536E1">
        <w:rPr>
          <w:rFonts w:ascii="Times New Roman" w:hAnsi="Times New Roman" w:cs="Times New Roman"/>
          <w:sz w:val="24"/>
          <w:szCs w:val="24"/>
        </w:rPr>
        <w:t>(2), 563-577.</w:t>
      </w:r>
    </w:p>
    <w:p w14:paraId="2FBE2404"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Handl, J., Knowles, J., &amp; Kell, D. B. (2005). Computational cluster validation in post-genomic data analysis. </w:t>
      </w:r>
      <w:r w:rsidRPr="005536E1">
        <w:rPr>
          <w:rFonts w:ascii="Times New Roman" w:hAnsi="Times New Roman" w:cs="Times New Roman"/>
          <w:i/>
          <w:iCs/>
          <w:sz w:val="24"/>
          <w:szCs w:val="24"/>
        </w:rPr>
        <w:t>Bioinformatics</w:t>
      </w:r>
      <w:r w:rsidRPr="005536E1">
        <w:rPr>
          <w:rFonts w:ascii="Times New Roman" w:hAnsi="Times New Roman" w:cs="Times New Roman"/>
          <w:sz w:val="24"/>
          <w:szCs w:val="24"/>
        </w:rPr>
        <w:t>, </w:t>
      </w:r>
      <w:r w:rsidRPr="005536E1">
        <w:rPr>
          <w:rFonts w:ascii="Times New Roman" w:hAnsi="Times New Roman" w:cs="Times New Roman"/>
          <w:i/>
          <w:iCs/>
          <w:sz w:val="24"/>
          <w:szCs w:val="24"/>
        </w:rPr>
        <w:t>21</w:t>
      </w:r>
      <w:r w:rsidRPr="005536E1">
        <w:rPr>
          <w:rFonts w:ascii="Times New Roman" w:hAnsi="Times New Roman" w:cs="Times New Roman"/>
          <w:sz w:val="24"/>
          <w:szCs w:val="24"/>
        </w:rPr>
        <w:t>(15), 3201-3212.</w:t>
      </w:r>
    </w:p>
    <w:p w14:paraId="2C78765C"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Johnson, W. E., Li, C., &amp; </w:t>
      </w:r>
      <w:proofErr w:type="spellStart"/>
      <w:r w:rsidRPr="005536E1">
        <w:rPr>
          <w:rFonts w:ascii="Times New Roman" w:hAnsi="Times New Roman" w:cs="Times New Roman"/>
          <w:sz w:val="24"/>
          <w:szCs w:val="24"/>
        </w:rPr>
        <w:t>Rabinovic</w:t>
      </w:r>
      <w:proofErr w:type="spellEnd"/>
      <w:r w:rsidRPr="005536E1">
        <w:rPr>
          <w:rFonts w:ascii="Times New Roman" w:hAnsi="Times New Roman" w:cs="Times New Roman"/>
          <w:sz w:val="24"/>
          <w:szCs w:val="24"/>
        </w:rPr>
        <w:t>, A. (2007). Adjusting batch effects in microarray expression data using empirical Bayes methods. </w:t>
      </w:r>
      <w:r w:rsidRPr="005536E1">
        <w:rPr>
          <w:rFonts w:ascii="Times New Roman" w:hAnsi="Times New Roman" w:cs="Times New Roman"/>
          <w:i/>
          <w:iCs/>
          <w:sz w:val="24"/>
          <w:szCs w:val="24"/>
        </w:rPr>
        <w:t>Biostatistics</w:t>
      </w:r>
      <w:r w:rsidRPr="005536E1">
        <w:rPr>
          <w:rFonts w:ascii="Times New Roman" w:hAnsi="Times New Roman" w:cs="Times New Roman"/>
          <w:sz w:val="24"/>
          <w:szCs w:val="24"/>
        </w:rPr>
        <w:t>, </w:t>
      </w:r>
      <w:r w:rsidRPr="005536E1">
        <w:rPr>
          <w:rFonts w:ascii="Times New Roman" w:hAnsi="Times New Roman" w:cs="Times New Roman"/>
          <w:i/>
          <w:iCs/>
          <w:sz w:val="24"/>
          <w:szCs w:val="24"/>
        </w:rPr>
        <w:t>8</w:t>
      </w:r>
      <w:r w:rsidRPr="005536E1">
        <w:rPr>
          <w:rFonts w:ascii="Times New Roman" w:hAnsi="Times New Roman" w:cs="Times New Roman"/>
          <w:sz w:val="24"/>
          <w:szCs w:val="24"/>
        </w:rPr>
        <w:t>(1), 118-127.</w:t>
      </w:r>
    </w:p>
    <w:p w14:paraId="24617726" w14:textId="77777777" w:rsidR="00337F7F" w:rsidRPr="005536E1" w:rsidRDefault="00337F7F" w:rsidP="00337F7F">
      <w:pPr>
        <w:rPr>
          <w:rFonts w:ascii="Times New Roman" w:hAnsi="Times New Roman" w:cs="Times New Roman"/>
          <w:sz w:val="24"/>
          <w:szCs w:val="24"/>
        </w:rPr>
      </w:pPr>
      <w:r w:rsidRPr="005536E1">
        <w:rPr>
          <w:rFonts w:ascii="Times New Roman" w:hAnsi="Times New Roman" w:cs="Times New Roman"/>
          <w:sz w:val="24"/>
          <w:szCs w:val="24"/>
        </w:rPr>
        <w:t xml:space="preserve">Lambin, P., Rios-Velazquez, E., </w:t>
      </w:r>
      <w:proofErr w:type="spellStart"/>
      <w:r w:rsidRPr="005536E1">
        <w:rPr>
          <w:rFonts w:ascii="Times New Roman" w:hAnsi="Times New Roman" w:cs="Times New Roman"/>
          <w:sz w:val="24"/>
          <w:szCs w:val="24"/>
        </w:rPr>
        <w:t>Leijenaar</w:t>
      </w:r>
      <w:proofErr w:type="spellEnd"/>
      <w:r w:rsidRPr="005536E1">
        <w:rPr>
          <w:rFonts w:ascii="Times New Roman" w:hAnsi="Times New Roman" w:cs="Times New Roman"/>
          <w:sz w:val="24"/>
          <w:szCs w:val="24"/>
        </w:rPr>
        <w:t xml:space="preserve">, R., Carvalho, S., Van </w:t>
      </w:r>
      <w:proofErr w:type="spellStart"/>
      <w:r w:rsidRPr="005536E1">
        <w:rPr>
          <w:rFonts w:ascii="Times New Roman" w:hAnsi="Times New Roman" w:cs="Times New Roman"/>
          <w:sz w:val="24"/>
          <w:szCs w:val="24"/>
        </w:rPr>
        <w:t>Stiphout</w:t>
      </w:r>
      <w:proofErr w:type="spellEnd"/>
      <w:r w:rsidRPr="005536E1">
        <w:rPr>
          <w:rFonts w:ascii="Times New Roman" w:hAnsi="Times New Roman" w:cs="Times New Roman"/>
          <w:sz w:val="24"/>
          <w:szCs w:val="24"/>
        </w:rPr>
        <w:t xml:space="preserve">, R. G., </w:t>
      </w:r>
      <w:proofErr w:type="spellStart"/>
      <w:r w:rsidRPr="005536E1">
        <w:rPr>
          <w:rFonts w:ascii="Times New Roman" w:hAnsi="Times New Roman" w:cs="Times New Roman"/>
          <w:sz w:val="24"/>
          <w:szCs w:val="24"/>
        </w:rPr>
        <w:t>Granton</w:t>
      </w:r>
      <w:proofErr w:type="spellEnd"/>
      <w:r w:rsidRPr="005536E1">
        <w:rPr>
          <w:rFonts w:ascii="Times New Roman" w:hAnsi="Times New Roman" w:cs="Times New Roman"/>
          <w:sz w:val="24"/>
          <w:szCs w:val="24"/>
        </w:rPr>
        <w:t>, P., ... &amp; Aerts, H. J. (2012). Radiomics: extracting more information from medical images using advanced feature analysis. </w:t>
      </w:r>
      <w:r w:rsidRPr="005536E1">
        <w:rPr>
          <w:rFonts w:ascii="Times New Roman" w:hAnsi="Times New Roman" w:cs="Times New Roman"/>
          <w:i/>
          <w:iCs/>
          <w:sz w:val="24"/>
          <w:szCs w:val="24"/>
        </w:rPr>
        <w:t>European journal of cancer</w:t>
      </w:r>
      <w:r w:rsidRPr="005536E1">
        <w:rPr>
          <w:rFonts w:ascii="Times New Roman" w:hAnsi="Times New Roman" w:cs="Times New Roman"/>
          <w:sz w:val="24"/>
          <w:szCs w:val="24"/>
        </w:rPr>
        <w:t>, </w:t>
      </w:r>
      <w:r w:rsidRPr="005536E1">
        <w:rPr>
          <w:rFonts w:ascii="Times New Roman" w:hAnsi="Times New Roman" w:cs="Times New Roman"/>
          <w:i/>
          <w:iCs/>
          <w:sz w:val="24"/>
          <w:szCs w:val="24"/>
        </w:rPr>
        <w:t>48</w:t>
      </w:r>
      <w:r w:rsidRPr="005536E1">
        <w:rPr>
          <w:rFonts w:ascii="Times New Roman" w:hAnsi="Times New Roman" w:cs="Times New Roman"/>
          <w:sz w:val="24"/>
          <w:szCs w:val="24"/>
        </w:rPr>
        <w:t>(4), 441-446.</w:t>
      </w:r>
    </w:p>
    <w:p w14:paraId="4A24AA78" w14:textId="77777777" w:rsidR="00337F7F" w:rsidRPr="005536E1" w:rsidRDefault="00337F7F" w:rsidP="00022715">
      <w:pPr>
        <w:rPr>
          <w:rFonts w:ascii="Times New Roman" w:hAnsi="Times New Roman" w:cs="Times New Roman"/>
          <w:sz w:val="24"/>
          <w:szCs w:val="24"/>
        </w:rPr>
      </w:pPr>
      <w:proofErr w:type="spellStart"/>
      <w:r w:rsidRPr="005536E1">
        <w:rPr>
          <w:rFonts w:ascii="Times New Roman" w:hAnsi="Times New Roman" w:cs="Times New Roman"/>
          <w:sz w:val="24"/>
          <w:szCs w:val="24"/>
        </w:rPr>
        <w:t>Leijenaar</w:t>
      </w:r>
      <w:proofErr w:type="spellEnd"/>
      <w:r w:rsidRPr="005536E1">
        <w:rPr>
          <w:rFonts w:ascii="Times New Roman" w:hAnsi="Times New Roman" w:cs="Times New Roman"/>
          <w:sz w:val="24"/>
          <w:szCs w:val="24"/>
        </w:rPr>
        <w:t xml:space="preserve">, R. T., </w:t>
      </w:r>
      <w:proofErr w:type="spellStart"/>
      <w:r w:rsidRPr="005536E1">
        <w:rPr>
          <w:rFonts w:ascii="Times New Roman" w:hAnsi="Times New Roman" w:cs="Times New Roman"/>
          <w:sz w:val="24"/>
          <w:szCs w:val="24"/>
        </w:rPr>
        <w:t>Nalbantov</w:t>
      </w:r>
      <w:proofErr w:type="spellEnd"/>
      <w:r w:rsidRPr="005536E1">
        <w:rPr>
          <w:rFonts w:ascii="Times New Roman" w:hAnsi="Times New Roman" w:cs="Times New Roman"/>
          <w:sz w:val="24"/>
          <w:szCs w:val="24"/>
        </w:rPr>
        <w:t xml:space="preserve">, G., Carvalho, S., Van Elmpt, W. J., Troost, E. G., </w:t>
      </w:r>
      <w:proofErr w:type="spellStart"/>
      <w:r w:rsidRPr="005536E1">
        <w:rPr>
          <w:rFonts w:ascii="Times New Roman" w:hAnsi="Times New Roman" w:cs="Times New Roman"/>
          <w:sz w:val="24"/>
          <w:szCs w:val="24"/>
        </w:rPr>
        <w:t>Boellaard</w:t>
      </w:r>
      <w:proofErr w:type="spellEnd"/>
      <w:r w:rsidRPr="005536E1">
        <w:rPr>
          <w:rFonts w:ascii="Times New Roman" w:hAnsi="Times New Roman" w:cs="Times New Roman"/>
          <w:sz w:val="24"/>
          <w:szCs w:val="24"/>
        </w:rPr>
        <w:t>, R., ... &amp; Lambin, P. (2015). The effect of SUV discretization in quantitative FDG-PET Radiomics: the need for standardized methodology in tumor texture analysis. </w:t>
      </w:r>
      <w:r w:rsidRPr="005536E1">
        <w:rPr>
          <w:rFonts w:ascii="Times New Roman" w:hAnsi="Times New Roman" w:cs="Times New Roman"/>
          <w:i/>
          <w:iCs/>
          <w:sz w:val="24"/>
          <w:szCs w:val="24"/>
        </w:rPr>
        <w:t>Scientific reports</w:t>
      </w:r>
      <w:r w:rsidRPr="005536E1">
        <w:rPr>
          <w:rFonts w:ascii="Times New Roman" w:hAnsi="Times New Roman" w:cs="Times New Roman"/>
          <w:sz w:val="24"/>
          <w:szCs w:val="24"/>
        </w:rPr>
        <w:t>, </w:t>
      </w:r>
      <w:r w:rsidRPr="005536E1">
        <w:rPr>
          <w:rFonts w:ascii="Times New Roman" w:hAnsi="Times New Roman" w:cs="Times New Roman"/>
          <w:i/>
          <w:iCs/>
          <w:sz w:val="24"/>
          <w:szCs w:val="24"/>
        </w:rPr>
        <w:t>5</w:t>
      </w:r>
      <w:r w:rsidRPr="005536E1">
        <w:rPr>
          <w:rFonts w:ascii="Times New Roman" w:hAnsi="Times New Roman" w:cs="Times New Roman"/>
          <w:sz w:val="24"/>
          <w:szCs w:val="24"/>
        </w:rPr>
        <w:t>(1), 11075.</w:t>
      </w:r>
    </w:p>
    <w:p w14:paraId="7BACAA3D" w14:textId="77777777" w:rsidR="00337F7F" w:rsidRPr="005536E1" w:rsidRDefault="00337F7F" w:rsidP="00337F7F">
      <w:pPr>
        <w:rPr>
          <w:rFonts w:ascii="Times New Roman" w:hAnsi="Times New Roman" w:cs="Times New Roman"/>
          <w:sz w:val="24"/>
          <w:szCs w:val="24"/>
        </w:rPr>
      </w:pPr>
      <w:r w:rsidRPr="005536E1">
        <w:rPr>
          <w:rFonts w:ascii="Times New Roman" w:hAnsi="Times New Roman" w:cs="Times New Roman"/>
          <w:sz w:val="24"/>
          <w:szCs w:val="24"/>
        </w:rPr>
        <w:t xml:space="preserve">Li, H., Galperin-Aizenberg, M., Pryma, D., Simone II, C. B., &amp; Fan, Y. (2018). Unsupervised machine learning of radiomic features for predicting treatment response and overall survival of </w:t>
      </w:r>
      <w:proofErr w:type="gramStart"/>
      <w:r w:rsidRPr="005536E1">
        <w:rPr>
          <w:rFonts w:ascii="Times New Roman" w:hAnsi="Times New Roman" w:cs="Times New Roman"/>
          <w:sz w:val="24"/>
          <w:szCs w:val="24"/>
        </w:rPr>
        <w:t>early stage</w:t>
      </w:r>
      <w:proofErr w:type="gramEnd"/>
      <w:r w:rsidRPr="005536E1">
        <w:rPr>
          <w:rFonts w:ascii="Times New Roman" w:hAnsi="Times New Roman" w:cs="Times New Roman"/>
          <w:sz w:val="24"/>
          <w:szCs w:val="24"/>
        </w:rPr>
        <w:t xml:space="preserve"> non-small cell lung cancer patients treated with stereotactic body radiation therapy. </w:t>
      </w:r>
      <w:r w:rsidRPr="005536E1">
        <w:rPr>
          <w:rFonts w:ascii="Times New Roman" w:hAnsi="Times New Roman" w:cs="Times New Roman"/>
          <w:i/>
          <w:iCs/>
          <w:sz w:val="24"/>
          <w:szCs w:val="24"/>
        </w:rPr>
        <w:t>Radiotherapy and Oncology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129</w:t>
      </w:r>
      <w:r w:rsidRPr="005536E1">
        <w:rPr>
          <w:rFonts w:ascii="Times New Roman" w:hAnsi="Times New Roman" w:cs="Times New Roman"/>
          <w:sz w:val="24"/>
          <w:szCs w:val="24"/>
        </w:rPr>
        <w:t>(2), 218-226.</w:t>
      </w:r>
    </w:p>
    <w:p w14:paraId="2A0BCE89"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Lozano-Montoya, J., &amp; Jimenez-Pastor, A. (2024). Harmonization in the Features Domain. In </w:t>
      </w:r>
      <w:r w:rsidRPr="005536E1">
        <w:rPr>
          <w:rFonts w:ascii="Times New Roman" w:hAnsi="Times New Roman" w:cs="Times New Roman"/>
          <w:i/>
          <w:iCs/>
          <w:sz w:val="24"/>
          <w:szCs w:val="24"/>
        </w:rPr>
        <w:t>Basics of Image Processing: The Facts and Challenges of Data Harmonization to Improve Radiomics Reproducibility</w:t>
      </w:r>
      <w:r w:rsidRPr="005536E1">
        <w:rPr>
          <w:rFonts w:ascii="Times New Roman" w:hAnsi="Times New Roman" w:cs="Times New Roman"/>
          <w:sz w:val="24"/>
          <w:szCs w:val="24"/>
        </w:rPr>
        <w:t> (pp. 145-166). Cham: Springer International Publishing.</w:t>
      </w:r>
    </w:p>
    <w:p w14:paraId="21FF38A9"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Lu, L., Ahmed, F. S., Akin, O., Luk, L., Guo, X., Yang, H., ... &amp; Zhao, B. (2021). Uncontrolled confounders may lead to false or overvalued radiomics signature: a </w:t>
      </w:r>
      <w:proofErr w:type="gramStart"/>
      <w:r w:rsidRPr="005536E1">
        <w:rPr>
          <w:rFonts w:ascii="Times New Roman" w:hAnsi="Times New Roman" w:cs="Times New Roman"/>
          <w:sz w:val="24"/>
          <w:szCs w:val="24"/>
        </w:rPr>
        <w:t>proof of concept</w:t>
      </w:r>
      <w:proofErr w:type="gramEnd"/>
      <w:r w:rsidRPr="005536E1">
        <w:rPr>
          <w:rFonts w:ascii="Times New Roman" w:hAnsi="Times New Roman" w:cs="Times New Roman"/>
          <w:sz w:val="24"/>
          <w:szCs w:val="24"/>
        </w:rPr>
        <w:t xml:space="preserve"> using survival analysis in a multicenter cohort of kidney cancer. </w:t>
      </w:r>
      <w:r w:rsidRPr="005536E1">
        <w:rPr>
          <w:rFonts w:ascii="Times New Roman" w:hAnsi="Times New Roman" w:cs="Times New Roman"/>
          <w:i/>
          <w:iCs/>
          <w:sz w:val="24"/>
          <w:szCs w:val="24"/>
        </w:rPr>
        <w:t>Frontiers in Oncology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11</w:t>
      </w:r>
      <w:r w:rsidRPr="005536E1">
        <w:rPr>
          <w:rFonts w:ascii="Times New Roman" w:hAnsi="Times New Roman" w:cs="Times New Roman"/>
          <w:sz w:val="24"/>
          <w:szCs w:val="24"/>
        </w:rPr>
        <w:t>, 638185.</w:t>
      </w:r>
    </w:p>
    <w:p w14:paraId="572D6B88"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Mackin, D., </w:t>
      </w:r>
      <w:proofErr w:type="spellStart"/>
      <w:r w:rsidRPr="005536E1">
        <w:rPr>
          <w:rFonts w:ascii="Times New Roman" w:hAnsi="Times New Roman" w:cs="Times New Roman"/>
          <w:sz w:val="24"/>
          <w:szCs w:val="24"/>
        </w:rPr>
        <w:t>Fave</w:t>
      </w:r>
      <w:proofErr w:type="spellEnd"/>
      <w:r w:rsidRPr="005536E1">
        <w:rPr>
          <w:rFonts w:ascii="Times New Roman" w:hAnsi="Times New Roman" w:cs="Times New Roman"/>
          <w:sz w:val="24"/>
          <w:szCs w:val="24"/>
        </w:rPr>
        <w:t>, X., Zhang, L., Fried, D., Yang, J., Taylor, B., ... &amp; Jones, A. K. (2015). Measuring computed tomography scanner variability of radiomics features. </w:t>
      </w:r>
      <w:r w:rsidRPr="005536E1">
        <w:rPr>
          <w:rFonts w:ascii="Times New Roman" w:hAnsi="Times New Roman" w:cs="Times New Roman"/>
          <w:i/>
          <w:iCs/>
          <w:sz w:val="24"/>
          <w:szCs w:val="24"/>
        </w:rPr>
        <w:t>Investigative 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50</w:t>
      </w:r>
      <w:r w:rsidRPr="005536E1">
        <w:rPr>
          <w:rFonts w:ascii="Times New Roman" w:hAnsi="Times New Roman" w:cs="Times New Roman"/>
          <w:sz w:val="24"/>
          <w:szCs w:val="24"/>
        </w:rPr>
        <w:t>(11), 757-765.</w:t>
      </w:r>
    </w:p>
    <w:p w14:paraId="04832CD5" w14:textId="77777777" w:rsidR="00337F7F" w:rsidRPr="005536E1" w:rsidRDefault="00337F7F" w:rsidP="00022715">
      <w:pPr>
        <w:rPr>
          <w:rFonts w:ascii="Times New Roman" w:hAnsi="Times New Roman" w:cs="Times New Roman"/>
          <w:sz w:val="24"/>
          <w:szCs w:val="24"/>
        </w:rPr>
      </w:pPr>
      <w:proofErr w:type="spellStart"/>
      <w:r w:rsidRPr="005536E1">
        <w:rPr>
          <w:rFonts w:ascii="Times New Roman" w:hAnsi="Times New Roman" w:cs="Times New Roman"/>
          <w:sz w:val="24"/>
          <w:szCs w:val="24"/>
        </w:rPr>
        <w:t>Mayerhoefer</w:t>
      </w:r>
      <w:proofErr w:type="spellEnd"/>
      <w:r w:rsidRPr="005536E1">
        <w:rPr>
          <w:rFonts w:ascii="Times New Roman" w:hAnsi="Times New Roman" w:cs="Times New Roman"/>
          <w:sz w:val="24"/>
          <w:szCs w:val="24"/>
        </w:rPr>
        <w:t>, M. E. (2022). Impact of ComBat harmonization on PET radiomics-based tissue classification: a dual-center PET/MRI and PET/CT study. </w:t>
      </w:r>
      <w:r w:rsidRPr="005536E1">
        <w:rPr>
          <w:rFonts w:ascii="Times New Roman" w:hAnsi="Times New Roman" w:cs="Times New Roman"/>
          <w:i/>
          <w:iCs/>
          <w:sz w:val="24"/>
          <w:szCs w:val="24"/>
        </w:rPr>
        <w:t>Journal of Nuclear Medicine</w:t>
      </w:r>
      <w:r w:rsidRPr="005536E1">
        <w:rPr>
          <w:rFonts w:ascii="Times New Roman" w:hAnsi="Times New Roman" w:cs="Times New Roman"/>
          <w:sz w:val="24"/>
          <w:szCs w:val="24"/>
        </w:rPr>
        <w:t>, </w:t>
      </w:r>
      <w:r w:rsidRPr="005536E1">
        <w:rPr>
          <w:rFonts w:ascii="Times New Roman" w:hAnsi="Times New Roman" w:cs="Times New Roman"/>
          <w:i/>
          <w:iCs/>
          <w:sz w:val="24"/>
          <w:szCs w:val="24"/>
        </w:rPr>
        <w:t>63</w:t>
      </w:r>
      <w:r w:rsidRPr="005536E1">
        <w:rPr>
          <w:rFonts w:ascii="Times New Roman" w:hAnsi="Times New Roman" w:cs="Times New Roman"/>
          <w:sz w:val="24"/>
          <w:szCs w:val="24"/>
        </w:rPr>
        <w:t>(10), 1611-1616.</w:t>
      </w:r>
    </w:p>
    <w:p w14:paraId="375B947D" w14:textId="77777777" w:rsidR="00337F7F" w:rsidRPr="005536E1" w:rsidRDefault="00337F7F" w:rsidP="00022715">
      <w:pPr>
        <w:rPr>
          <w:rFonts w:ascii="Times New Roman" w:hAnsi="Times New Roman" w:cs="Times New Roman"/>
          <w:sz w:val="24"/>
          <w:szCs w:val="24"/>
        </w:rPr>
      </w:pPr>
      <w:proofErr w:type="spellStart"/>
      <w:r w:rsidRPr="005536E1">
        <w:rPr>
          <w:rFonts w:ascii="Times New Roman" w:hAnsi="Times New Roman" w:cs="Times New Roman"/>
          <w:sz w:val="24"/>
          <w:szCs w:val="24"/>
        </w:rPr>
        <w:t>Nyúl</w:t>
      </w:r>
      <w:proofErr w:type="spellEnd"/>
      <w:r w:rsidRPr="005536E1">
        <w:rPr>
          <w:rFonts w:ascii="Times New Roman" w:hAnsi="Times New Roman" w:cs="Times New Roman"/>
          <w:sz w:val="24"/>
          <w:szCs w:val="24"/>
        </w:rPr>
        <w:t>, L. G., &amp; Udupa, J. K. (1999). On standardizing the MR image intensity scale. </w:t>
      </w:r>
      <w:r w:rsidRPr="005536E1">
        <w:rPr>
          <w:rFonts w:ascii="Times New Roman" w:hAnsi="Times New Roman" w:cs="Times New Roman"/>
          <w:i/>
          <w:iCs/>
          <w:sz w:val="24"/>
          <w:szCs w:val="24"/>
        </w:rPr>
        <w:t>Magnetic Resonance in Medicine: An Official Journal of the International Society for Magnetic Resonance in Medicine</w:t>
      </w:r>
      <w:r w:rsidRPr="005536E1">
        <w:rPr>
          <w:rFonts w:ascii="Times New Roman" w:hAnsi="Times New Roman" w:cs="Times New Roman"/>
          <w:sz w:val="24"/>
          <w:szCs w:val="24"/>
        </w:rPr>
        <w:t>, </w:t>
      </w:r>
      <w:r w:rsidRPr="005536E1">
        <w:rPr>
          <w:rFonts w:ascii="Times New Roman" w:hAnsi="Times New Roman" w:cs="Times New Roman"/>
          <w:i/>
          <w:iCs/>
          <w:sz w:val="24"/>
          <w:szCs w:val="24"/>
        </w:rPr>
        <w:t>42</w:t>
      </w:r>
      <w:r w:rsidRPr="005536E1">
        <w:rPr>
          <w:rFonts w:ascii="Times New Roman" w:hAnsi="Times New Roman" w:cs="Times New Roman"/>
          <w:sz w:val="24"/>
          <w:szCs w:val="24"/>
        </w:rPr>
        <w:t>(6), 1072-1081.</w:t>
      </w:r>
    </w:p>
    <w:p w14:paraId="4F5C4039" w14:textId="77777777" w:rsidR="00337F7F" w:rsidRPr="005536E1" w:rsidRDefault="00337F7F" w:rsidP="00337F7F">
      <w:pPr>
        <w:rPr>
          <w:rFonts w:ascii="Times New Roman" w:hAnsi="Times New Roman" w:cs="Times New Roman"/>
          <w:sz w:val="24"/>
          <w:szCs w:val="24"/>
        </w:rPr>
      </w:pPr>
      <w:r w:rsidRPr="005536E1">
        <w:rPr>
          <w:rFonts w:ascii="Times New Roman" w:hAnsi="Times New Roman" w:cs="Times New Roman"/>
          <w:sz w:val="24"/>
          <w:szCs w:val="24"/>
        </w:rPr>
        <w:t>Park, J. E., Kim, D., Kim, H. S., Park, S. Y., Kim, J. Y., Cho, S. J., ... &amp; Kim, J. H. (2020). Quality of science and reporting of radiomics in oncologic studies: room for improvement according to radiomics quality score and TRIPOD statement. </w:t>
      </w:r>
      <w:r w:rsidRPr="005536E1">
        <w:rPr>
          <w:rFonts w:ascii="Times New Roman" w:hAnsi="Times New Roman" w:cs="Times New Roman"/>
          <w:i/>
          <w:iCs/>
          <w:sz w:val="24"/>
          <w:szCs w:val="24"/>
        </w:rPr>
        <w:t>European 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30</w:t>
      </w:r>
      <w:r w:rsidRPr="005536E1">
        <w:rPr>
          <w:rFonts w:ascii="Times New Roman" w:hAnsi="Times New Roman" w:cs="Times New Roman"/>
          <w:sz w:val="24"/>
          <w:szCs w:val="24"/>
        </w:rPr>
        <w:t>(1), 523-536.</w:t>
      </w:r>
    </w:p>
    <w:p w14:paraId="2118A91E"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lastRenderedPageBreak/>
        <w:t>Parmar, C., Grossmann, P., Rietveld, D., Rietbergen, M. M., Lambin, P., &amp; Aerts, H. J. (2015). Radiomic machine-learning classifiers for prognostic biomarkers of head and neck cancer. </w:t>
      </w:r>
      <w:r w:rsidRPr="005536E1">
        <w:rPr>
          <w:rFonts w:ascii="Times New Roman" w:hAnsi="Times New Roman" w:cs="Times New Roman"/>
          <w:i/>
          <w:iCs/>
          <w:sz w:val="24"/>
          <w:szCs w:val="24"/>
        </w:rPr>
        <w:t>Frontiers in oncology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5</w:t>
      </w:r>
      <w:r w:rsidRPr="005536E1">
        <w:rPr>
          <w:rFonts w:ascii="Times New Roman" w:hAnsi="Times New Roman" w:cs="Times New Roman"/>
          <w:sz w:val="24"/>
          <w:szCs w:val="24"/>
        </w:rPr>
        <w:t>, 272.</w:t>
      </w:r>
    </w:p>
    <w:p w14:paraId="4A1CB8A4" w14:textId="77777777" w:rsidR="00337F7F" w:rsidRPr="005536E1" w:rsidRDefault="00337F7F" w:rsidP="00337F7F">
      <w:pPr>
        <w:rPr>
          <w:rFonts w:ascii="Times New Roman" w:hAnsi="Times New Roman" w:cs="Times New Roman"/>
          <w:sz w:val="24"/>
          <w:szCs w:val="24"/>
        </w:rPr>
      </w:pPr>
      <w:r w:rsidRPr="005536E1">
        <w:rPr>
          <w:rFonts w:ascii="Times New Roman" w:hAnsi="Times New Roman" w:cs="Times New Roman"/>
          <w:sz w:val="24"/>
          <w:szCs w:val="24"/>
        </w:rPr>
        <w:t xml:space="preserve">Pinker, K., Chin, J., </w:t>
      </w:r>
      <w:proofErr w:type="spellStart"/>
      <w:r w:rsidRPr="005536E1">
        <w:rPr>
          <w:rFonts w:ascii="Times New Roman" w:hAnsi="Times New Roman" w:cs="Times New Roman"/>
          <w:sz w:val="24"/>
          <w:szCs w:val="24"/>
        </w:rPr>
        <w:t>Melsaether</w:t>
      </w:r>
      <w:proofErr w:type="spellEnd"/>
      <w:r w:rsidRPr="005536E1">
        <w:rPr>
          <w:rFonts w:ascii="Times New Roman" w:hAnsi="Times New Roman" w:cs="Times New Roman"/>
          <w:sz w:val="24"/>
          <w:szCs w:val="24"/>
        </w:rPr>
        <w:t xml:space="preserve">, A. N., Morris, E. A., &amp; Moy, L. (2018). Precision medicine and </w:t>
      </w:r>
      <w:proofErr w:type="spellStart"/>
      <w:r w:rsidRPr="005536E1">
        <w:rPr>
          <w:rFonts w:ascii="Times New Roman" w:hAnsi="Times New Roman" w:cs="Times New Roman"/>
          <w:sz w:val="24"/>
          <w:szCs w:val="24"/>
        </w:rPr>
        <w:t>radiogenomics</w:t>
      </w:r>
      <w:proofErr w:type="spellEnd"/>
      <w:r w:rsidRPr="005536E1">
        <w:rPr>
          <w:rFonts w:ascii="Times New Roman" w:hAnsi="Times New Roman" w:cs="Times New Roman"/>
          <w:sz w:val="24"/>
          <w:szCs w:val="24"/>
        </w:rPr>
        <w:t xml:space="preserve"> in breast cancer: new approaches toward diagnosis and treatment. </w:t>
      </w:r>
      <w:r w:rsidRPr="005536E1">
        <w:rPr>
          <w:rFonts w:ascii="Times New Roman" w:hAnsi="Times New Roman" w:cs="Times New Roman"/>
          <w:i/>
          <w:iCs/>
          <w:sz w:val="24"/>
          <w:szCs w:val="24"/>
        </w:rPr>
        <w:t>Radiology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287</w:t>
      </w:r>
      <w:r w:rsidRPr="005536E1">
        <w:rPr>
          <w:rFonts w:ascii="Times New Roman" w:hAnsi="Times New Roman" w:cs="Times New Roman"/>
          <w:sz w:val="24"/>
          <w:szCs w:val="24"/>
        </w:rPr>
        <w:t>(3), 732-747.</w:t>
      </w:r>
    </w:p>
    <w:p w14:paraId="4AE45620"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Saha, A., Harowicz, M.R., Grimm, L.J., Kim, C.E., Ghate, S.V., Walsh, R. and Mazurowski, M.A., 2018. A machine learning approach to </w:t>
      </w:r>
      <w:proofErr w:type="spellStart"/>
      <w:r w:rsidRPr="005536E1">
        <w:rPr>
          <w:rFonts w:ascii="Times New Roman" w:hAnsi="Times New Roman" w:cs="Times New Roman"/>
          <w:sz w:val="24"/>
          <w:szCs w:val="24"/>
        </w:rPr>
        <w:t>radiogenomics</w:t>
      </w:r>
      <w:proofErr w:type="spellEnd"/>
      <w:r w:rsidRPr="005536E1">
        <w:rPr>
          <w:rFonts w:ascii="Times New Roman" w:hAnsi="Times New Roman" w:cs="Times New Roman"/>
          <w:sz w:val="24"/>
          <w:szCs w:val="24"/>
        </w:rPr>
        <w:t xml:space="preserve"> of breast cancer: a study of 922 subjects and 529 DCE-MRI features. British journal of cancer, 119(4), pp.508-516.  </w:t>
      </w:r>
    </w:p>
    <w:p w14:paraId="34C8EEB4"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Traverso, A., Wee, L., Dekker, A., &amp; Gillies, R. (2018). Repeatability and reproducibility of radiomic features: a systematic review. </w:t>
      </w:r>
      <w:r w:rsidRPr="005536E1">
        <w:rPr>
          <w:rFonts w:ascii="Times New Roman" w:hAnsi="Times New Roman" w:cs="Times New Roman"/>
          <w:i/>
          <w:iCs/>
          <w:sz w:val="24"/>
          <w:szCs w:val="24"/>
        </w:rPr>
        <w:t>International Journal of Radiation Oncology* Biology* Physics</w:t>
      </w:r>
      <w:r w:rsidRPr="005536E1">
        <w:rPr>
          <w:rFonts w:ascii="Times New Roman" w:hAnsi="Times New Roman" w:cs="Times New Roman"/>
          <w:sz w:val="24"/>
          <w:szCs w:val="24"/>
        </w:rPr>
        <w:t>, </w:t>
      </w:r>
      <w:r w:rsidRPr="005536E1">
        <w:rPr>
          <w:rFonts w:ascii="Times New Roman" w:hAnsi="Times New Roman" w:cs="Times New Roman"/>
          <w:i/>
          <w:iCs/>
          <w:sz w:val="24"/>
          <w:szCs w:val="24"/>
        </w:rPr>
        <w:t>102</w:t>
      </w:r>
      <w:r w:rsidRPr="005536E1">
        <w:rPr>
          <w:rFonts w:ascii="Times New Roman" w:hAnsi="Times New Roman" w:cs="Times New Roman"/>
          <w:sz w:val="24"/>
          <w:szCs w:val="24"/>
        </w:rPr>
        <w:t>(4), 1143-1158.</w:t>
      </w:r>
    </w:p>
    <w:p w14:paraId="1B7A4A82" w14:textId="77777777" w:rsidR="00337F7F" w:rsidRPr="005536E1" w:rsidRDefault="00337F7F" w:rsidP="00022715">
      <w:pPr>
        <w:rPr>
          <w:rFonts w:ascii="Times New Roman" w:hAnsi="Times New Roman" w:cs="Times New Roman"/>
          <w:sz w:val="24"/>
          <w:szCs w:val="24"/>
        </w:rPr>
      </w:pPr>
      <w:r w:rsidRPr="005536E1">
        <w:rPr>
          <w:rFonts w:ascii="Times New Roman" w:hAnsi="Times New Roman" w:cs="Times New Roman"/>
          <w:sz w:val="24"/>
          <w:szCs w:val="24"/>
        </w:rPr>
        <w:t xml:space="preserve">Yamamoto, S., Maki, D. D., Korn, R. L., &amp; Kuo, M. D. (2012). </w:t>
      </w:r>
      <w:proofErr w:type="spellStart"/>
      <w:r w:rsidRPr="005536E1">
        <w:rPr>
          <w:rFonts w:ascii="Times New Roman" w:hAnsi="Times New Roman" w:cs="Times New Roman"/>
          <w:sz w:val="24"/>
          <w:szCs w:val="24"/>
        </w:rPr>
        <w:t>Radiogenomic</w:t>
      </w:r>
      <w:proofErr w:type="spellEnd"/>
      <w:r w:rsidRPr="005536E1">
        <w:rPr>
          <w:rFonts w:ascii="Times New Roman" w:hAnsi="Times New Roman" w:cs="Times New Roman"/>
          <w:sz w:val="24"/>
          <w:szCs w:val="24"/>
        </w:rPr>
        <w:t xml:space="preserve"> analysis of breast cancer using MRI: a preliminary study to define the landscape. </w:t>
      </w:r>
      <w:r w:rsidRPr="005536E1">
        <w:rPr>
          <w:rFonts w:ascii="Times New Roman" w:hAnsi="Times New Roman" w:cs="Times New Roman"/>
          <w:i/>
          <w:iCs/>
          <w:sz w:val="24"/>
          <w:szCs w:val="24"/>
        </w:rPr>
        <w:t>American Journal of Roentgenology</w:t>
      </w:r>
      <w:r w:rsidRPr="005536E1">
        <w:rPr>
          <w:rFonts w:ascii="Times New Roman" w:hAnsi="Times New Roman" w:cs="Times New Roman"/>
          <w:sz w:val="24"/>
          <w:szCs w:val="24"/>
        </w:rPr>
        <w:t>, </w:t>
      </w:r>
      <w:r w:rsidRPr="005536E1">
        <w:rPr>
          <w:rFonts w:ascii="Times New Roman" w:hAnsi="Times New Roman" w:cs="Times New Roman"/>
          <w:i/>
          <w:iCs/>
          <w:sz w:val="24"/>
          <w:szCs w:val="24"/>
        </w:rPr>
        <w:t>199</w:t>
      </w:r>
      <w:r w:rsidRPr="005536E1">
        <w:rPr>
          <w:rFonts w:ascii="Times New Roman" w:hAnsi="Times New Roman" w:cs="Times New Roman"/>
          <w:sz w:val="24"/>
          <w:szCs w:val="24"/>
        </w:rPr>
        <w:t>(3), 654-663.</w:t>
      </w:r>
    </w:p>
    <w:p w14:paraId="3D890BE8" w14:textId="77777777" w:rsidR="00337F7F" w:rsidRPr="005536E1" w:rsidRDefault="00337F7F" w:rsidP="00337F7F">
      <w:pPr>
        <w:rPr>
          <w:rFonts w:ascii="Times New Roman" w:hAnsi="Times New Roman" w:cs="Times New Roman"/>
          <w:sz w:val="24"/>
          <w:szCs w:val="24"/>
        </w:rPr>
      </w:pPr>
      <w:proofErr w:type="spellStart"/>
      <w:r w:rsidRPr="005536E1">
        <w:rPr>
          <w:rFonts w:ascii="Times New Roman" w:hAnsi="Times New Roman" w:cs="Times New Roman"/>
          <w:sz w:val="24"/>
          <w:szCs w:val="24"/>
        </w:rPr>
        <w:t>Zwanenburg</w:t>
      </w:r>
      <w:proofErr w:type="spellEnd"/>
      <w:r w:rsidRPr="005536E1">
        <w:rPr>
          <w:rFonts w:ascii="Times New Roman" w:hAnsi="Times New Roman" w:cs="Times New Roman"/>
          <w:sz w:val="24"/>
          <w:szCs w:val="24"/>
        </w:rPr>
        <w:t xml:space="preserve">, A., Leger, S., </w:t>
      </w:r>
      <w:proofErr w:type="spellStart"/>
      <w:r w:rsidRPr="005536E1">
        <w:rPr>
          <w:rFonts w:ascii="Times New Roman" w:hAnsi="Times New Roman" w:cs="Times New Roman"/>
          <w:sz w:val="24"/>
          <w:szCs w:val="24"/>
        </w:rPr>
        <w:t>Vallières</w:t>
      </w:r>
      <w:proofErr w:type="spellEnd"/>
      <w:r w:rsidRPr="005536E1">
        <w:rPr>
          <w:rFonts w:ascii="Times New Roman" w:hAnsi="Times New Roman" w:cs="Times New Roman"/>
          <w:sz w:val="24"/>
          <w:szCs w:val="24"/>
        </w:rPr>
        <w:t xml:space="preserve">, M., &amp; </w:t>
      </w:r>
      <w:proofErr w:type="spellStart"/>
      <w:r w:rsidRPr="005536E1">
        <w:rPr>
          <w:rFonts w:ascii="Times New Roman" w:hAnsi="Times New Roman" w:cs="Times New Roman"/>
          <w:sz w:val="24"/>
          <w:szCs w:val="24"/>
        </w:rPr>
        <w:t>Löck</w:t>
      </w:r>
      <w:proofErr w:type="spellEnd"/>
      <w:r w:rsidRPr="005536E1">
        <w:rPr>
          <w:rFonts w:ascii="Times New Roman" w:hAnsi="Times New Roman" w:cs="Times New Roman"/>
          <w:sz w:val="24"/>
          <w:szCs w:val="24"/>
        </w:rPr>
        <w:t xml:space="preserve">, S. (2016). Image biomarker </w:t>
      </w:r>
      <w:proofErr w:type="spellStart"/>
      <w:r w:rsidRPr="005536E1">
        <w:rPr>
          <w:rFonts w:ascii="Times New Roman" w:hAnsi="Times New Roman" w:cs="Times New Roman"/>
          <w:sz w:val="24"/>
          <w:szCs w:val="24"/>
        </w:rPr>
        <w:t>standardisation</w:t>
      </w:r>
      <w:proofErr w:type="spellEnd"/>
      <w:r w:rsidRPr="005536E1">
        <w:rPr>
          <w:rFonts w:ascii="Times New Roman" w:hAnsi="Times New Roman" w:cs="Times New Roman"/>
          <w:sz w:val="24"/>
          <w:szCs w:val="24"/>
        </w:rPr>
        <w:t xml:space="preserve"> initiative. </w:t>
      </w:r>
      <w:proofErr w:type="spellStart"/>
      <w:r w:rsidRPr="005536E1">
        <w:rPr>
          <w:rFonts w:ascii="Times New Roman" w:hAnsi="Times New Roman" w:cs="Times New Roman"/>
          <w:i/>
          <w:iCs/>
          <w:sz w:val="24"/>
          <w:szCs w:val="24"/>
        </w:rPr>
        <w:t>arXiv</w:t>
      </w:r>
      <w:proofErr w:type="spellEnd"/>
      <w:r w:rsidRPr="005536E1">
        <w:rPr>
          <w:rFonts w:ascii="Times New Roman" w:hAnsi="Times New Roman" w:cs="Times New Roman"/>
          <w:i/>
          <w:iCs/>
          <w:sz w:val="24"/>
          <w:szCs w:val="24"/>
        </w:rPr>
        <w:t xml:space="preserve"> preprint arXiv:1612.07003</w:t>
      </w:r>
      <w:r w:rsidRPr="005536E1">
        <w:rPr>
          <w:rFonts w:ascii="Times New Roman" w:hAnsi="Times New Roman" w:cs="Times New Roman"/>
          <w:sz w:val="24"/>
          <w:szCs w:val="24"/>
        </w:rPr>
        <w:t>.</w:t>
      </w:r>
    </w:p>
    <w:p w14:paraId="653D870B" w14:textId="6F1128E7" w:rsidR="005536E1" w:rsidRPr="005536E1" w:rsidRDefault="005536E1" w:rsidP="00337F7F">
      <w:pPr>
        <w:rPr>
          <w:rFonts w:ascii="Times New Roman" w:hAnsi="Times New Roman" w:cs="Times New Roman"/>
          <w:sz w:val="24"/>
          <w:szCs w:val="24"/>
        </w:rPr>
      </w:pPr>
      <w:r w:rsidRPr="005536E1">
        <w:rPr>
          <w:rFonts w:ascii="Times New Roman" w:hAnsi="Times New Roman" w:cs="Times New Roman"/>
          <w:sz w:val="24"/>
          <w:szCs w:val="24"/>
        </w:rPr>
        <w:t>Saha, A., Harowicz, M. R., Grimm, L. J., Weng, J., Cain, E. H., Kim, C. E., Ghate, S. V., Walsh, R., &amp; Mazurowski, M. A. (2021). Dynamic contrast-enhanced magnetic resonance images of breast cancer patients with tumor locations [Data set]. The Cancer Imaging Archive. https://doi.org/10.7937/TCIA.e3sv-re93</w:t>
      </w:r>
    </w:p>
    <w:p w14:paraId="3E8706A5" w14:textId="77777777" w:rsidR="00022715" w:rsidRDefault="00022715"/>
    <w:sectPr w:rsidR="00022715" w:rsidSect="00034616">
      <w:footerReference w:type="defaul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D40F" w14:textId="77777777" w:rsidR="007E779E" w:rsidRDefault="007E779E">
      <w:pPr>
        <w:spacing w:after="0" w:line="240" w:lineRule="auto"/>
      </w:pPr>
      <w:r>
        <w:separator/>
      </w:r>
    </w:p>
  </w:endnote>
  <w:endnote w:type="continuationSeparator" w:id="0">
    <w:p w14:paraId="68059D02" w14:textId="77777777" w:rsidR="007E779E" w:rsidRDefault="007E7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D79DB" w14:textId="77777777" w:rsidR="00E46F45" w:rsidRDefault="00000000">
    <w:pPr>
      <w:pStyle w:val="Footer"/>
      <w:jc w:val="center"/>
    </w:pPr>
    <w:r>
      <w:t>Revised radiomics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E282A" w14:textId="77777777" w:rsidR="007E779E" w:rsidRDefault="007E779E">
      <w:pPr>
        <w:spacing w:after="0" w:line="240" w:lineRule="auto"/>
      </w:pPr>
      <w:r>
        <w:separator/>
      </w:r>
    </w:p>
  </w:footnote>
  <w:footnote w:type="continuationSeparator" w:id="0">
    <w:p w14:paraId="4296F49E" w14:textId="77777777" w:rsidR="007E779E" w:rsidRDefault="007E77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394"/>
        </w:tabs>
        <w:ind w:left="7394"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7E2272"/>
    <w:multiLevelType w:val="multilevel"/>
    <w:tmpl w:val="553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868FE"/>
    <w:multiLevelType w:val="hybridMultilevel"/>
    <w:tmpl w:val="8BB66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777356">
    <w:abstractNumId w:val="8"/>
  </w:num>
  <w:num w:numId="2" w16cid:durableId="1101992673">
    <w:abstractNumId w:val="6"/>
  </w:num>
  <w:num w:numId="3" w16cid:durableId="894317011">
    <w:abstractNumId w:val="5"/>
  </w:num>
  <w:num w:numId="4" w16cid:durableId="623313656">
    <w:abstractNumId w:val="4"/>
  </w:num>
  <w:num w:numId="5" w16cid:durableId="12615339">
    <w:abstractNumId w:val="7"/>
  </w:num>
  <w:num w:numId="6" w16cid:durableId="371731776">
    <w:abstractNumId w:val="3"/>
  </w:num>
  <w:num w:numId="7" w16cid:durableId="457719310">
    <w:abstractNumId w:val="2"/>
  </w:num>
  <w:num w:numId="8" w16cid:durableId="2094818329">
    <w:abstractNumId w:val="1"/>
  </w:num>
  <w:num w:numId="9" w16cid:durableId="1083646581">
    <w:abstractNumId w:val="0"/>
  </w:num>
  <w:num w:numId="10" w16cid:durableId="865413424">
    <w:abstractNumId w:val="9"/>
  </w:num>
  <w:num w:numId="11" w16cid:durableId="1836348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715"/>
    <w:rsid w:val="00034616"/>
    <w:rsid w:val="00051CE4"/>
    <w:rsid w:val="0006063C"/>
    <w:rsid w:val="00066293"/>
    <w:rsid w:val="00084114"/>
    <w:rsid w:val="000C60D9"/>
    <w:rsid w:val="0015074B"/>
    <w:rsid w:val="001633A6"/>
    <w:rsid w:val="001F3E06"/>
    <w:rsid w:val="0029639D"/>
    <w:rsid w:val="002C74F6"/>
    <w:rsid w:val="00326E3A"/>
    <w:rsid w:val="00326F90"/>
    <w:rsid w:val="00337F7F"/>
    <w:rsid w:val="00427D42"/>
    <w:rsid w:val="00430391"/>
    <w:rsid w:val="00482F09"/>
    <w:rsid w:val="004A1161"/>
    <w:rsid w:val="004C537E"/>
    <w:rsid w:val="005536E1"/>
    <w:rsid w:val="005A0562"/>
    <w:rsid w:val="005C4526"/>
    <w:rsid w:val="005D69D7"/>
    <w:rsid w:val="00656169"/>
    <w:rsid w:val="00666C6C"/>
    <w:rsid w:val="0069615B"/>
    <w:rsid w:val="006C5A94"/>
    <w:rsid w:val="0074008B"/>
    <w:rsid w:val="007B569F"/>
    <w:rsid w:val="007E779E"/>
    <w:rsid w:val="007F2A55"/>
    <w:rsid w:val="008124AF"/>
    <w:rsid w:val="008216C5"/>
    <w:rsid w:val="00855B65"/>
    <w:rsid w:val="00906A89"/>
    <w:rsid w:val="00970907"/>
    <w:rsid w:val="00972A77"/>
    <w:rsid w:val="009A3DD6"/>
    <w:rsid w:val="00A64649"/>
    <w:rsid w:val="00A65668"/>
    <w:rsid w:val="00A73244"/>
    <w:rsid w:val="00AA1D8D"/>
    <w:rsid w:val="00AD0AAB"/>
    <w:rsid w:val="00AE5CED"/>
    <w:rsid w:val="00B47730"/>
    <w:rsid w:val="00B81AB9"/>
    <w:rsid w:val="00B9128D"/>
    <w:rsid w:val="00B9717E"/>
    <w:rsid w:val="00BB37ED"/>
    <w:rsid w:val="00C21441"/>
    <w:rsid w:val="00CB0664"/>
    <w:rsid w:val="00D045E3"/>
    <w:rsid w:val="00D0471F"/>
    <w:rsid w:val="00D12F34"/>
    <w:rsid w:val="00D74085"/>
    <w:rsid w:val="00E063B5"/>
    <w:rsid w:val="00E46F45"/>
    <w:rsid w:val="00EE6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94F3B"/>
  <w14:defaultImageDpi w14:val="300"/>
  <w15:docId w15:val="{F7D48BDA-763A-4CDB-8066-67445FE0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60D9"/>
    <w:rPr>
      <w:color w:val="0000FF" w:themeColor="hyperlink"/>
      <w:u w:val="single"/>
    </w:rPr>
  </w:style>
  <w:style w:type="character" w:styleId="UnresolvedMention">
    <w:name w:val="Unresolved Mention"/>
    <w:basedOn w:val="DefaultParagraphFont"/>
    <w:uiPriority w:val="99"/>
    <w:semiHidden/>
    <w:unhideWhenUsed/>
    <w:rsid w:val="000C6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27</Pages>
  <Words>6708</Words>
  <Characters>38240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malek itani</cp:lastModifiedBy>
  <cp:revision>10</cp:revision>
  <dcterms:created xsi:type="dcterms:W3CDTF">2026-05-20T11:54:00Z</dcterms:created>
  <dcterms:modified xsi:type="dcterms:W3CDTF">2026-05-21T08:19:00Z</dcterms:modified>
  <cp:category/>
</cp:coreProperties>
</file>