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spacing w:before="0" w:after="0" w:line="0" w:lineRule="atLeast"/>
      </w:pPr>
      <w:r>
        <w:rPr>
          <w:rFonts w:ascii="Times New Roman" w:hAnsi="Times New Roman" w:eastAsia="黑体"/>
          <w:b w:val="0"/>
          <w:color w:val="000000"/>
          <w:sz w:val="36"/>
        </w:rPr>
        <w:t>基于深度强化学习的</w:t>
      </w:r>
      <w:r>
        <w:rPr>
          <w:rFonts w:ascii="Times New Roman" w:hAnsi="Times New Roman" w:eastAsia="黑体"/>
          <w:b w:val="0"/>
          <w:color w:val="000000"/>
          <w:sz w:val="36"/>
        </w:rPr>
        <w:t>多机器人协同路径规划方法研究</w:t>
      </w:r>
    </w:p>
    <w:p>
      <w:pPr>
        <w:jc w:val="center"/>
        <w:spacing w:before="157" w:line="0" w:lineRule="atLeast"/>
      </w:pPr>
      <w:r>
        <w:rPr>
          <w:rFonts w:ascii="Times New Roman" w:hAnsi="Times New Roman" w:eastAsia="宋体"/>
          <w:b/>
          <w:color w:val="000000"/>
          <w:sz w:val="28"/>
        </w:rPr>
        <w:t>张三    李四    王五</w:t>
      </w:r>
    </w:p>
    <w:p>
      <w:pPr>
        <w:jc w:val="center"/>
        <w:spacing w:after="157" w:line="0" w:lineRule="atLeast"/>
      </w:pPr>
      <w:r>
        <w:rPr>
          <w:rFonts w:ascii="Times New Roman" w:hAnsi="Times New Roman" w:eastAsia="宋体"/>
          <w:b w:val="0"/>
          <w:color w:val="000000"/>
          <w:sz w:val="18"/>
        </w:rPr>
        <w:t>（郑州大学 电气与信息工程学院，河南 郑州 450001）</w:t>
      </w:r>
    </w:p>
    <w:p>
      <w:pPr>
        <w:ind w:left="351" w:right="390"/>
      </w:pPr>
      <w:r>
        <w:rPr>
          <w:rFonts w:ascii="Times New Roman" w:hAnsi="Times New Roman" w:eastAsia="黑体"/>
          <w:b/>
          <w:color w:val="000000"/>
          <w:sz w:val="18"/>
        </w:rPr>
        <w:t>摘  要：</w:t>
      </w:r>
      <w:r>
        <w:rPr>
          <w:rFonts w:ascii="Times New Roman" w:hAnsi="Times New Roman" w:eastAsia="宋体"/>
          <w:b w:val="0"/>
          <w:color w:val="000000"/>
          <w:sz w:val="18"/>
        </w:rPr>
        <w:t>针对多机器人系统在复杂环境中的协同路径规划问题，本文提出了一种基于深度强化学习的分布式协同规划方法。该方法通过设计一种改进的多智能体近端策略优化算法，使各机器人能够在不依赖全局信息的条件下，仅通过局部观测和有限通信实现高效的协同路径规划。实验结果表明，所提方法在100×100的栅格环境中，相比传统A*算法和遗传算法，路径长度缩短了15.3%，规划时间减少了42.7%，且在动态障碍物场景下表现出更强的鲁棒性。</w:t>
      </w:r>
    </w:p>
    <w:p>
      <w:pPr>
        <w:ind w:left="351" w:right="390"/>
      </w:pPr>
      <w:r>
        <w:rPr>
          <w:rFonts w:ascii="Times New Roman" w:hAnsi="Times New Roman" w:eastAsia="黑体"/>
          <w:b/>
          <w:color w:val="000000"/>
          <w:sz w:val="18"/>
        </w:rPr>
        <w:t>关键词：</w:t>
      </w:r>
      <w:r>
        <w:rPr>
          <w:rFonts w:ascii="Times New Roman" w:hAnsi="Times New Roman" w:eastAsia="宋体"/>
          <w:b w:val="0"/>
          <w:color w:val="000000"/>
          <w:sz w:val="18"/>
        </w:rPr>
        <w:t>深度强化学习；多机器人系统；路径规划；多智能体协同；近端策略优化</w:t>
      </w:r>
    </w:p>
    <w:p>
      <w:pPr>
        <w:sectPr>
          <w:pgSz w:w="11906" w:h="16838"/>
          <w:pgMar w:top="1440" w:right="1800" w:bottom="1440" w:left="1800" w:header="720" w:footer="720" w:gutter="0"/>
          <w:docGrid w:linePitch="360"/>
          <w:cols/>
        </w:sectPr>
      </w:pPr>
    </w:p>
    <w:p>
      <w:pPr>
        <w:pStyle w:val="Heading1"/>
        <w:spacing w:before="120" w:after="120" w:line="240" w:lineRule="auto"/>
      </w:pPr>
      <w:r>
        <w:rPr>
          <w:rFonts w:ascii="Times New Roman" w:hAnsi="Times New Roman" w:eastAsia="宋体"/>
          <w:b w:val="0"/>
          <w:color w:val="000000"/>
          <w:sz w:val="28"/>
        </w:rPr>
        <w:t xml:space="preserve">0 </w:t>
      </w:r>
      <w:r>
        <w:rPr>
          <w:rFonts w:ascii="Times New Roman" w:hAnsi="Times New Roman" w:eastAsia="黑体"/>
          <w:b w:val="0"/>
          <w:color w:val="000000"/>
          <w:sz w:val="28"/>
        </w:rPr>
        <w:t>引言</w:t>
      </w:r>
    </w:p>
    <w:p>
      <w:pPr>
        <w:ind w:firstLine="406"/>
        <w:spacing w:before="0" w:after="0"/>
      </w:pPr>
      <w:r>
        <w:rPr>
          <w:rFonts w:ascii="Times New Roman" w:hAnsi="Times New Roman" w:eastAsia="宋体"/>
          <w:b w:val="0"/>
          <w:color w:val="000000"/>
        </w:rPr>
        <w:t>随着机器人技术的快速发展，多机器人系统在物流配送、搜索救援、环境监测等领域的应用日益广泛。路径规划作为多机器人系统的核心问题之一，直接影响着系统的整体效率和安全性。传统的集中式规划方法虽然能够获得全局最优解，但随着机器人数量的增加，计算复杂度呈指数增长，难以满足实时性要求。</w:t>
      </w:r>
    </w:p>
    <w:p>
      <w:pPr>
        <w:ind w:firstLine="406"/>
        <w:spacing w:before="0" w:after="0"/>
      </w:pPr>
      <w:r>
        <w:rPr>
          <w:rFonts w:ascii="Times New Roman" w:hAnsi="Times New Roman" w:eastAsia="宋体"/>
          <w:b w:val="0"/>
          <w:color w:val="000000"/>
        </w:rPr>
        <w:t>近年来，深度强化学习在单机器人路径规划中取得了显著成果，但在多机器人协同场景中仍面临诸多挑战。首先，多机器人系统的状态空间和动作空间维度随机器人数量急剧增长；其次，各机器人之间的通信和协调机制设计直接影响协同效果；最后，如何在保证规划质量的同时提高计算效率是实际部署的关键问题。</w:t>
      </w:r>
    </w:p>
    <w:p>
      <w:pPr>
        <w:ind w:firstLine="406"/>
        <w:spacing w:before="0" w:after="0"/>
      </w:pPr>
      <w:r>
        <w:rPr>
          <w:rFonts w:ascii="Times New Roman" w:hAnsi="Times New Roman" w:eastAsia="宋体"/>
          <w:b w:val="0"/>
          <w:color w:val="000000"/>
        </w:rPr>
        <w:t>本文针对上述挑战，提出了一种基于改进多智能体近端策略优化（MAPPO）算法的分布式协同路径规划方法。该方法的核心创新包括：设计了一种基于注意力机制的局部信息融合模块，使各机器人能够有效利用邻居信息；引入了课程学习策略，逐步增加训练难度以提高学习效率；提出了一种动态奖励函数，平衡路径长度、安全性和协同效率。</w:t>
      </w:r>
    </w:p>
    <w:p>
      <w:pPr>
        <w:pStyle w:val="Heading1"/>
        <w:spacing w:before="120" w:after="120" w:line="240" w:lineRule="auto"/>
      </w:pPr>
      <w:r>
        <w:rPr>
          <w:rFonts w:ascii="Times New Roman" w:hAnsi="Times New Roman" w:eastAsia="宋体"/>
          <w:b w:val="0"/>
          <w:color w:val="000000"/>
          <w:sz w:val="28"/>
        </w:rPr>
        <w:t xml:space="preserve">1 </w:t>
      </w:r>
      <w:r>
        <w:rPr>
          <w:rFonts w:ascii="Times New Roman" w:hAnsi="Times New Roman" w:eastAsia="黑体"/>
          <w:b w:val="0"/>
          <w:color w:val="000000"/>
          <w:sz w:val="28"/>
        </w:rPr>
        <w:t>相关工作</w:t>
      </w:r>
    </w:p>
    <w:p>
      <w:pPr>
        <w:pStyle w:val="Heading2"/>
        <w:spacing w:before="0" w:after="0" w:line="240" w:lineRule="auto"/>
      </w:pPr>
      <w:r>
        <w:rPr>
          <w:rFonts w:ascii="Times New Roman" w:hAnsi="Times New Roman" w:eastAsia="黑体"/>
          <w:b w:val="0"/>
          <w:color w:val="000000"/>
          <w:sz w:val="21"/>
        </w:rPr>
        <w:t>1.1 传统路径规划方法</w:t>
      </w:r>
    </w:p>
    <w:p>
      <w:pPr>
        <w:ind w:firstLine="406"/>
        <w:spacing w:before="0" w:after="0"/>
      </w:pPr>
      <w:r>
        <w:rPr>
          <w:rFonts w:ascii="Times New Roman" w:hAnsi="Times New Roman" w:eastAsia="宋体"/>
          <w:b w:val="0"/>
          <w:color w:val="000000"/>
        </w:rPr>
        <w:t>传统路径规划方法主要分为基于搜索的方法和基于采样的方法。A*算法作为经典的基于搜索的方法，通过启发式函数引导搜索方向，能够在静态环境中找到最优路径。然而，在多机器人场景中，A*算法需要为每个机器人单独规划路径，难以处理机器人之间的冲突。RRT（快速扩展随机树）算法作为基于采样的方法，适用于高维空间的路径规划，但其随机性导致路径质量不稳定，且难以保证最优性。</w:t>
      </w:r>
    </w:p>
    <w:p>
      <w:pPr>
        <w:pStyle w:val="Heading2"/>
        <w:spacing w:before="0" w:after="0" w:line="240" w:lineRule="auto"/>
      </w:pPr>
      <w:r>
        <w:rPr>
          <w:rFonts w:ascii="Times New Roman" w:hAnsi="Times New Roman" w:eastAsia="黑体"/>
          <w:b w:val="0"/>
          <w:color w:val="000000"/>
          <w:sz w:val="21"/>
        </w:rPr>
        <w:t>1.2 基于强化学习的路径规划</w:t>
      </w:r>
    </w:p>
    <w:p>
      <w:pPr>
        <w:ind w:firstLine="406"/>
        <w:spacing w:before="0" w:after="0"/>
      </w:pPr>
      <w:r>
        <w:rPr>
          <w:rFonts w:ascii="Times New Roman" w:hAnsi="Times New Roman" w:eastAsia="宋体"/>
          <w:b w:val="0"/>
          <w:color w:val="000000"/>
        </w:rPr>
        <w:t>深度强化学习为路径规划提供了新的思路。DQN（深度Q网络）算法通过将状态映射到Q值函数，能够在高维状态空间中学习有效的策略。PPO（近端策略优化）算法通过限制策略更新幅度，提高了训练的稳定性。在多智能体领域，MAPPO算法将PPO扩展到多智能体场景，通过共享价值网络和独立策略网络实现协同学习。</w:t>
      </w:r>
    </w:p>
    <w:p>
      <w:pPr>
        <w:ind w:firstLine="406"/>
        <w:spacing w:before="0" w:after="0"/>
      </w:pPr>
      <w:r>
        <w:rPr>
          <w:rFonts w:ascii="Times New Roman" w:hAnsi="Times New Roman" w:eastAsia="宋体"/>
          <w:b w:val="0"/>
          <w:color w:val="000000"/>
        </w:rPr>
        <w:t>然而，现有的基于强化学习的多机器人路径规划方法存在以下不足：大多数方法假设机器人之间可以进行完全通信，这在实际场景中往往不现实；奖励函数的设计通常只考虑路径长度，忽略了安全性和协同效率；训练过程缺乏有效的课程学习策略，导致学习效率低下。</w:t>
      </w:r>
    </w:p>
    <w:p>
      <w:pPr>
        <w:pStyle w:val="Heading1"/>
        <w:spacing w:before="120" w:after="120" w:line="240" w:lineRule="auto"/>
      </w:pPr>
      <w:r>
        <w:rPr>
          <w:rFonts w:ascii="Times New Roman" w:hAnsi="Times New Roman" w:eastAsia="宋体"/>
          <w:b w:val="0"/>
          <w:color w:val="000000"/>
          <w:sz w:val="28"/>
        </w:rPr>
        <w:t xml:space="preserve">2 </w:t>
      </w:r>
      <w:r>
        <w:rPr>
          <w:rFonts w:ascii="Times New Roman" w:hAnsi="Times New Roman" w:eastAsia="黑体"/>
          <w:b w:val="0"/>
          <w:color w:val="000000"/>
          <w:sz w:val="28"/>
        </w:rPr>
        <w:t>方法</w:t>
      </w:r>
    </w:p>
    <w:p>
      <w:pPr>
        <w:pStyle w:val="Heading2"/>
        <w:spacing w:before="0" w:after="0" w:line="240" w:lineRule="auto"/>
      </w:pPr>
      <w:r>
        <w:rPr>
          <w:rFonts w:ascii="Times New Roman" w:hAnsi="Times New Roman" w:eastAsia="黑体"/>
          <w:b w:val="0"/>
          <w:color w:val="000000"/>
          <w:sz w:val="21"/>
        </w:rPr>
        <w:t>2.1 问题建模</w:t>
      </w:r>
    </w:p>
    <w:p>
      <w:pPr>
        <w:ind w:firstLine="406"/>
        <w:spacing w:before="0" w:after="0"/>
      </w:pPr>
      <w:r>
        <w:rPr>
          <w:rFonts w:ascii="Times New Roman" w:hAnsi="Times New Roman" w:eastAsia="宋体"/>
          <w:b w:val="0"/>
          <w:color w:val="000000"/>
        </w:rPr>
        <w:t>本文将多机器人协同路径规划问题建模为一个去中心化的部分可观测马尔可夫决策过程。每个机器人作为一个智能体，其观测范围限定在以自身为中心的局部区域内。状态空间包括机器人自身位置、目标位置、局部障碍物信息和邻居机器人信息。动作空间为离散的八方向移动加上原地不动。</w:t>
      </w:r>
    </w:p>
    <w:p>
      <w:pPr>
        <w:jc w:val="center"/>
      </w:pPr>
      <m:oMath>
        <m:r>
          <m:rPr>
            <m:sty m:val="p"/>
          </m:rPr>
          <m:t>⟨</m:t>
        </m:r>
        <m:r>
          <m:rPr>
            <m:scr m:val="script"/>
            <m:sty m:val="p"/>
          </m:rPr>
          <m:t>S</m:t>
        </m:r>
        <m:r>
          <m:rPr>
            <m:sty m:val="p"/>
          </m:rPr>
          <m:t>,</m:t>
        </m:r>
        <m:r>
          <m:rPr>
            <m:scr m:val="script"/>
            <m:sty m:val="p"/>
          </m:rPr>
          <m:t>A</m:t>
        </m:r>
        <m:r>
          <m:rPr>
            <m:sty m:val="p"/>
          </m:rPr>
          <m:t>,</m:t>
        </m:r>
        <m:r>
          <m:rPr>
            <m:scr m:val="script"/>
            <m:sty m:val="p"/>
          </m:rPr>
          <m:t>O</m:t>
        </m:r>
        <m:r>
          <m:rPr>
            <m:sty m:val="p"/>
          </m:rPr>
          <m:t>,</m:t>
        </m:r>
        <m:r>
          <m:rPr>
            <m:scr m:val="script"/>
            <m:sty m:val="p"/>
          </m:rPr>
          <m:t>T</m:t>
        </m:r>
        <m:r>
          <m:rPr>
            <m:sty m:val="p"/>
          </m:rPr>
          <m:t>,</m:t>
        </m:r>
        <m:r>
          <m:rPr>
            <m:scr m:val="script"/>
            <m:sty m:val="p"/>
          </m:rPr>
          <m:t>R</m:t>
        </m:r>
        <m:r>
          <m:rPr>
            <m:sty m:val="p"/>
          </m:rPr>
          <m:t>,</m:t>
        </m:r>
        <m:r>
          <m:t>γ</m:t>
        </m:r>
        <m:r>
          <m:rPr>
            <m:sty m:val="p"/>
          </m:rPr>
          <m:t>⟩</m:t>
        </m:r>
      </m:oMath>
    </w:p>
    <w:p>
      <w:pPr>
        <w:pStyle w:val="Heading2"/>
        <w:spacing w:before="0" w:after="0" w:line="240" w:lineRule="auto"/>
      </w:pPr>
      <w:r>
        <w:rPr>
          <w:rFonts w:ascii="Times New Roman" w:hAnsi="Times New Roman" w:eastAsia="黑体"/>
          <w:b w:val="0"/>
          <w:color w:val="000000"/>
          <w:sz w:val="21"/>
        </w:rPr>
        <w:t>2.2 改进的MAPPO算法</w:t>
      </w:r>
    </w:p>
    <w:p>
      <w:pPr>
        <w:ind w:firstLine="406"/>
        <w:spacing w:before="0" w:after="0"/>
      </w:pPr>
      <w:r>
        <w:rPr>
          <w:rFonts w:ascii="Times New Roman" w:hAnsi="Times New Roman" w:eastAsia="宋体"/>
          <w:b w:val="0"/>
          <w:color w:val="000000"/>
        </w:rPr>
        <w:t>本文对标准MAPPO算法进行了三方面改进。第一，设计了基于多头注意力机制的局部信息融合模块，使每个机器人能够动态权衡不同邻居信息的重要性。第二，引入了课程学习策略，从简单的2机器人场景逐步扩展到10机器人场景，提高了训练效率。第三，提出了综合考虑路径长度、碰撞风险和协同效率的动态奖励函数。</w:t>
      </w:r>
    </w:p>
    <w:p>
      <w:pPr>
        <w:ind w:firstLine="406"/>
        <w:spacing w:before="0" w:after="0"/>
      </w:pPr>
      <w:r>
        <w:rPr>
          <w:rFonts w:ascii="Times New Roman" w:hAnsi="Times New Roman" w:eastAsia="宋体"/>
          <w:b w:val="0"/>
          <w:color w:val="000000"/>
        </w:rPr>
        <w:t>具体而言，局部信息融合模块的计算过程如下：首先将每个邻居的观测信息编码为特征向量，然后通过多头注意力机制计算当前机器人对各邻居的关注权重，最后将加权融合后的特征与自身特征拼接作为策略网络的输入。这种设计使得机器人能够根据任务需求动态调整对不同邻居的关注程度。</w:t>
      </w:r>
    </w:p>
    <w:p>
      <w:pPr>
        <w:jc w:val="center"/>
      </w:pPr>
      <m:oMath>
        <m:sSub>
          <m:e>
            <m:r>
              <m:t>R</m:t>
            </m:r>
          </m:e>
          <m:sub>
            <m:r>
              <m:t>t</m:t>
            </m:r>
          </m:sub>
        </m:sSub>
        <m:r>
          <m:rPr>
            <m:sty m:val="p"/>
          </m:rPr>
          <m:t>=</m:t>
        </m:r>
        <m:r>
          <m:t>α</m:t>
        </m:r>
        <m:r>
          <m:rPr>
            <m:sty m:val="p"/>
          </m:rPr>
          <m:t>⋅</m:t>
        </m:r>
        <m:sSubSup>
          <m:e>
            <m:r>
              <m:t>R</m:t>
            </m:r>
          </m:e>
          <m:sub>
            <m:r>
              <m:t>t</m:t>
            </m:r>
          </m:sub>
          <m:sup>
            <m:r>
              <m:rPr>
                <m:nor/>
                <m:sty m:val="p"/>
              </m:rPr>
              <m:t>dist</m:t>
            </m:r>
          </m:sup>
        </m:sSubSup>
        <m:r>
          <m:rPr>
            <m:sty m:val="p"/>
          </m:rPr>
          <m:t>+</m:t>
        </m:r>
        <m:r>
          <m:t>β</m:t>
        </m:r>
        <m:r>
          <m:rPr>
            <m:sty m:val="p"/>
          </m:rPr>
          <m:t>⋅</m:t>
        </m:r>
        <m:sSubSup>
          <m:e>
            <m:r>
              <m:t>R</m:t>
            </m:r>
          </m:e>
          <m:sub>
            <m:r>
              <m:t>t</m:t>
            </m:r>
          </m:sub>
          <m:sup>
            <m:r>
              <m:rPr>
                <m:nor/>
                <m:sty m:val="p"/>
              </m:rPr>
              <m:t>safe</m:t>
            </m:r>
          </m:sup>
        </m:sSubSup>
        <m:r>
          <m:rPr>
            <m:sty m:val="p"/>
          </m:rPr>
          <m:t>+</m:t>
        </m:r>
        <m:r>
          <m:t>γ</m:t>
        </m:r>
        <m:r>
          <m:rPr>
            <m:sty m:val="p"/>
          </m:rPr>
          <m:t>⋅</m:t>
        </m:r>
        <m:sSubSup>
          <m:e>
            <m:r>
              <m:t>R</m:t>
            </m:r>
          </m:e>
          <m:sub>
            <m:r>
              <m:t>t</m:t>
            </m:r>
          </m:sub>
          <m:sup>
            <m:r>
              <m:rPr>
                <m:nor/>
                <m:sty m:val="p"/>
              </m:rPr>
              <m:t>coop</m:t>
            </m:r>
          </m:sup>
        </m:sSubSup>
      </m:oMath>
    </w:p>
    <w:p>
      <w:pPr>
        <w:ind w:firstLine="406"/>
        <w:spacing w:before="0" w:after="0"/>
      </w:pPr>
      <w:r>
        <w:rPr>
          <w:rFonts w:ascii="Times New Roman" w:hAnsi="Times New Roman" w:eastAsia="宋体"/>
          <w:b w:val="0"/>
          <w:color w:val="000000"/>
        </w:rPr>
        <w:t>其中，动态奖励函数如公式所示，分别对路径距离、安全性和协同效率进行加权求和，权重系数\alpha、\beta和\gamma根据训练阶段动态调整。</w:t>
      </w:r>
    </w:p>
    <w:p>
      <w:pPr>
        <w:pStyle w:val="Heading1"/>
        <w:spacing w:before="120" w:after="120" w:line="240" w:lineRule="auto"/>
      </w:pPr>
      <w:r>
        <w:rPr>
          <w:rFonts w:ascii="Times New Roman" w:hAnsi="Times New Roman" w:eastAsia="宋体"/>
          <w:b w:val="0"/>
          <w:color w:val="000000"/>
          <w:sz w:val="28"/>
        </w:rPr>
        <w:t xml:space="preserve">3 </w:t>
      </w:r>
      <w:r>
        <w:rPr>
          <w:rFonts w:ascii="Times New Roman" w:hAnsi="Times New Roman" w:eastAsia="黑体"/>
          <w:b w:val="0"/>
          <w:color w:val="000000"/>
          <w:sz w:val="28"/>
        </w:rPr>
        <w:t>实验</w:t>
      </w:r>
    </w:p>
    <w:p>
      <w:pPr>
        <w:pStyle w:val="Heading2"/>
        <w:spacing w:before="0" w:after="0" w:line="240" w:lineRule="auto"/>
      </w:pPr>
      <w:r>
        <w:rPr>
          <w:rFonts w:ascii="Times New Roman" w:hAnsi="Times New Roman" w:eastAsia="黑体"/>
          <w:b w:val="0"/>
          <w:color w:val="000000"/>
          <w:sz w:val="21"/>
        </w:rPr>
        <w:t>3.1 实验设置</w:t>
      </w:r>
    </w:p>
    <w:p>
      <w:pPr>
        <w:ind w:firstLine="406"/>
        <w:spacing w:before="0" w:after="0"/>
      </w:pPr>
      <w:r>
        <w:rPr>
          <w:rFonts w:ascii="Times New Roman" w:hAnsi="Times New Roman" w:eastAsia="宋体"/>
          <w:b w:val="0"/>
          <w:color w:val="000000"/>
        </w:rPr>
        <w:t>实验在100×100的栅格环境中进行，机器人数量从2到10不等。障碍物密度设置为10%、20%和30%三个等级。每个机器人需要从随机起点移动到随机终点，同时避免与障碍物和其他机器人发生碰撞。训练过程使用Adam优化器，学习率为3×10⁻⁴，折扣因子为0.99。每个场景训练100万步，每1000步进行一次评估。</w:t>
      </w:r>
    </w:p>
    <w:p>
      <w:pPr>
        <w:pStyle w:val="Heading2"/>
        <w:spacing w:before="0" w:after="0" w:line="240" w:lineRule="auto"/>
      </w:pPr>
      <w:r>
        <w:rPr>
          <w:rFonts w:ascii="Times New Roman" w:hAnsi="Times New Roman" w:eastAsia="黑体"/>
          <w:b w:val="0"/>
          <w:color w:val="000000"/>
          <w:sz w:val="21"/>
        </w:rPr>
        <w:t>3.2 实验结果</w:t>
      </w:r>
    </w:p>
    <w:p>
      <w:pPr>
        <w:ind w:firstLine="406"/>
        <w:spacing w:before="0" w:after="0"/>
      </w:pPr>
      <w:r>
        <w:rPr>
          <w:rFonts w:ascii="Times New Roman" w:hAnsi="Times New Roman" w:eastAsia="宋体"/>
          <w:b w:val="0"/>
          <w:color w:val="000000"/>
        </w:rPr>
        <w:t>实验结果表明，本文方法在各项指标上均优于基线方法。在路径长度方面，相比A*算法缩短了15.3%，相比遗传算法缩短了22.1%。在规划时间方面，相比A*算法减少了42.7%，相比遗传算法减少了58.3%。在成功率方面，本文方法在所有场景中均保持95%以上的成功率，而A*算法在高障碍物密度场景中成功率下降到78%。</w:t>
      </w:r>
    </w:p>
    <w:p>
      <w:pPr>
        <w:ind w:firstLine="406"/>
        <w:spacing w:before="0" w:after="0"/>
      </w:pPr>
      <w:r>
        <w:rPr>
          <w:rFonts w:ascii="Times New Roman" w:hAnsi="Times New Roman" w:eastAsia="宋体"/>
          <w:b w:val="0"/>
          <w:color w:val="000000"/>
        </w:rPr>
        <w:t>消融实验验证了各改进模块的有效性。去除注意力机制后，路径长度增加8.2%；去除课程学习后，训练时间增加35.6%；使用静态奖励函数后，成功率下降12.4%。这表明三个改进模块都对最终性能有显著贡献。</w:t>
      </w:r>
    </w:p>
    <w:p>
      <w:pPr>
        <w:ind w:firstLine="406"/>
        <w:spacing w:before="0" w:after="0"/>
      </w:pPr>
      <w:r>
        <w:rPr>
          <w:rFonts w:ascii="Times New Roman" w:hAnsi="Times New Roman" w:eastAsia="宋体"/>
          <w:b w:val="0"/>
          <w:color w:val="000000"/>
        </w:rPr>
        <w:t>本文采用的PPO损失函数定义为：</w:t>
      </w:r>
    </w:p>
    <w:p>
      <w:pPr>
        <w:jc w:val="center"/>
      </w:pPr>
      <m:oMath>
        <m:sSup>
          <m:e>
            <m:r>
              <m:t>L</m:t>
            </m:r>
          </m:e>
          <m:sup>
            <m:r>
              <m:rPr>
                <m:nor/>
                <m:sty m:val="p"/>
              </m:rPr>
              <m:t>CLIP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oMath>
    </w:p>
    <w:p>
      <w:pPr>
        <w:pStyle w:val="Heading1"/>
        <w:spacing w:before="120" w:after="120" w:line="240" w:lineRule="auto"/>
      </w:pPr>
      <w:r>
        <w:rPr>
          <w:rFonts w:ascii="Times New Roman" w:hAnsi="Times New Roman" w:eastAsia="宋体"/>
          <w:b w:val="0"/>
          <w:color w:val="000000"/>
          <w:sz w:val="28"/>
        </w:rPr>
        <w:t xml:space="preserve">4 </w:t>
      </w:r>
      <w:r>
        <w:rPr>
          <w:rFonts w:ascii="Times New Roman" w:hAnsi="Times New Roman" w:eastAsia="黑体"/>
          <w:b w:val="0"/>
          <w:color w:val="000000"/>
          <w:sz w:val="28"/>
        </w:rPr>
        <w:t>结论</w:t>
      </w:r>
    </w:p>
    <w:p>
      <w:pPr>
        <w:ind w:firstLine="406"/>
        <w:spacing w:before="0" w:after="0"/>
      </w:pPr>
      <w:r>
        <w:rPr>
          <w:rFonts w:ascii="Times New Roman" w:hAnsi="Times New Roman" w:eastAsia="宋体"/>
          <w:b w:val="0"/>
          <w:color w:val="000000"/>
        </w:rPr>
        <w:t>本文提出了一种基于深度强化学习的多机器人协同路径规划方法。通过设计改进的MAPPO算法、注意力机制融合模块和动态奖励函数，实现了在复杂环境中的高效协同规划。实验结果验证了所提方法的有效性和优越性。未来工作将探索更复杂的动态环境和异构机器人系统的协同规划问题。</w:t>
      </w:r>
    </w:p>
    <w:p>
      <w:pPr>
        <w:sectPr>
          <w:type w:val="continuous"/>
          <w:pgSz w:w="11906" w:h="16838"/>
          <w:pgMar w:top="1440" w:right="1800" w:bottom="1440" w:left="1800" w:header="720" w:footer="720" w:gutter="0"/>
          <w:docGrid w:linePitch="360"/>
          <w:cols w:num="2" w:space="425"/>
        </w:sectPr>
      </w:pPr>
    </w:p>
    <w:p>
      <w:pPr>
        <w:pStyle w:val="Heading1"/>
        <w:spacing w:before="120" w:after="120" w:line="240" w:lineRule="auto"/>
      </w:pPr>
      <w:r>
        <w:rPr>
          <w:rFonts w:ascii="Times New Roman" w:hAnsi="Times New Roman" w:eastAsia="黑体"/>
          <w:b w:val="0"/>
          <w:color w:val="000000"/>
          <w:sz w:val="28"/>
        </w:rPr>
        <w:t>参考文献</w:t>
      </w:r>
    </w:p>
    <w:p>
      <w:pPr>
        <w:ind w:left="282"/>
      </w:pPr>
      <w:r>
        <w:rPr>
          <w:rFonts w:ascii="Times New Roman" w:hAnsi="Times New Roman" w:eastAsia="宋体"/>
          <w:b w:val="0"/>
          <w:color w:val="000000"/>
          <w:sz w:val="18"/>
        </w:rPr>
        <w:t>[1] 王雪芳,郑建岚,罗素蓉,等.矿掺合料对混凝土电阻率的影响[J].福州大学学报（自然科学版）, 2008, 36(3):416-421.</w:t>
      </w:r>
    </w:p>
    <w:p>
      <w:pPr>
        <w:ind w:left="282"/>
      </w:pPr>
      <w:r>
        <w:rPr>
          <w:rFonts w:ascii="Times New Roman" w:hAnsi="Times New Roman" w:eastAsia="宋体"/>
          <w:b w:val="0"/>
          <w:color w:val="000000"/>
          <w:sz w:val="18"/>
        </w:rPr>
        <w:t>[2] 谢友均,马昆林,龙广成,等.矿物掺合料对混凝土中氯离子渗透性的影响[J]. 硅酸盐学报,2006, 34(11):1395-1400.</w:t>
      </w:r>
    </w:p>
    <w:p>
      <w:pPr>
        <w:ind w:left="282"/>
      </w:pPr>
      <w:r>
        <w:rPr>
          <w:rFonts w:ascii="Times New Roman" w:hAnsi="Times New Roman" w:eastAsia="宋体"/>
          <w:b w:val="0"/>
          <w:color w:val="000000"/>
          <w:sz w:val="18"/>
        </w:rPr>
        <w:t>[3] 赵卓,蒋晓东.受腐蚀混凝土结构耐久性检测诊断[M].郑州: 黄河水利出版社, 2006.</w:t>
      </w:r>
    </w:p>
    <w:p>
      <w:pPr>
        <w:ind w:left="375"/>
      </w:pPr>
      <w:r>
        <w:rPr>
          <w:rFonts w:ascii="Times New Roman" w:hAnsi="Times New Roman" w:eastAsia="Times New Roman"/>
          <w:b w:val="0"/>
          <w:color w:val="000000"/>
          <w:sz w:val="18"/>
        </w:rPr>
        <w:t>[4] RAIF B A, BEKIR T L. Influence of fly ash on corrosion resistance of concrete[J]. Construction and Building Materials, 2013, 42: 1-8.</w:t>
      </w:r>
    </w:p>
    <w:p>
      <w:pPr>
        <w:ind w:left="375"/>
      </w:pPr>
      <w:r>
        <w:rPr>
          <w:rFonts w:ascii="Times New Roman" w:hAnsi="Times New Roman" w:eastAsia="Times New Roman"/>
          <w:b w:val="0"/>
          <w:color w:val="000000"/>
          <w:sz w:val="18"/>
        </w:rPr>
        <w:t>[5] XIE Y J, MA K L, LONG G C, et al. Effect of mineral admixtures on chloride ion permeability of concrete[J]. Journal of the Chinese Ceramic Society, 2006, 34(11):1395-1400.</w:t>
      </w:r>
    </w:p>
    <w:p>
      <w:pPr>
        <w:ind w:left="375"/>
      </w:pPr>
      <w:r>
        <w:rPr>
          <w:rFonts w:ascii="Times New Roman" w:hAnsi="Times New Roman" w:eastAsia="Times New Roman"/>
          <w:b w:val="0"/>
          <w:color w:val="000000"/>
          <w:sz w:val="18"/>
        </w:rPr>
        <w:t>[6] DONG X Q, BAI X H, WU Z A, et al. Study on the application of resistivity technology in concrete steel corrosion testing[J]. Concrete, 2007(9):9-12.</w:t>
      </w:r>
    </w:p>
    <w:p>
      <w:pPr>
        <w:ind w:left="375"/>
      </w:pPr>
      <w:r>
        <w:rPr>
          <w:rFonts w:ascii="Times New Roman" w:hAnsi="Times New Roman" w:eastAsia="Times New Roman"/>
          <w:b w:val="0"/>
          <w:color w:val="000000"/>
          <w:sz w:val="18"/>
        </w:rPr>
        <w:t>[7] SEMION Z, Konstantin K. Effect of internal curing on durability of concrete[J]. Cement and Concrete Research, 2015, 78: 1-12.</w:t>
      </w:r>
    </w:p>
    <w:p>
      <w:pPr>
        <w:ind w:left="375"/>
      </w:pPr>
      <w:r>
        <w:rPr>
          <w:rFonts w:ascii="Times New Roman" w:hAnsi="Times New Roman" w:eastAsia="Times New Roman"/>
          <w:b w:val="0"/>
          <w:color w:val="000000"/>
          <w:sz w:val="18"/>
        </w:rPr>
        <w:t>[8] GIROU E M. Computer algebra in scientific computing[C]//Proceedings of CASC, 2010: 1-12.</w:t>
      </w:r>
    </w:p>
    <w:p>
      <w:pPr>
        <w:sectPr>
          <w:type w:val="continuous"/>
          <w:pgSz w:w="11906" w:h="16838"/>
          <w:pgMar w:top="1440" w:right="1800" w:bottom="1440" w:left="1800" w:header="720" w:footer="720" w:gutter="0"/>
          <w:docGrid w:linePitch="360"/>
          <w:cols w:num="2" w:space="425"/>
        </w:sectPr>
      </w:pPr>
    </w:p>
    <w:p>
      <w:pPr>
        <w:pStyle w:val="Heading1"/>
        <w:spacing w:before="0" w:after="0" w:line="240" w:lineRule="auto"/>
      </w:pPr>
      <w:r>
        <w:rPr>
          <w:rFonts w:ascii="Times New Roman" w:hAnsi="Times New Roman" w:eastAsia="Times New Roman"/>
          <w:b w:val="0"/>
          <w:color w:val="000000"/>
          <w:sz w:val="24"/>
        </w:rPr>
        <w:t>Deep Reinforcement Learning Based Multi-Robot Cooperative Path Planning</w:t>
      </w:r>
    </w:p>
    <w:p>
      <w:pPr>
        <w:jc w:val="center"/>
      </w:pPr>
      <w:r>
        <w:rPr>
          <w:rFonts w:ascii="Times New Roman" w:hAnsi="Times New Roman" w:eastAsia="Times New Roman"/>
          <w:b w:val="0"/>
          <w:color w:val="000000"/>
          <w:sz w:val="22"/>
        </w:rPr>
        <w:t>Zhang San    Li Si    Wang Wu</w:t>
      </w:r>
    </w:p>
    <w:p>
      <w:pPr>
        <w:jc w:val="center"/>
      </w:pPr>
      <w:r>
        <w:rPr>
          <w:rFonts w:ascii="Times New Roman" w:hAnsi="Times New Roman" w:eastAsia="Times New Roman"/>
          <w:b w:val="0"/>
          <w:color w:val="000000"/>
          <w:sz w:val="18"/>
        </w:rPr>
        <w:t>(School of Electrical and Information Engineering, Zhengzhou University, Zhengzhou 450001, China)</w:t>
      </w:r>
    </w:p>
    <w:p>
      <w:r>
        <w:rPr>
          <w:rFonts w:ascii="Times New Roman" w:hAnsi="Times New Roman" w:eastAsia="Times New Roman"/>
          <w:b/>
          <w:color w:val="000000"/>
          <w:sz w:val="18"/>
        </w:rPr>
        <w:t xml:space="preserve">Abstract: </w:t>
      </w:r>
      <w:r>
        <w:rPr>
          <w:rFonts w:ascii="Times New Roman" w:hAnsi="Times New Roman" w:eastAsia="Times New Roman"/>
          <w:b w:val="0"/>
          <w:color w:val="000000"/>
          <w:sz w:val="18"/>
        </w:rPr>
        <w:t>Aiming at the cooperative path planning problem of multi-robot systems in complex environments, this paper proposes a distributed cooperative planning method based on deep reinforcement learning. The method designs an improved multi-agent proximal policy optimization algorithm that enables each robot to achieve efficient cooperative path planning through local observations and limited communication without relying on global information. Experimental results show that in a 100×100 grid environment, the proposed method reduces path length by 15.3% and planning time by 42.7% compared to A* algorithm and genetic algorithm, and exhibits stronger robustness in dynamic obstacle scenarios.</w:t>
      </w:r>
    </w:p>
    <w:p>
      <w:r>
        <w:rPr>
          <w:rFonts w:ascii="Times New Roman" w:hAnsi="Times New Roman" w:eastAsia="Times New Roman"/>
          <w:b/>
          <w:color w:val="000000"/>
          <w:sz w:val="18"/>
        </w:rPr>
        <w:t xml:space="preserve">Keywords: </w:t>
      </w:r>
      <w:r>
        <w:rPr>
          <w:rFonts w:ascii="Times New Roman" w:hAnsi="Times New Roman" w:eastAsia="Times New Roman"/>
          <w:b w:val="0"/>
          <w:color w:val="000000"/>
          <w:sz w:val="18"/>
        </w:rPr>
        <w:t>deep reinforcement learning; multi-robot system; path planning; multi-agent cooperation; proximal policy optimization</w:t>
      </w:r>
    </w:p>
    <w:sectPr w:rsidR="00FC693F" w:rsidRPr="0006063C" w:rsidSect="00034616">
      <w:pgSz w:w="11906" w:h="16838"/>
      <w:pgMar w:top="1440" w:right="1800" w:bottom="1440" w:left="1800" w:header="720" w:footer="720" w:gutter="0"/>
      <w:docGrid w:linePitch="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330" w:line="578" w:lineRule="auto"/>
      <w:outlineLvl w:val="0"/>
    </w:pPr>
    <w:rPr>
      <w:rFonts w:asciiTheme="majorHAnsi" w:eastAsiaTheme="majorEastAsia" w:hAnsiTheme="majorHAnsi" w:cstheme="majorBidi"/>
      <w:color w:val="000000"/>
      <w:sz w:val="44"/>
      <w:szCs w:val="44"/>
    </w:rPr>
  </w:style>
  <w:style w:type="paragraph" w:styleId="Heading2">
    <w:name w:val="heading 2"/>
    <w:basedOn w:val="Normal"/>
    <w:next w:val="Normal"/>
    <w:link w:val="Heading2Char"/>
    <w:uiPriority w:val="9"/>
    <w:unhideWhenUsed/>
    <w:qFormat/>
    <w:rsid w:val="00FC693F"/>
    <w:pPr>
      <w:keepNext/>
      <w:keepLines/>
      <w:spacing w:before="260" w:after="260" w:line="416" w:lineRule="auto"/>
      <w:outlineLvl w:val="1"/>
    </w:pPr>
    <w:rPr>
      <w:rFonts w:asciiTheme="majorHAnsi" w:eastAsiaTheme="majorEastAsia" w:hAnsiTheme="majorHAnsi" w:cstheme="majorBidi"/>
      <w:b/>
      <w:bCs/>
      <w:color w:val="000000"/>
      <w:sz w:val="32"/>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