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5614" w:rsidRDefault="001D5614">
      <w:pPr>
        <w:spacing w:beforeLines="50" w:before="156" w:afterLines="50" w:after="156"/>
        <w:jc w:val="center"/>
        <w:rPr>
          <w:rFonts w:ascii="SimSun" w:hAnsi="SimSun" w:cs="SimSun" w:hint="eastAsia"/>
          <w:sz w:val="24"/>
        </w:rPr>
      </w:pPr>
      <w:r>
        <w:rPr>
          <w:rFonts w:ascii="SimSun" w:hAnsi="SimSun" w:cs="SimSun" w:hint="eastAsia"/>
          <w:sz w:val="24"/>
        </w:rPr>
        <w:t>表</w:t>
      </w:r>
      <w:r>
        <w:rPr>
          <w:rFonts w:ascii="SimSun" w:hAnsi="SimSun" w:cs="SimSun" w:hint="eastAsia"/>
          <w:sz w:val="24"/>
        </w:rPr>
        <w:t xml:space="preserve">1 </w:t>
      </w:r>
      <w:r>
        <w:rPr>
          <w:rFonts w:ascii="SimSun" w:hAnsi="SimSun" w:cs="SimSun" w:hint="eastAsia"/>
          <w:sz w:val="24"/>
        </w:rPr>
        <w:t>本文的符号说明</w:t>
      </w:r>
    </w:p>
    <w:tbl>
      <w:tblPr>
        <w:tblW w:w="0" w:type="auto"/>
        <w:jc w:val="center"/>
        <w:tblInd w:w="0" w:type="dxa"/>
        <w:tblBorders>
          <w:bottom w:val="single" w:sz="12" w:space="0" w:color="auto"/>
        </w:tblBorders>
        <w:tblLook w:val="0000" w:firstRow="0" w:lastRow="0" w:firstColumn="0" w:lastColumn="0" w:noHBand="0" w:noVBand="0"/>
      </w:tblPr>
      <w:tblGrid>
        <w:gridCol w:w="1250"/>
        <w:gridCol w:w="5946"/>
        <w:gridCol w:w="1100"/>
      </w:tblGrid>
      <w:tr>
        <w:trPr>
          <w:jc w:val="center"/>
        </w:trPr>
        <w:tc>
          <w:tcPr>
            <w:tcW w:w="1250" w:type="dxa"/>
            <w:tcBorders>
              <w:top w:val="single" w:sz="12" w:space="0" w:color="auto"/>
              <w:left w:val="nil"/>
              <w:bottom w:val="single" w:sz="6" w:space="0" w:color="auto"/>
              <w:right w:val="nil"/>
              <w:tl2br w:val="nil"/>
              <w:tr2bl w:val="nil"/>
            </w:tcBorders>
            <w:vAlign w:val="center"/>
          </w:tcPr>
          <w:p>
            <w:pPr>
              <w:snapToGrid w:val="0"/>
              <w:adjustRightInd w:val="0"/>
              <w:jc w:val="center"/>
            </w:pPr>
            <w:r>
              <w:rPr>
                <w:b/>
                <w:bCs/>
              </w:rPr>
              <w:t>符号</w:t>
            </w:r>
          </w:p>
        </w:tc>
        <w:tc>
          <w:tcPr>
            <w:tcW w:w="5946" w:type="dxa"/>
            <w:tcBorders>
              <w:top w:val="single" w:sz="12" w:space="0" w:color="auto"/>
              <w:bottom w:val="single" w:sz="6" w:space="0" w:color="auto"/>
              <w:right w:val="nil"/>
              <w:tl2br w:val="nil"/>
              <w:tr2bl w:val="nil"/>
            </w:tcBorders>
            <w:vAlign w:val="center"/>
          </w:tcPr>
          <w:p>
            <w:pPr>
              <w:snapToGrid w:val="0"/>
              <w:adjustRightInd w:val="0"/>
              <w:jc w:val="center"/>
            </w:pPr>
            <w:r>
              <w:rPr>
                <w:b/>
                <w:bCs/>
              </w:rPr>
              <w:t>说明</w:t>
            </w:r>
          </w:p>
        </w:tc>
        <w:tc>
          <w:tcPr>
            <w:tcW w:w="1100" w:type="dxa"/>
            <w:tcBorders>
              <w:top w:val="single" w:sz="12" w:space="0" w:color="auto"/>
              <w:bottom w:val="single" w:sz="6" w:space="0" w:color="auto"/>
              <w:right w:val="nil"/>
              <w:tl2br w:val="nil"/>
              <w:tr2bl w:val="nil"/>
            </w:tcBorders>
            <w:vAlign w:val="center"/>
          </w:tcPr>
          <w:p>
            <w:pPr>
              <w:snapToGrid w:val="0"/>
              <w:adjustRightInd w:val="0"/>
              <w:jc w:val="center"/>
            </w:pPr>
            <w:r>
              <w:rPr>
                <w:b/>
                <w:bCs/>
              </w:rPr>
              <w:t>单位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r>
                <m:t>t</m:t>
              </m:r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日内十分钟时段序号，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，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为 00:00—00:10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—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r>
                <m:t>T</m:t>
              </m:r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一天内的时段总数，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144</m:t>
              </m:r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—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r>
                <m:t>d</m:t>
              </m:r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日期序号，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365</m:t>
              </m:r>
            </m:oMath>
            <w:r>
              <w:t xml:space="preserve">（2025.1.1—12.31）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—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r>
                <m:t>Δ</m:t>
              </m:r>
              <m:r>
                <m:t>t</m:t>
              </m:r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单个时段的时长，</w:t>
            </w:r>
            <m:oMath>
              <m:r>
                <m:t>Δ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h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r>
                <m:t>k</m:t>
              </m:r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光伏预报的发布时刻（问题 3、4），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18</m:t>
              </m:r>
              <m:r>
                <m:rPr>
                  <m:sty m:val="p"/>
                </m:rPr>
                <m:t>}</m:t>
              </m:r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时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第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天第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时段的外网电价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元/kWh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第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天的总购电费用，为模型的目标函数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元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L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第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天第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时段的小区负载功率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光伏可发功率（未弃光时的出力），满足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Sup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</m:sup>
              </m:sSubSup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光伏发电功率的预测值（问题 1，取自附件 1）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Sup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t</m:t>
                  </m:r>
                </m:sup>
              </m:sSubSup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光伏发电功率的实际值（问题 2、4，取自附件 2）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Sup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第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时刻发布的光伏预报功率（问题 3、4，取自附件 3）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第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天第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时段末的储电量，为状态变量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kWh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初始储电量，</w:t>
            </w:r>
            <m:oMath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6000</m:t>
              </m:r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kWh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min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储电量下限，</w:t>
            </w: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1200</m:t>
              </m:r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kWh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储电量上限，</w:t>
            </w: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10800</m:t>
              </m:r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kWh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储能额定容量，</w:t>
            </w: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12000</m:t>
              </m:r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kWh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  <m:sup>
                  <m:r>
                    <m:rPr>
                      <m:nor/>
                      <m:sty m:val="p"/>
                    </m:rPr>
                    <m:t>max</m:t>
                  </m:r>
                </m:sup>
              </m:sSubSup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储能最大充电、放电功率，</w:t>
            </w:r>
            <m:oMath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  <m:sup>
                  <m:r>
                    <m:rPr>
                      <m:nor/>
                      <m:sty m:val="p"/>
                    </m:rPr>
                    <m:t>max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5000</m:t>
              </m:r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储能充电效率，</w:t>
            </w:r>
            <m:oMath>
              <m:sSub>
                <m:e>
                  <m:r>
                    <m:t>η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0.90</m:t>
              </m:r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—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储能放电效率，</w:t>
            </w:r>
            <m:oMath>
              <m:sSub>
                <m:e>
                  <m:r>
                    <m:t>η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0.90</m:t>
              </m:r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—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外网计划购电功率，已付费并全额计价，满足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实际使用的计划购电功率，满足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y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x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购电浪费功率，</w:t>
            </w: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  <w:r>
              <w:t xml:space="preserve">，为导出变量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光伏实际使用功率，满足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g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w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光伏浪费（弃光）功率，</w:t>
            </w:r>
            <m:oMath>
              <m:sSub>
                <m:e>
                  <m:r>
                    <m:t>w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  <w:r>
              <w:t xml:space="preserve">，为导出变量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储能充电功率，满足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u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≤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  <m:sup>
                  <m:r>
                    <m:rPr>
                      <m:nor/>
                      <m:sty m:val="p"/>
                    </m:rPr>
                    <m:t>max</m:t>
                  </m:r>
                </m:sup>
              </m:sSubSup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储能放电功率，满足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≤</m:t>
              </m:r>
              <m:sSubSup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  <m:sup>
                  <m:r>
                    <m:rPr>
                      <m:nor/>
                      <m:sty m:val="p"/>
                    </m:rPr>
                    <m:t>max</m:t>
                  </m:r>
                </m:sup>
              </m:sSubSup>
            </m:oMath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外网紧急购电功率，满足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（问题 2、3、4）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Sup>
                <m:e>
                  <m:r>
                    <m:t>x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第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时刻制定的购电功率，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18</m:t>
              </m:r>
              <m:r>
                <m:rPr>
                  <m:sty m:val="p"/>
                </m:rPr>
                <m:t>}</m:t>
              </m:r>
            </m:oMath>
            <w:r>
              <w:t xml:space="preserve">；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为计划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Sup>
                <m:e>
                  <m:r>
                    <m:t>Δ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第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时刻相对上一承诺上调的超购量，按</w:t>
            </w:r>
            <w:r>
              <w:t xml:space="preserve"> </w:t>
            </w:r>
            <m:oMath>
              <m:r>
                <m:t>1.5</m:t>
              </m:r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计价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Sup>
                <m:e>
                  <m:r>
                    <m:t>Δ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第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时刻相对上一承诺下调的违约量，按</w:t>
            </w:r>
            <w:r>
              <w:t xml:space="preserve"> </w:t>
            </w:r>
            <m:oMath>
              <m:r>
                <m:t>0.5</m:t>
              </m:r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计价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  <w:tr>
        <w:trPr>
          <w:jc w:val="center"/>
        </w:trPr>
        <w:tc>
          <w:tcPr>
            <w:tcW w:w="1250" w:type="dxa"/>
            <w:vAlign w:val="center"/>
          </w:tcPr>
          <w:p>
            <w:pPr>
              <w:snapToGrid w:val="0"/>
              <w:adjustRightInd w:val="0"/>
              <w:jc w:val="center"/>
            </w:pPr>
            <m:oMath>
              <m:sSubSup>
                <m:e>
                  <m:r>
                    <m:t>y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sup>
              </m:sSubSup>
            </m:oMath>
          </w:p>
        </w:tc>
        <w:tc>
          <w:tcPr>
            <w:tcW w:w="5946" w:type="dxa"/>
            <w:vAlign w:val="center"/>
          </w:tcPr>
          <w:p>
            <w:pPr>
              <w:snapToGrid w:val="0"/>
              <w:adjustRightInd w:val="0"/>
              <w:jc w:val="left"/>
            </w:pPr>
            <w:r>
              <w:t xml:space="preserve">各决策时刻均未下调的基准购电量，按电价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计价</w:t>
            </w:r>
          </w:p>
        </w:tc>
        <w:tc>
          <w:tcPr>
            <w:tcW w:w="1100" w:type="dxa"/>
            <w:vAlign w:val="center"/>
          </w:tcPr>
          <w:p>
            <w:pPr>
              <w:snapToGrid w:val="0"/>
              <w:adjustRightInd w:val="0"/>
              <w:jc w:val="center"/>
            </w:pPr>
            <w:r>
              <w:t xml:space="preserve">kW</w:t>
            </w:r>
          </w:p>
        </w:tc>
      </w:tr>
    </w:tbl>
    <w:sectPr w:rsidR="00AC7559">
      <w:footerReference w:type="default" r:id="rId21"/>
      <w:footerReference w:type="first" r:id="rId22"/>
      <w:pgSz w:w="11906" w:h="16838"/>
      <w:pgMar w:top="1418" w:right="1418" w:bottom="1418" w:left="1418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5614" w:rsidRDefault="001D5614">
      <w:r>
        <w:separator/>
      </w:r>
    </w:p>
  </w:endnote>
  <w:endnote w:type="continuationSeparator" w:id="0">
    <w:p w:rsidR="001D5614" w:rsidRDefault="001D5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5614" w:rsidRDefault="001D5614">
    <w:pPr>
      <w:pStyle w:val="a3"/>
      <w:tabs>
        <w:tab w:val="left" w:pos="3963"/>
        <w:tab w:val="center" w:pos="4595"/>
      </w:tabs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9" o:spid="_x0000_s1033" type="#_x0000_t202" style="position:absolute;margin-left:0;margin-top:0;width:2in;height:2in;z-index:251656192;mso-wrap-style:none;mso-position-horizontal:center;mso-position-horizontal-relative:margin" filled="f" stroked="f">
          <v:fill o:detectmouseclick="t"/>
          <v:textbox style="mso-fit-shape-to-text:t" inset="0,0,0,0">
            <w:txbxContent>
              <w:p w:rsidR="001D5614" w:rsidRDefault="001D5614">
                <w:pPr>
                  <w:pStyle w:val="a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  <w:p w:rsidR="001D5614" w:rsidRDefault="001D561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5614" w:rsidRDefault="001D5614">
    <w:pPr>
      <w:pStyle w:val="a3"/>
      <w:tabs>
        <w:tab w:val="center" w:pos="4535"/>
      </w:tabs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" o:spid="_x0000_s1034" type="#_x0000_t202" style="position:absolute;margin-left:0;margin-top:0;width:2in;height:2in;z-index:251657216;mso-wrap-style:none;mso-position-horizontal:center;mso-position-horizontal-relative:margin" filled="f" stroked="f">
          <v:fill o:detectmouseclick="t"/>
          <v:textbox style="mso-fit-shape-to-text:t" inset="0,0,0,0">
            <w:txbxContent>
              <w:p w:rsidR="001D5614" w:rsidRDefault="001D5614">
                <w:pPr>
                  <w:pStyle w:val="a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5614" w:rsidRDefault="001D5614">
    <w:pPr>
      <w:pStyle w:val="a3"/>
      <w:tabs>
        <w:tab w:val="left" w:pos="3963"/>
        <w:tab w:val="center" w:pos="4595"/>
      </w:tabs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1" o:spid="_x0000_s1035" type="#_x0000_t202" style="position:absolute;margin-left:0;margin-top:0;width:2in;height:2in;z-index:251658240;mso-wrap-style:none;mso-position-horizontal:center;mso-position-horizontal-relative:margin" filled="f" stroked="f">
          <v:fill o:detectmouseclick="t"/>
          <v:textbox style="mso-fit-shape-to-text:t" inset="0,0,0,0">
            <w:txbxContent>
              <w:p w:rsidR="001D5614" w:rsidRDefault="001D5614">
                <w:pPr>
                  <w:pStyle w:val="a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</w:p>
  <w:p w:rsidR="001D5614" w:rsidRDefault="001D5614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5614" w:rsidRDefault="001D5614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2" o:spid="_x0000_s1036" type="#_x0000_t202" style="position:absolute;margin-left:0;margin-top:0;width:2in;height:2in;z-index:251659264;mso-wrap-style:none;mso-position-horizontal:center;mso-position-horizontal-relative:margin" filled="f" stroked="f">
          <v:fill o:detectmouseclick="t"/>
          <v:textbox style="mso-fit-shape-to-text:t" inset="0,0,0,0">
            <w:txbxContent>
              <w:p w:rsidR="001D5614" w:rsidRDefault="001D5614">
                <w:pPr>
                  <w:pStyle w:val="a3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5614" w:rsidRDefault="001D5614">
      <w:r>
        <w:separator/>
      </w:r>
    </w:p>
  </w:footnote>
  <w:footnote w:type="continuationSeparator" w:id="0">
    <w:p w:rsidR="001D5614" w:rsidRDefault="001D56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5614" w:rsidRDefault="001D5614">
    <w:pPr>
      <w:pStyle w:val="a4"/>
      <w:pBdr>
        <w:bottom w:val="none" w:sz="0" w:space="0" w:color="auto"/>
      </w:pBdr>
    </w:pPr>
  </w:p>
  <w:p w:rsidR="001D5614" w:rsidRDefault="001D56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A5F019"/>
    <w:multiLevelType w:val="singleLevel"/>
    <w:tmpl w:val="A6A5F01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7B052F4"/>
    <w:multiLevelType w:val="singleLevel"/>
    <w:tmpl w:val="A7B052F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A81B4BFD"/>
    <w:multiLevelType w:val="singleLevel"/>
    <w:tmpl w:val="A81B4BFD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3" w15:restartNumberingAfterBreak="0">
    <w:nsid w:val="F751C3E8"/>
    <w:multiLevelType w:val="singleLevel"/>
    <w:tmpl w:val="F751C3E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22F62BE1"/>
    <w:multiLevelType w:val="singleLevel"/>
    <w:tmpl w:val="22F62BE1"/>
    <w:lvl w:ilvl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5" w15:restartNumberingAfterBreak="0">
    <w:nsid w:val="5092B40F"/>
    <w:multiLevelType w:val="singleLevel"/>
    <w:tmpl w:val="5092B40F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6" w15:restartNumberingAfterBreak="0">
    <w:nsid w:val="5A571401"/>
    <w:multiLevelType w:val="hybridMultilevel"/>
    <w:tmpl w:val="A1BC57E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B825727"/>
    <w:multiLevelType w:val="multilevel"/>
    <w:tmpl w:val="5B825727"/>
    <w:lvl w:ilvl="0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8" w15:restartNumberingAfterBreak="0">
    <w:nsid w:val="73CD4293"/>
    <w:multiLevelType w:val="multilevel"/>
    <w:tmpl w:val="73CD4293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ascii="SimSun" w:eastAsia="SimSun" w:hAnsi="SimSun" w:hint="eastAsia"/>
        <w:b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SimSun" w:eastAsia="SimSun" w:hAnsi="SimSun" w:hint="eastAsia"/>
        <w:b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SimSun" w:eastAsia="SimSun" w:hAnsi="SimSun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444302715">
    <w:abstractNumId w:val="8"/>
  </w:num>
  <w:num w:numId="2" w16cid:durableId="1530098537">
    <w:abstractNumId w:val="1"/>
  </w:num>
  <w:num w:numId="3" w16cid:durableId="1097484865">
    <w:abstractNumId w:val="5"/>
  </w:num>
  <w:num w:numId="4" w16cid:durableId="1398285770">
    <w:abstractNumId w:val="0"/>
  </w:num>
  <w:num w:numId="5" w16cid:durableId="1572276207">
    <w:abstractNumId w:val="3"/>
  </w:num>
  <w:num w:numId="6" w16cid:durableId="2133355150">
    <w:abstractNumId w:val="2"/>
  </w:num>
  <w:num w:numId="7" w16cid:durableId="705329540">
    <w:abstractNumId w:val="4"/>
  </w:num>
  <w:num w:numId="8" w16cid:durableId="330840697">
    <w:abstractNumId w:val="7"/>
  </w:num>
  <w:num w:numId="9" w16cid:durableId="674606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1C00"/>
    <w:rsid w:val="000306EB"/>
    <w:rsid w:val="00042CF8"/>
    <w:rsid w:val="00054C48"/>
    <w:rsid w:val="00056BF9"/>
    <w:rsid w:val="00083C72"/>
    <w:rsid w:val="00094818"/>
    <w:rsid w:val="000D5805"/>
    <w:rsid w:val="000E110A"/>
    <w:rsid w:val="000F6762"/>
    <w:rsid w:val="00114404"/>
    <w:rsid w:val="00130604"/>
    <w:rsid w:val="00130A3B"/>
    <w:rsid w:val="00130D78"/>
    <w:rsid w:val="00172F51"/>
    <w:rsid w:val="001850A2"/>
    <w:rsid w:val="00185E4A"/>
    <w:rsid w:val="001865F7"/>
    <w:rsid w:val="001B15E2"/>
    <w:rsid w:val="001B2A7C"/>
    <w:rsid w:val="001D2E75"/>
    <w:rsid w:val="001D5614"/>
    <w:rsid w:val="00204E4B"/>
    <w:rsid w:val="0021380D"/>
    <w:rsid w:val="00260098"/>
    <w:rsid w:val="002A5B2B"/>
    <w:rsid w:val="002B097B"/>
    <w:rsid w:val="002B637E"/>
    <w:rsid w:val="002D5185"/>
    <w:rsid w:val="002F6FF3"/>
    <w:rsid w:val="00300C96"/>
    <w:rsid w:val="00322F6B"/>
    <w:rsid w:val="00383963"/>
    <w:rsid w:val="003E236B"/>
    <w:rsid w:val="003E5AE2"/>
    <w:rsid w:val="0040725A"/>
    <w:rsid w:val="00407BA1"/>
    <w:rsid w:val="004223CF"/>
    <w:rsid w:val="00431750"/>
    <w:rsid w:val="0043718C"/>
    <w:rsid w:val="00453DAE"/>
    <w:rsid w:val="00465407"/>
    <w:rsid w:val="00473374"/>
    <w:rsid w:val="004B38AA"/>
    <w:rsid w:val="004B484C"/>
    <w:rsid w:val="004B54BC"/>
    <w:rsid w:val="004C3639"/>
    <w:rsid w:val="004C6618"/>
    <w:rsid w:val="00521C00"/>
    <w:rsid w:val="00522B12"/>
    <w:rsid w:val="005334C2"/>
    <w:rsid w:val="00561C99"/>
    <w:rsid w:val="0056343C"/>
    <w:rsid w:val="005646BE"/>
    <w:rsid w:val="00590FBB"/>
    <w:rsid w:val="005C0BFB"/>
    <w:rsid w:val="005C112D"/>
    <w:rsid w:val="006115D1"/>
    <w:rsid w:val="0061338C"/>
    <w:rsid w:val="006850BB"/>
    <w:rsid w:val="00693BEA"/>
    <w:rsid w:val="00694416"/>
    <w:rsid w:val="006B5427"/>
    <w:rsid w:val="006C234E"/>
    <w:rsid w:val="006D21BD"/>
    <w:rsid w:val="006E7C18"/>
    <w:rsid w:val="00714034"/>
    <w:rsid w:val="007A25BF"/>
    <w:rsid w:val="007C3902"/>
    <w:rsid w:val="0081093C"/>
    <w:rsid w:val="00813C51"/>
    <w:rsid w:val="00822190"/>
    <w:rsid w:val="00844B76"/>
    <w:rsid w:val="00870E64"/>
    <w:rsid w:val="00891BFE"/>
    <w:rsid w:val="008B4DEC"/>
    <w:rsid w:val="00916513"/>
    <w:rsid w:val="00923B54"/>
    <w:rsid w:val="00935F05"/>
    <w:rsid w:val="00954874"/>
    <w:rsid w:val="00961417"/>
    <w:rsid w:val="009670AB"/>
    <w:rsid w:val="009748D2"/>
    <w:rsid w:val="00991EFF"/>
    <w:rsid w:val="009F6112"/>
    <w:rsid w:val="00A0422C"/>
    <w:rsid w:val="00A40068"/>
    <w:rsid w:val="00A7042F"/>
    <w:rsid w:val="00A8523A"/>
    <w:rsid w:val="00A92133"/>
    <w:rsid w:val="00AB0F79"/>
    <w:rsid w:val="00AB297A"/>
    <w:rsid w:val="00AC6826"/>
    <w:rsid w:val="00AC7559"/>
    <w:rsid w:val="00AD750F"/>
    <w:rsid w:val="00AE61CA"/>
    <w:rsid w:val="00B04A66"/>
    <w:rsid w:val="00B102E5"/>
    <w:rsid w:val="00B26839"/>
    <w:rsid w:val="00B5007B"/>
    <w:rsid w:val="00B74BA9"/>
    <w:rsid w:val="00B86DE9"/>
    <w:rsid w:val="00B9055E"/>
    <w:rsid w:val="00B93637"/>
    <w:rsid w:val="00BA29EC"/>
    <w:rsid w:val="00BC3404"/>
    <w:rsid w:val="00BC6D3E"/>
    <w:rsid w:val="00BE5C4F"/>
    <w:rsid w:val="00BE6105"/>
    <w:rsid w:val="00C0000A"/>
    <w:rsid w:val="00C10A03"/>
    <w:rsid w:val="00C42295"/>
    <w:rsid w:val="00C433DC"/>
    <w:rsid w:val="00C453F4"/>
    <w:rsid w:val="00C45FB0"/>
    <w:rsid w:val="00C5052A"/>
    <w:rsid w:val="00C61148"/>
    <w:rsid w:val="00C74795"/>
    <w:rsid w:val="00C83D9D"/>
    <w:rsid w:val="00C94B24"/>
    <w:rsid w:val="00CF4939"/>
    <w:rsid w:val="00D13495"/>
    <w:rsid w:val="00D134AB"/>
    <w:rsid w:val="00D5006C"/>
    <w:rsid w:val="00D5772D"/>
    <w:rsid w:val="00D80170"/>
    <w:rsid w:val="00D8257E"/>
    <w:rsid w:val="00DB0EDE"/>
    <w:rsid w:val="00DC09B4"/>
    <w:rsid w:val="00DE2086"/>
    <w:rsid w:val="00DE35DC"/>
    <w:rsid w:val="00DF1A0C"/>
    <w:rsid w:val="00E06722"/>
    <w:rsid w:val="00E522A6"/>
    <w:rsid w:val="00E52B64"/>
    <w:rsid w:val="00E621C3"/>
    <w:rsid w:val="00E72AE0"/>
    <w:rsid w:val="00E81841"/>
    <w:rsid w:val="00E939B7"/>
    <w:rsid w:val="00E963B9"/>
    <w:rsid w:val="00EA4A59"/>
    <w:rsid w:val="00EC1C8B"/>
    <w:rsid w:val="00F10A1A"/>
    <w:rsid w:val="00F11C51"/>
    <w:rsid w:val="00F12231"/>
    <w:rsid w:val="00F547B0"/>
    <w:rsid w:val="00F557E6"/>
    <w:rsid w:val="00FC014D"/>
    <w:rsid w:val="00FC5B70"/>
    <w:rsid w:val="00FD304F"/>
    <w:rsid w:val="1A8C57B1"/>
    <w:rsid w:val="200F6611"/>
    <w:rsid w:val="49BF718C"/>
    <w:rsid w:val="5DBE2E94"/>
    <w:rsid w:val="5F181560"/>
    <w:rsid w:val="61A927B6"/>
    <w:rsid w:val="6DE9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54F8960-DF9C-428E-9695-FB3FA3B2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numPr>
        <w:ilvl w:val="1"/>
        <w:numId w:val="1"/>
      </w:numPr>
      <w:spacing w:beforeLines="50" w:before="50" w:afterLines="50" w:after="50"/>
      <w:ind w:left="0" w:firstLine="0"/>
      <w:jc w:val="left"/>
      <w:outlineLvl w:val="1"/>
    </w:pPr>
    <w:rPr>
      <w:rFonts w:ascii="SimHei" w:hAnsi="SimHei"/>
      <w:b/>
      <w:bCs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numPr>
        <w:ilvl w:val="2"/>
        <w:numId w:val="1"/>
      </w:numPr>
      <w:ind w:left="0" w:firstLine="0"/>
      <w:jc w:val="left"/>
      <w:outlineLvl w:val="2"/>
    </w:pPr>
    <w:rPr>
      <w:rFonts w:ascii="SimHei" w:hAnsi="SimHei"/>
      <w:bCs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1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3"/>
    <w:uiPriority w:val="99"/>
    <w:rPr>
      <w:kern w:val="2"/>
      <w:sz w:val="18"/>
      <w:szCs w:val="18"/>
    </w:rPr>
  </w:style>
  <w:style w:type="paragraph" w:styleId="a4">
    <w:name w:val="header"/>
    <w:basedOn w:val="a"/>
    <w:link w:val="a5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Pr>
      <w:kern w:val="2"/>
      <w:sz w:val="18"/>
      <w:szCs w:val="18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link w:val="a9"/>
    <w:uiPriority w:val="1"/>
    <w:qFormat/>
    <w:rPr>
      <w:rFonts w:ascii="Calibri" w:hAnsi="Calibri"/>
      <w:sz w:val="22"/>
      <w:szCs w:val="22"/>
    </w:rPr>
  </w:style>
  <w:style w:type="character" w:customStyle="1" w:styleId="a9">
    <w:name w:val="无间隔 字符"/>
    <w:link w:val="a8"/>
    <w:uiPriority w:val="1"/>
    <w:rPr>
      <w:rFonts w:ascii="Calibri" w:hAnsi="Calibri"/>
      <w:sz w:val="22"/>
      <w:szCs w:val="22"/>
      <w:lang w:val="en-US" w:eastAsia="zh-CN" w:bidi="ar-SA"/>
    </w:rPr>
  </w:style>
  <w:style w:type="character" w:customStyle="1" w:styleId="aa">
    <w:name w:val="页脚 字符"/>
    <w:uiPriority w:val="99"/>
  </w:style>
  <w:style w:type="paragraph" w:styleId="ab">
    <w:name w:val="List Paragraph"/>
    <w:basedOn w:val="a"/>
    <w:uiPriority w:val="34"/>
    <w:qFormat/>
    <w:pPr>
      <w:ind w:firstLine="420"/>
    </w:pPr>
  </w:style>
  <w:style w:type="table" w:customStyle="1" w:styleId="ac">
    <w:name w:val="三线表"/>
    <w:basedOn w:val="a1"/>
    <w:uiPriority w:val="99"/>
    <w:qFormat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single" w:sz="6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d">
    <w:name w:val="图表标题"/>
    <w:basedOn w:val="a"/>
    <w:next w:val="a"/>
    <w:qFormat/>
    <w:pPr>
      <w:jc w:val="center"/>
    </w:pPr>
    <w:rPr>
      <w:b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2471</Words>
  <Characters>2694</Characters>
  <Application>Microsoft Office Word</Application>
  <DocSecurity>0</DocSecurity>
  <Lines>149</Lines>
  <Paragraphs>132</Paragraphs>
  <ScaleCrop>false</ScaleCrop>
  <Company>Microsoft</Company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第一页</dc:title>
  <dc:subject/>
  <dc:creator>jlzj</dc:creator>
  <cp:keywords/>
  <dc:description/>
  <cp:lastModifiedBy>rmit He</cp:lastModifiedBy>
  <cp:revision>2</cp:revision>
  <dcterms:created xsi:type="dcterms:W3CDTF">2026-09-11T05:13:00Z</dcterms:created>
  <dcterms:modified xsi:type="dcterms:W3CDTF">2026-09-11T05:13:00Z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eyJoZGlkIjoiNGNlN2VmN2QxNzI5MzliMmEwNzUyNjM5M2Y5YzI1M2EiLCJ1c2VySWQiOiIyNzg5NDI3MjYifQ==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395A356CD8BD4841ACF00D7904A56BA2_13</vt:lpwstr>
  </property>
  <property fmtid="{D5CDD505-2E9C-101B-9397-08002B2CF9AE}" pid="5" name="GrammarlyDocumentId">
    <vt:lpwstr>d68512c6-b7bd-414f-8285-b80f380232e0</vt:lpwstr>
  </property>
  <property fmtid="{D5CDD505-2E9C-101B-9397-08002B2CF9AE}" pid="6" name="MTWinEqns">
    <vt:bool>true</vt:bool>
  </property>
</Properties>
</file>