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fill="D9EAD3" w:val="clea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fill="D9EAD3" w:val="clea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color w:val="000000" w:themeColor="text1"/>
              </w:rPr>
              <w:t xml:space="preserve">X   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fill="D9EAD3" w:val="clea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fill="D9EAD3" w:val="clea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fill="D9EAD3" w:val="clea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fill="D9EAD3" w:val="clea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shd w:fill="D9EAD3" w:val="clea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fill="D9EAD3" w:val="clea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shd w:fill="D9EAD3" w:val="clea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fill="D9EAD3" w:val="clea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shd w:fill="D9EAD3" w:val="clea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lang w:eastAsia="es-CL"/>
              </w:rPr>
              <w:t>X   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shd w:fill="D9EAD3" w:val="clea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b/>
              </w:rPr>
              <w:t xml:space="preserve">X   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r>
        <w:rPr>
          <w:rFonts w:ascii="Calibri" w:hAnsi="Calibri"/>
          <w:color w:val="1A241C"/>
          <w:sz w:val="22"/>
        </w:rPr>
        <w:t>Matías Castro. Autoevaluación formativa, sin nota. Resultado estimado: 90%. Quedó en Logrado, y no en Completamente logrado, el cuidado de citas y referencias, y los indicadores de calidad de la disciplina: el diseño nombra la base de datos y las pruebas, pero todavía no están hechas. Eso es lo que ajusto antes de la evaluación sumativa.</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