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D780CE">
      <w:pPr>
        <w:spacing w:after="360"/>
      </w:pP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296"/>
        <w:gridCol w:w="8208"/>
      </w:tblGrid>
      <w:tr w14:paraId="2DDF9764">
        <w:trPr>
          <w:trHeight w:val="1224" w:hRule="atLeast"/>
          <w:jc w:val="center"/>
        </w:trPr>
        <w:tc>
          <w:tcPr>
            <w:tcW w:w="1296" w:type="dxa"/>
            <w:vAlign w:val="center"/>
          </w:tcPr>
          <w:p w14:paraId="76A09DED">
            <w:pPr>
              <w:spacing w:after="0"/>
              <w:jc w:val="center"/>
            </w:pPr>
            <w:r>
              <w:drawing>
                <wp:inline distT="0" distB="0" distL="114300" distR="114300">
                  <wp:extent cx="657860" cy="616585"/>
                  <wp:effectExtent l="0" t="0" r="254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658368" cy="617103"/>
                          </a:xfrm>
                          <a:prstGeom prst="rect">
                            <a:avLst/>
                          </a:prstGeom>
                        </pic:spPr>
                      </pic:pic>
                    </a:graphicData>
                  </a:graphic>
                </wp:inline>
              </w:drawing>
            </w:r>
          </w:p>
        </w:tc>
        <w:tc>
          <w:tcPr>
            <w:tcW w:w="8208" w:type="dxa"/>
            <w:vAlign w:val="center"/>
          </w:tcPr>
          <w:p w14:paraId="5B571495">
            <w:pPr>
              <w:spacing w:after="0" w:line="240" w:lineRule="auto"/>
            </w:pPr>
            <w:r>
              <w:rPr>
                <w:rFonts w:ascii="Arial" w:hAnsi="Arial" w:eastAsia="Heiti SC" w:cs="Arial"/>
                <w:b/>
                <w:sz w:val="40"/>
              </w:rPr>
              <w:t>中央民族大学本科生创新训练计划申报书</w:t>
            </w:r>
          </w:p>
          <w:p w14:paraId="48A1A829">
            <w:pPr>
              <w:spacing w:before="0" w:after="0" w:line="240" w:lineRule="auto"/>
            </w:pPr>
            <w:r>
              <w:rPr>
                <w:rFonts w:ascii="Arial" w:hAnsi="Arial" w:eastAsia="Heiti SC" w:cs="Arial"/>
                <w:b/>
                <w:sz w:val="22"/>
              </w:rPr>
              <w:t>Project Application of Minzu University of China</w:t>
            </w:r>
          </w:p>
        </w:tc>
      </w:tr>
    </w:tbl>
    <w:p w14:paraId="785135D9">
      <w:pPr>
        <w:spacing w:before="2360" w:after="2100" w:line="324" w:lineRule="auto"/>
        <w:jc w:val="center"/>
        <w:rPr>
          <w:sz w:val="36"/>
          <w:szCs w:val="36"/>
        </w:rPr>
      </w:pPr>
      <w:r>
        <w:rPr>
          <w:rFonts w:hint="eastAsia"/>
          <w:sz w:val="36"/>
          <w:szCs w:val="36"/>
        </w:rPr>
        <w:t xml:space="preserve">传统服饰图文资料的语义对齐与可溯源证据链构建研究 </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44"/>
        <w:gridCol w:w="7560"/>
      </w:tblGrid>
      <w:tr w14:paraId="62365E56">
        <w:trPr>
          <w:trHeight w:val="691" w:hRule="atLeast"/>
          <w:jc w:val="center"/>
        </w:trPr>
        <w:tc>
          <w:tcPr>
            <w:tcW w:w="1944" w:type="dxa"/>
            <w:vAlign w:val="center"/>
          </w:tcPr>
          <w:p w14:paraId="2453FBF0">
            <w:pPr>
              <w:spacing w:before="0" w:after="0" w:line="240" w:lineRule="auto"/>
            </w:pPr>
            <w:r>
              <w:rPr>
                <w:rFonts w:ascii="Times New Roman" w:hAnsi="Times New Roman" w:eastAsia="Songti SC" w:cs="Times New Roman"/>
                <w:b w:val="0"/>
                <w:sz w:val="28"/>
              </w:rPr>
              <w:t>申报类型：</w:t>
            </w:r>
          </w:p>
        </w:tc>
        <w:tc>
          <w:tcPr>
            <w:tcW w:w="7560" w:type="dxa"/>
            <w:vAlign w:val="center"/>
          </w:tcPr>
          <w:p w14:paraId="42170A40">
            <w:pPr>
              <w:spacing w:before="0" w:after="0" w:line="240" w:lineRule="auto"/>
            </w:pPr>
            <w:r>
              <w:rPr>
                <w:rFonts w:ascii="Times New Roman" w:hAnsi="Times New Roman" w:eastAsia="Songti SC" w:cs="Times New Roman"/>
                <w:b w:val="0"/>
                <w:sz w:val="28"/>
              </w:rPr>
              <w:t>中央民族大学本科生创新训练计划</w:t>
            </w:r>
          </w:p>
        </w:tc>
      </w:tr>
      <w:tr w14:paraId="362063E7">
        <w:trPr>
          <w:trHeight w:val="691" w:hRule="atLeast"/>
          <w:jc w:val="center"/>
        </w:trPr>
        <w:tc>
          <w:tcPr>
            <w:tcW w:w="1944" w:type="dxa"/>
            <w:vAlign w:val="center"/>
          </w:tcPr>
          <w:p w14:paraId="612A6740">
            <w:pPr>
              <w:spacing w:before="0" w:after="0" w:line="240" w:lineRule="auto"/>
            </w:pPr>
            <w:r>
              <w:rPr>
                <w:rFonts w:ascii="Times New Roman" w:hAnsi="Times New Roman" w:eastAsia="Songti SC" w:cs="Times New Roman"/>
                <w:b w:val="0"/>
                <w:sz w:val="28"/>
              </w:rPr>
              <w:t>指导教师：</w:t>
            </w:r>
          </w:p>
        </w:tc>
        <w:tc>
          <w:tcPr>
            <w:tcW w:w="7560" w:type="dxa"/>
            <w:vAlign w:val="center"/>
          </w:tcPr>
          <w:p w14:paraId="024A6355">
            <w:pPr>
              <w:spacing w:before="0" w:after="0" w:line="240" w:lineRule="auto"/>
            </w:pPr>
            <w:r>
              <w:rPr>
                <w:rFonts w:ascii="Times New Roman" w:hAnsi="Times New Roman" w:eastAsia="Songti SC" w:cs="Times New Roman"/>
                <w:b w:val="0"/>
                <w:sz w:val="28"/>
              </w:rPr>
              <w:t>高宇童</w:t>
            </w:r>
          </w:p>
        </w:tc>
      </w:tr>
      <w:tr w14:paraId="70FF4ADB">
        <w:trPr>
          <w:trHeight w:val="691" w:hRule="atLeast"/>
          <w:jc w:val="center"/>
        </w:trPr>
        <w:tc>
          <w:tcPr>
            <w:tcW w:w="1944" w:type="dxa"/>
            <w:vAlign w:val="center"/>
          </w:tcPr>
          <w:p w14:paraId="3CF1A7C6">
            <w:pPr>
              <w:spacing w:before="0" w:after="0" w:line="240" w:lineRule="auto"/>
            </w:pPr>
            <w:r>
              <w:rPr>
                <w:rFonts w:ascii="Times New Roman" w:hAnsi="Times New Roman" w:eastAsia="Songti SC" w:cs="Times New Roman"/>
                <w:b w:val="0"/>
                <w:sz w:val="28"/>
              </w:rPr>
              <w:t>项目成员：</w:t>
            </w:r>
          </w:p>
        </w:tc>
        <w:tc>
          <w:tcPr>
            <w:tcW w:w="7560" w:type="dxa"/>
            <w:vAlign w:val="center"/>
          </w:tcPr>
          <w:p w14:paraId="3E59DC1E">
            <w:pPr>
              <w:spacing w:before="0" w:after="0" w:line="240" w:lineRule="auto"/>
            </w:pPr>
            <w:r>
              <w:rPr>
                <w:rFonts w:ascii="Times New Roman" w:hAnsi="Times New Roman" w:eastAsia="Songti SC" w:cs="Times New Roman"/>
                <w:b w:val="0"/>
                <w:sz w:val="28"/>
              </w:rPr>
              <w:t>郭磊、李品圻、李亚菲、李世鹏、马里予</w:t>
            </w:r>
          </w:p>
        </w:tc>
      </w:tr>
      <w:tr w14:paraId="799EE8F3">
        <w:trPr>
          <w:trHeight w:val="691" w:hRule="atLeast"/>
          <w:jc w:val="center"/>
        </w:trPr>
        <w:tc>
          <w:tcPr>
            <w:tcW w:w="1944" w:type="dxa"/>
            <w:vAlign w:val="center"/>
          </w:tcPr>
          <w:p w14:paraId="09F398B8">
            <w:pPr>
              <w:spacing w:before="0" w:after="0" w:line="240" w:lineRule="auto"/>
            </w:pPr>
            <w:r>
              <w:rPr>
                <w:rFonts w:ascii="Times New Roman" w:hAnsi="Times New Roman" w:eastAsia="Songti SC" w:cs="Times New Roman"/>
                <w:b w:val="0"/>
                <w:sz w:val="28"/>
              </w:rPr>
              <w:t>依托单位：</w:t>
            </w:r>
          </w:p>
        </w:tc>
        <w:tc>
          <w:tcPr>
            <w:tcW w:w="7560" w:type="dxa"/>
            <w:vAlign w:val="center"/>
          </w:tcPr>
          <w:p w14:paraId="2EC8CC53">
            <w:pPr>
              <w:spacing w:before="0" w:after="0" w:line="240" w:lineRule="auto"/>
            </w:pPr>
            <w:r>
              <w:rPr>
                <w:rFonts w:ascii="Times New Roman" w:hAnsi="Times New Roman" w:eastAsia="Songti SC" w:cs="Times New Roman"/>
                <w:b w:val="0"/>
                <w:sz w:val="28"/>
              </w:rPr>
              <w:t xml:space="preserve">信息工程学院    </w:t>
            </w:r>
          </w:p>
        </w:tc>
      </w:tr>
    </w:tbl>
    <w:p w14:paraId="4FBA4FC3">
      <w:pPr>
        <w:spacing w:before="360"/>
        <w:jc w:val="right"/>
      </w:pPr>
      <w:r>
        <w:rPr>
          <w:rFonts w:ascii="Times New Roman" w:hAnsi="Times New Roman" w:eastAsia="Songti SC" w:cs="Times New Roman"/>
          <w:b w:val="0"/>
          <w:sz w:val="28"/>
        </w:rPr>
        <w:t>2026年8月3日</w:t>
      </w:r>
    </w:p>
    <w:p w14:paraId="57CBFD11">
      <w:pPr>
        <w:keepNext/>
        <w:spacing w:before="60" w:after="120" w:line="300" w:lineRule="auto"/>
        <w:jc w:val="center"/>
        <w:rPr>
          <w:b/>
          <w:sz w:val="24"/>
          <w:szCs w:val="24"/>
        </w:rPr>
      </w:pPr>
      <w:r>
        <w:rPr>
          <w:rFonts w:hint="eastAsia"/>
          <w:b/>
          <w:sz w:val="24"/>
          <w:szCs w:val="24"/>
        </w:rPr>
        <w:t xml:space="preserve">传统服饰图文资料的语义对齐与可溯源证据链构建研究 </w:t>
      </w:r>
    </w:p>
    <w:p w14:paraId="31A0A6A1">
      <w:pPr>
        <w:keepNext/>
        <w:keepLines/>
        <w:spacing w:before="60" w:after="0" w:line="360" w:lineRule="auto"/>
        <w:ind w:leftChars="257" w:right="0" w:rightChars="0" w:firstLine="0" w:firstLineChars="0"/>
        <w:rPr>
          <w:rFonts w:hint="eastAsia" w:ascii="Songti SC" w:hAnsi="Songti SC" w:cs="Songti SC"/>
          <w:b/>
          <w:sz w:val="24"/>
          <w:szCs w:val="24"/>
        </w:rPr>
      </w:pPr>
      <w:r>
        <w:rPr>
          <w:rFonts w:hint="eastAsia" w:ascii="Songti SC" w:hAnsi="Songti SC" w:cs="Songti SC"/>
          <w:b/>
          <w:sz w:val="24"/>
          <w:szCs w:val="24"/>
        </w:rPr>
        <w:t>一、立项依据</w:t>
      </w:r>
    </w:p>
    <w:p w14:paraId="4DA75974">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1. 项目背景、现实需求与立项必要性</w:t>
      </w:r>
      <w:bookmarkStart w:id="0" w:name="_GoBack"/>
      <w:bookmarkEnd w:id="0"/>
    </w:p>
    <w:p w14:paraId="44784D89">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文化资源数字化正在把传统服饰从线下收藏与口述传播带入数字展陈、非遗建档、在线教育和文旅传播等场景。在这些场景中，图像与文字共同承担知识表达功能。图像呈现颜色、纹样、部位和装饰等可见形制，文字则进一步解释其文化内涵、历史渊源和社会功能。只有图文对应准确、知识说明有据可查，数字文化资源才能支持可靠检索、教学使用和公共传播。</w:t>
      </w:r>
    </w:p>
    <w:p w14:paraId="73024C97">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当前资料治理仍存在两类相互关联的问题。第一，图片在转载、裁剪、翻拍和重新排版后，可能与原说明脱离或发生错配；即使整段文字与图片主题相近，局部部件、颜色或位置描述仍可能不一致。第二，文化内涵、历史渊源和社会功能等知识性陈述不能直接从图像推出，如果缺少明确出处，人工核验需要逐句阅读并反复检索，效率较低，也难以形成可复查记录。因此，核验对象不能停留在整图与整段文字的总体相似度，而应下沉到具体服饰要素、原子陈述及其证据来源。</w:t>
      </w:r>
    </w:p>
    <w:p w14:paraId="613DE7DB">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国家文化数字化战略提出加强文化数据采集、加工和治理，非物质文化遗产法强调认定、记录和建档[1-2]。这些政策要求使文化资源的来源记录、内容核验和规范表达成为数字化工作的基础环节。本项目据此将人工核验过程组织为“元素定位—陈述拆分—证据路由—证据检索—结论核验”的可复查流程，直接回应传统服饰图文资料在入库、展陈、教学和传播中的质量控制需求。</w:t>
      </w:r>
    </w:p>
    <w:p w14:paraId="0E50FBD6">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项目的必要性体现在三个层面。其一，传统服饰图文资料具有细部密集、术语多样和语境依赖等特点，通用图文模型难以直接处理。其二，可见事实与文化知识需要不同证据，若不进行显式区分，模型容易以视觉线索越界推断文化含义。其三，文化资料常存在地域差异、历史流动和来源冲突，系统必须保留“证据不足”和人工复核出口，而不能将不确定性强行压缩为简单对错。项目由此形成从现实需求到任务定义、技术方案和输出规范的一致逻辑。</w:t>
      </w:r>
    </w:p>
    <w:p w14:paraId="0F31B744">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2. 研究范围、资料基础与边界</w:t>
      </w:r>
    </w:p>
    <w:p w14:paraId="3B98C61E">
      <w:pPr>
        <w:keepLines/>
        <w:widowControl/>
        <w:spacing w:before="60" w:after="0" w:line="360" w:lineRule="auto"/>
        <w:ind w:left="0" w:right="0" w:firstLineChars="200"/>
        <w:rPr>
          <w:rFonts w:hint="default" w:ascii="Songti SC" w:hAnsi="Songti SC" w:eastAsia="Songti SC" w:cs="Songti SC"/>
          <w:sz w:val="24"/>
          <w:szCs w:val="24"/>
          <w:lang w:val="en-US" w:eastAsia="zh-CN"/>
        </w:rPr>
      </w:pPr>
      <w:r>
        <w:rPr>
          <w:rFonts w:hint="eastAsia" w:ascii="Songti SC" w:hAnsi="Songti SC" w:cs="Songti SC"/>
          <w:sz w:val="24"/>
          <w:szCs w:val="24"/>
          <w:lang w:val="en-US" w:eastAsia="zh-CN"/>
        </w:rPr>
        <w:t>本项目聚焦来源可追溯的传统服饰图文资料。项目将从中国非物质文化遗产网、政府文化部门、博物馆、高校数据库和专业图录中筛选资料基础较完整、适合核验的样本，不预设固定对象类别；地域与时期仅作为背景字段，用于说明资料适用范围，避免把局部样式外推为普遍特征。</w:t>
      </w:r>
    </w:p>
    <w:p w14:paraId="78C54625">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上述资料筛选仅用于构建可核验的样本范围，不表示不同服饰资料之间存在等级关系，也不建立元素、地域与群体之间的排他对应。项目坚持尊重文化多样性和实证核验原则，只核验具体图文及其资料证据，不根据服饰推断个人身份，不评价文化优劣，不把共同或相似元素直接判为错误，也不以所选样本代表全部传统服饰文化。</w:t>
      </w:r>
    </w:p>
    <w:p w14:paraId="319B5C65">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项目资料优先来自中国非物质文化遗产网、政府文化部门、博物馆和高校数据库，并以专业图录、同行评议论文等作为补充。每条样本将记录网址或书目信息、访问日期、原始图文对应关系、地域、时期、许可状态和处理记录。项目仅使用合法公开、获准科研使用或团队合规拍摄的资料，并依据许可条件发布原图、缩略图或数据索引。</w:t>
      </w:r>
    </w:p>
    <w:p w14:paraId="10364A5B">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3. 国内外研究现状与能力缺口</w:t>
      </w:r>
    </w:p>
    <w:p w14:paraId="2B8F96B3">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现有研究为本项目提供了跨模态表示、区域定位和证据检索三方面基础。CLIP通过图文对比学习获得可迁移的跨模态表示[3]，Chinese-CLIP进一步提升了中文图文检索与分类能力[4]。这类方法适合建立整图匹配基线，但全局相似度容易受到主体、背景和高频词影响，难以判断长说明中哪一条陈述存在问题，也难以指出其对应部件。</w:t>
      </w:r>
    </w:p>
    <w:p w14:paraId="3191A418">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视觉蕴含研究为“一致、不一致、证据不足”证据状态判定提供了任务基础[5]。RegionCLIP和Grounding DINO可将短语定位至候选区域[6-7]，Segment Anything可进一步生成掩码[8]，说明细粒度区域对齐在技术上具有可行性。然而，传统服饰中的帽饰、袖口、领口、前襟和细小纹样具有尺度小、遮挡多、异名多等特点，通用区域模型仍需借助术语表、少量区域标注和轻量适配。</w:t>
      </w:r>
    </w:p>
    <w:p w14:paraId="1348EF5D">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开放域问答与稠密检索研究能够从语料中召回证据并判断支持关系[9-10]，但图像只能证明可见事实，无法独立证实文化内涵、历史渊源和社会功能。现有工作多面向通用场景，缺少针对中文传统服饰细小部件、纹样和文化语义的联合标注，也较少同时建模地域时期约束、来源等级和资料冲突。</w:t>
      </w:r>
    </w:p>
    <w:p w14:paraId="2D467F33">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综合来看，现有技术已经具备完成各单项任务的基础，但尚缺少贯通“陈述拆分、区域定位、资料检索和证据判定”的受控流程。该能力缺口正是本项目的研究切入点：以服饰要素为锚点，把整图整句判断转化为陈述级、区域级和资料级的联合核验，并通过证据不足机制控制结论边界。</w:t>
      </w:r>
    </w:p>
    <w:p w14:paraId="2B20AC10">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4. 学术价值、应用价值与团队基础</w:t>
      </w:r>
    </w:p>
    <w:p w14:paraId="3F5E2FF7">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项目的学术价值在于建立“原子陈述—图像区域—参考资料”三元证据对齐任务，明确区分图像可核验的可见形制与需要资料支持的文化内涵、历史渊源和社会功能。在有限数据条件下，项目将研究细粒度跨模态推理、证据类型路由、置信度校准和保留判断机制，为中文文化资源的可解释核验提供可复现实验框架。</w:t>
      </w:r>
    </w:p>
    <w:p w14:paraId="1FAF1559">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项目的应用价值在于把长说明转化为可逐条检查的核验清单。系统不仅给出证据状态判定结论，还同步展示原文跨度、相关图像区域、资料标题与出处、置信度和人工复核提示，从而为数字馆藏录入、展签复核、课程材料整理和文化内容入库提供可复查线索。系统定位为辅助工具，不替代专家作出最终文化判断。</w:t>
      </w:r>
    </w:p>
    <w:p w14:paraId="26A5E89A">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团队已完成任务边界讨论、数据源初查和流程设计，具备Python、深度学习、数据整理和Web开发基础。指导教师高宇童老师可在计算机视觉、语义对齐、模型评价和研究规范方面提供指导。项目以公开预训练模型和轻量微调为主，先开展试标并建立基线，再逐步增加区域定位和资料检索，工作量与本科生创新训练周期相匹配。</w:t>
      </w:r>
    </w:p>
    <w:p w14:paraId="4904C26C">
      <w:pPr>
        <w:keepNext/>
        <w:keepLines/>
        <w:spacing w:before="60" w:after="0" w:line="360" w:lineRule="auto"/>
        <w:ind w:leftChars="257" w:right="0" w:rightChars="0" w:firstLine="0" w:firstLineChars="0"/>
        <w:rPr>
          <w:rFonts w:hint="eastAsia" w:ascii="Songti SC" w:hAnsi="Songti SC" w:cs="Songti SC"/>
          <w:b/>
          <w:sz w:val="24"/>
          <w:szCs w:val="24"/>
        </w:rPr>
      </w:pPr>
      <w:r>
        <w:rPr>
          <w:rFonts w:hint="eastAsia" w:ascii="Songti SC" w:hAnsi="Songti SC" w:cs="Songti SC"/>
          <w:b/>
          <w:sz w:val="24"/>
          <w:szCs w:val="24"/>
        </w:rPr>
        <w:t>二、研究内容、目标与拟解决的关键问题</w:t>
      </w:r>
    </w:p>
    <w:p w14:paraId="13E92081">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1. 总体目标与核心任务定义</w:t>
      </w:r>
    </w:p>
    <w:p w14:paraId="76E35915">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本项目旨在构建面向传统服饰图文资料的陈述级文化语义</w:t>
      </w:r>
      <w:r>
        <w:rPr>
          <w:rFonts w:hint="eastAsia" w:ascii="Songti SC" w:hAnsi="Songti SC" w:cs="Songti SC"/>
          <w:sz w:val="24"/>
          <w:szCs w:val="24"/>
          <w:lang w:val="en-US" w:eastAsia="zh-CN"/>
        </w:rPr>
        <w:t>对齐与可溯源证据链构建方法</w:t>
      </w:r>
      <w:r>
        <w:rPr>
          <w:rFonts w:hint="eastAsia" w:ascii="Songti SC" w:hAnsi="Songti SC" w:eastAsia="Songti SC" w:cs="Songti SC"/>
          <w:sz w:val="24"/>
          <w:szCs w:val="24"/>
        </w:rPr>
        <w:t>，并实现可解释网页原型。系统输入一张传统服饰图片及其中文说明，输出原文高亮、原子陈述类别、证据状态及置信度、相关图像区域、资料标题与出处以及人工复核提示，最后按保守规则汇总图文对级结论。</w:t>
      </w:r>
    </w:p>
    <w:p w14:paraId="4F87FE61">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原子陈述分为可见形制、文化内涵、历史渊源和社会功能四类。可见形制包括元素出现、颜色、形状、装饰和部位关系，原则上优先由图像核验；文化内涵、历史渊源和社会功能涉及含义、形成发展与具体用途，原则上优先由参考资料核验。混合陈述继续拆分，避免以图像直接推断文化知识。</w:t>
      </w:r>
    </w:p>
    <w:p w14:paraId="764AC608">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项目不设置图像来源识别任务，不依据图像判断人物身份，不建立元素与群体的排他归属规则，也不使用“文化正确或错误”等表述。系统仅判断具体陈述在当前图像和限定资料中的证据状态，并把模糊、遮挡、资料缺失或资料冲突纳入“证据不足”。</w:t>
      </w:r>
    </w:p>
    <w:p w14:paraId="45AEDB1C">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2. 建设目标与量化指标</w:t>
      </w:r>
    </w:p>
    <w:p w14:paraId="4A4A1EDB">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项目按照“数据资源、任务规范、方法模型、评价体系、系统成果”五个层次设置目标。</w:t>
      </w:r>
    </w:p>
    <w:p w14:paraId="4023FA0B">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（1）数据资源目标。先完成100组图文对试标并修订规范，最终形成600至800组来源可追踪的服饰图文对；其中200至300组完成部件框或掩码标注，并整理150至250条带原文位置的参考资料条目。</w:t>
      </w:r>
    </w:p>
    <w:p w14:paraId="12D34CB0">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（2）任务规范目标。形成覆盖四类原子陈述、证据类型、证据状态判定结论、图像区域和资料来源的统一标注手册。正式样本采用双人独立标注与分歧复核，并报告Cohen's Kappa或一致率。</w:t>
      </w:r>
    </w:p>
    <w:p w14:paraId="357B3B1D">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（3）方法模型目标。完成全局Chinese-CLIP、整图视觉蕴含和无资料多模态分类等基线，构建融合元素定位、陈述拆分、区域对齐和资料检索的改进方法。</w:t>
      </w:r>
    </w:p>
    <w:p w14:paraId="3953E0A8">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（4）评价目标。在按来源和原图分组的测试集上，报告陈述级与图文对级Macro-F1、区域定位IoU或Pointing Game、检索Recall@5与nDCG@5以及覆盖率—准确率。陈述级Macro-F1力争达到0.70并优于最强基线。</w:t>
      </w:r>
    </w:p>
    <w:p w14:paraId="528ACA5C">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（5）成果目标。完成服饰要素细粒度图文数据集、陈述级图文</w:t>
      </w:r>
      <w:r>
        <w:rPr>
          <w:rFonts w:hint="eastAsia" w:ascii="Songti SC" w:hAnsi="Songti SC" w:cs="Songti SC"/>
          <w:sz w:val="24"/>
          <w:szCs w:val="24"/>
          <w:lang w:val="en-US" w:eastAsia="zh-CN"/>
        </w:rPr>
        <w:t>语义对齐与证据链构建</w:t>
      </w:r>
      <w:r>
        <w:rPr>
          <w:rFonts w:hint="eastAsia" w:ascii="Songti SC" w:hAnsi="Songti SC" w:eastAsia="Songti SC" w:cs="Songti SC"/>
          <w:sz w:val="24"/>
          <w:szCs w:val="24"/>
        </w:rPr>
        <w:t>、可解释网页原型、项目研究报告和可复现实验代码。网页原型在单一页面中展示文字陈述、结论、图像证据和参考资料，并支持结果导出和人工复核记录。论文、竞赛和软件著作权视项目进展争取。</w:t>
      </w:r>
    </w:p>
    <w:p w14:paraId="60A2E8BE">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3. 主要研究内容</w:t>
      </w:r>
    </w:p>
    <w:p w14:paraId="642EF84C">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（1）数据与语料构建。采集来源可追溯的传统服饰图像、说明和书目信息，记录部件、纹样、语义信息、地域、时期、来源等级和许可状态，形成可追踪的数据底座。</w:t>
      </w:r>
    </w:p>
    <w:p w14:paraId="7DBE5340">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（2）陈述与证据标注。拆分四类原子陈述，标注元素、地域时期、证据类型、证据状态判定结果、图像区域、参考资料和争议说明；采用双人标注、分歧复核和争议样本单列机制，保证标注过程可审计。</w:t>
      </w:r>
    </w:p>
    <w:p w14:paraId="05FFB47B">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（3）陈述拆分与证据路由。结合术语表、规则和预训练语言模型，抽取原文跨度、元素、属性、地域时期及语义类型，并将陈述分配至视觉证据、资料证据或混合证据模块。</w:t>
      </w:r>
    </w:p>
    <w:p w14:paraId="2573CE7C">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（4）区域定位与视觉核验。建立整图基线，使用开放词汇检测和提示式分割定位部件或纹样，在少量区域标注上进行轻量微调，并判断视觉陈述获得支持、反驳或证据不足。</w:t>
      </w:r>
    </w:p>
    <w:p w14:paraId="610F8355">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（5）资料检索与知识核验。在限定语料中结合关键词检索和向量检索，召回文化语义证据；保留标题、机构、年份、网址或书目信息及原文位置，并判断候选证据与陈述之间的支持关系。</w:t>
      </w:r>
    </w:p>
    <w:p w14:paraId="2F98004C">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（6）分层融合与系统实现。综合语义类型、区域匹配、地域时期约束、检索相关度和来源等级，形成陈述级与图文对级判定，并开发可解释网页原型。</w:t>
      </w:r>
    </w:p>
    <w:p w14:paraId="401E2C47">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4. 拟解决的关键问题</w:t>
      </w:r>
    </w:p>
    <w:p w14:paraId="5F0BFCD2">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（1）整体相似掩盖局部矛盾。整图、整句的高相似度不等于每条陈述均有证据支持。项目需要把判断下沉至原子陈述和局部区域，使问题能够被定位、解释和复核。</w:t>
      </w:r>
    </w:p>
    <w:p w14:paraId="4E6B150A">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（2）可见形制与文化语义相互混合。同一句说明可能同时包含视觉事实和文化知识。项目需要先拆分陈述并按可观察性路由证据，防止视觉模型越界回答文化知识。</w:t>
      </w:r>
    </w:p>
    <w:p w14:paraId="3B54B0C5">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（3）细小部件、异名与语境差异增加对齐难度。项目需要结合术语表、区域标注、地域时期约束、来源分级和争议样本机制，减少因名称差异、遮挡和历史流动造成的误判。</w:t>
      </w:r>
    </w:p>
    <w:p w14:paraId="598DD04E">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（4）不一致与无法判断难以区分。图像模糊、目标遮挡、资料缺失或来源冲突时，项目需要通过阈值、置信度校准和保留判断机制输出“证据不足”，避免过度结论。</w:t>
      </w:r>
    </w:p>
    <w:p w14:paraId="21292B50">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5. 预期创新特色</w:t>
      </w:r>
    </w:p>
    <w:p w14:paraId="032910ED">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（1）任务创新。建立以服饰要素为锚点的“原子陈述—图像区域—参考资料”三元证据对齐任务，使输出同时呈现被核验陈述、相关部位和资料依据。</w:t>
      </w:r>
    </w:p>
    <w:p w14:paraId="0EA919FE">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（2）证据机制创新。显式建模文化内涵、历史渊源和社会功能，通过证据类型路由区分图像事实与资料知识，减少模型越界推断。</w:t>
      </w:r>
    </w:p>
    <w:p w14:paraId="2B70B258">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（3）不确定性控制创新。设置“一致、不一致、证据不足”证据状态判定与资料来源分级，在资料冲突、图像遮挡或证据薄弱时保留判断，提高结论的可复查性。</w:t>
      </w:r>
    </w:p>
    <w:p w14:paraId="19C5731F">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（4）评价设计创新。使用受控单属性改写构造难负样本，并通过单模态对照、背景替换和句式改写实验检查模型是否依赖水印、模板、背景或高频表达等捷径。</w:t>
      </w:r>
    </w:p>
    <w:p w14:paraId="12FF3A77">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上述创新均限定在本项目的数据范围和实验条件内，不预设其对全部传统服饰资料具有普遍适用性。</w:t>
      </w:r>
    </w:p>
    <w:p w14:paraId="56CBE02F">
      <w:pPr>
        <w:keepNext/>
        <w:keepLines/>
        <w:spacing w:before="60" w:after="0" w:line="360" w:lineRule="auto"/>
        <w:ind w:leftChars="257" w:right="0" w:rightChars="0" w:firstLine="0" w:firstLineChars="0"/>
        <w:rPr>
          <w:rFonts w:hint="eastAsia" w:ascii="Songti SC" w:hAnsi="Songti SC" w:cs="Songti SC"/>
          <w:b/>
          <w:sz w:val="24"/>
          <w:szCs w:val="24"/>
        </w:rPr>
      </w:pPr>
      <w:r>
        <w:rPr>
          <w:rFonts w:hint="eastAsia" w:ascii="Songti SC" w:hAnsi="Songti SC" w:cs="Songti SC"/>
          <w:b/>
          <w:sz w:val="24"/>
          <w:szCs w:val="24"/>
        </w:rPr>
        <w:t>三、研究方案与可行性分析</w:t>
      </w:r>
    </w:p>
    <w:p w14:paraId="230E3404">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1. 总体技术路线与实施逻辑</w:t>
      </w:r>
    </w:p>
    <w:p w14:paraId="41A98AB1">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项目按照“数据规范—元素定位—陈述拆分—证据路由—资料检索—分层判定—原型展示”推进。输入图像I和文字T后，系统首先获得候选元素区域和原子陈述，并为每条陈述标注四类语义及证据类型；随后分别调用视觉模块、资料模块或两者的组合，检索带出处的证据；最后综合证据质量输出陈述级证据状态判定和整组图文结论。</w:t>
      </w:r>
    </w:p>
    <w:p w14:paraId="7C186974">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实施采用模块递进策略。第一阶段完成整图相似度、整句证据状态判定和关键词检索基线，用于验证数据、标签和评价流程。第二阶段加入元素定位、陈述拆分、语义路由、地域时期约束和稠密检索，逐项评价模块收益。第三阶段比较透明规则、逻辑回归、轻量感知机和跨模态注意力等融合方案，并进行置信度校准。若联合训练不稳定，则采用独立模块加规则汇总完成系统，确保核心任务和解释性输出不受影响。</w:t>
      </w:r>
    </w:p>
    <w:p w14:paraId="77EF41A0">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2. 数据采集、来源分级与合规管理</w:t>
      </w:r>
    </w:p>
    <w:p w14:paraId="2F7A9A8B">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图文资料优先采自中国非物质文化遗产网、政府文化部门、博物馆和高校数据库，并补充专业图录与文献。样本保存网址或书目信息、访问日期、原始对应关系、许可状态和处理记录。项目仅使用合法公开、获准科研使用或团队合规拍摄的资料，并按许可条件发布原图、缩略图或索引。</w:t>
      </w:r>
    </w:p>
    <w:p w14:paraId="7F49F99D">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资料分为三级。A级包括国家级非遗数据库、政府和公共博物馆正式条目及政策文件；B级包括同行评议论文、正规图录和高校数据库；C级包括可追踪但缺少专业审核的页面。A级和B级可作为主要依据，C级仅作为检索线索。若高等级资料相互冲突，系统并列展示证据并输出“证据不足”。</w:t>
      </w:r>
    </w:p>
    <w:p w14:paraId="73E47AC0">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项目先试标100组，以验证对象边界、字段设计和资料可得性，再扩展至最终规模。数据去重结合感知哈希、图像特征和人工复核。同一原图的裁剪、翻拍和转载归为同一组，不跨训练集、验证集和测试集。样本按资料质量、来源和内容差异进行分层采样与评价，避免总体指标掩盖不同资料条件下的性能差异。</w:t>
      </w:r>
    </w:p>
    <w:p w14:paraId="1B7918B6">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3. 标注规范与样本构造</w:t>
      </w:r>
    </w:p>
    <w:p w14:paraId="635B0B47">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正样本来自原始图文配对及经复核的说明。难负样本仅修改一项可核验信息，例如部件、颜色或位置；文化语义、时期和场景仅在有资料依据时改写，并完整保留修改记录。共同元素、相似形式和历史流动不作为负样本依据。自然错配与人工改写样本分组评价，防止模型只学习固定改写模板。</w:t>
      </w:r>
    </w:p>
    <w:p w14:paraId="467EB759">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正式样本采用双人独立标注、分歧复核和争议样本单列。可见形制记录区域、可见度和证据关系；文化内涵、历史渊源和社会功能记录参考条目、原文位置、地域时期和来源等级。图像模糊、目标遮挡、资料缺失或资料冲突均标为“证据不足”。试标阶段计算Cohen's Kappa或一致率；低一致字段重新定义，专业争议提交指导教师或相关人员复核。</w:t>
      </w:r>
    </w:p>
    <w:p w14:paraId="1D91274F">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4. 陈述拆分与证据路由</w:t>
      </w:r>
    </w:p>
    <w:p w14:paraId="68C9E6B2">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文本模块结合术语表、句法规则、提示模板和预训练语言模型，输出原文跨度、原子陈述、元素、属性、地域时期、语义类型、证据类型和置信度。拆分结果必须保持原意、能够回指原句，且不得补充原文之外的信息。模块采用人工标注数据评价跨度级和字段级Precision、Recall与F1。</w:t>
      </w:r>
    </w:p>
    <w:p w14:paraId="0D894D64">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证据路由依据语义类型和可观察性。元素出现、颜色、形状和位置等陈述进入视觉模块；文化内涵、历史渊源和社会功能进入资料模块；知识陈述只有在指向具体元素时，才使用区域定位结果辅助检索。低置信度拆分优先提交人工确认，避免错误在后续模块中累积。</w:t>
      </w:r>
    </w:p>
    <w:p w14:paraId="237B5836">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5. 区域定位与视觉核验</w:t>
      </w:r>
    </w:p>
    <w:p w14:paraId="0A67DA37">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项目先以Chinese-CLIP建立整图匹配基线，再使用Grounding DINO或RegionCLIP产生候选框，必要时接入Segment Anything生成掩码。在200至300组区域标注上微调适配器或小型分类头，不从头训练检测骨干，以控制数据和计算资源需求。</w:t>
      </w:r>
    </w:p>
    <w:p w14:paraId="1E943A6D">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视觉核验综合整图、候选区域、部件位置和图像质量，输出“支持、反驳、不可见”。只有在目标清晰且存在直接反证时，才将陈述判为不一致；目标未定位、尺寸过小、受到遮挡或属性不可见时，输出“证据不足”。项目通过背景替换和局部输入实验检查模型是否真正关注相关区域。</w:t>
      </w:r>
    </w:p>
    <w:p w14:paraId="5A9CBEC5">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6. 文化语义资料检索与知识核验</w:t>
      </w:r>
    </w:p>
    <w:p w14:paraId="5F16036D">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项目仅在可追踪出处的限定语料中检索，不使用无来源的网络回答作为证据。BM25与中文句向量并行召回候选资料，并利用元素异称、地域时期和语义标签扩展查询与重排。每条证据均保留标题、作者或机构、时间、来源等级、网址或书目信息及原文位置。</w:t>
      </w:r>
    </w:p>
    <w:p w14:paraId="49A291C6">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知识核验比较文化内涵、历史渊源和社会功能陈述与候选资料之间的支持、反驳和无关关系，并综合地域时期、来源等级、相关度及多来源一致性形成结论。无高质量资料、资料未直接覆盖陈述或资料相互冲突时，系统输出“证据不足”。项目不建设大而全的知识图谱，以保证任务边界清晰并控制工作量。</w:t>
      </w:r>
    </w:p>
    <w:p w14:paraId="521F2027">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7. 分层判定、置信度控制与系统输出</w:t>
      </w:r>
    </w:p>
    <w:p w14:paraId="413FAC34">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基础方案使用透明规则或逻辑回归，汇总陈述类型、区域匹配、可见度、检索相关度、来源等级和证据关系；改进方案比较轻量感知机或跨模态注意力。经置信度校准后，高置信支持判为一致，高置信反证判为不一致，其余判为证据不足。图文对级结论按保守规则汇总，避免单条低质量证据主导整体判断。</w:t>
      </w:r>
    </w:p>
    <w:p w14:paraId="21B2EF0E">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网页原型提供图文输入、元素与陈述列表、语义类型、证据状态判定结论、区域高亮、资料出处、置信度、人工复核和报告导出功能。用户点击某条陈述时，系统同步突出原文、相关图像区域和资料证据；文化内涵、历史渊源和社会功能以资料证据为主，不以视觉结果替代知识来源。</w:t>
      </w:r>
    </w:p>
    <w:p w14:paraId="7FD4572B">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8. 实验设计与评价方法</w:t>
      </w:r>
    </w:p>
    <w:p w14:paraId="362C9F80">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（1）基线比较。设置全局Chinese-CLIP、整图视觉蕴含、文本单模态、图像单模态和无资料多模态模型，在相同数据划分和评价协议下比较。</w:t>
      </w:r>
    </w:p>
    <w:p w14:paraId="1F8144F3">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（2）核心任务评价。陈述拆分与四类语义识别报告字段级F1；证据状态判定报告Accuracy、Macro-Precision、Macro-Recall、Macro-F1和混淆矩阵，并按语义类型和服饰类别进行分层分析。</w:t>
      </w:r>
    </w:p>
    <w:p w14:paraId="3100D9E1">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（3）证据评价。区域定位报告IoU、mAP或Pointing Game；资料检索报告Recall@5和nDCG@5，并人工评价不少于100条检索结果的证据有效性。</w:t>
      </w:r>
    </w:p>
    <w:p w14:paraId="02BC3B19">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（4）消融实验。分别移除陈述拆分、区域特征、术语表、来源等级、资料检索和证据不足机制，比较性能变化和错误类型，验证各模块与核心主张之间的对应关系。</w:t>
      </w:r>
    </w:p>
    <w:p w14:paraId="2E163061">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（5）捷径与泛化检查。按来源和原图分组划分数据，开展跨来源、句式改写、背景替换和单模态对照，检查模型是否依赖水印、模板、背景或固定句式。</w:t>
      </w:r>
    </w:p>
    <w:p w14:paraId="037DAEE8">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（6）不确定性评价。绘制覆盖率—准确率曲线和可靠性图，分析阈值变化，并归纳证据不足样本的主要成因。</w:t>
      </w:r>
    </w:p>
    <w:p w14:paraId="12667049">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9. 研究规范、可行性与风险应对</w:t>
      </w:r>
    </w:p>
    <w:p w14:paraId="1C91E9B7">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项目坚持尊重文化多样性和实证核验原则。样本选择基于资料可得性与可核验性，不作代表性或等级排序，不以有限样本代表全部传统服饰文化，不从服饰推断身份，也不建立唯一归属规则。共同元素、地域流动、历史演变和资料争议均保留原语境，并进入“证据不足”或人工复核流程。系统只报告具体图文关系与证据状态。</w:t>
      </w:r>
    </w:p>
    <w:p w14:paraId="0AD4A013">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技术可行性方面，中文图文编码、开放词汇检测、提示式分割、文本检索和Web开发均已有开源实现。项目可冻结预训练骨干，仅训练小型模块，并通过模块递进降低联合训练风险。数据可行性方面，公开来源中已有较丰富的传统服饰图文条目，可由政府文化部门、博物馆、高校数据库和专业图录相互补充。组织可行性方面，团队成员覆盖视觉模型、文本处理、资料核验、数据标注和系统开发，指导教师能够对技术路线和研究规范提供指导。</w:t>
      </w:r>
    </w:p>
    <w:p w14:paraId="540DDF82">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主要风险包括授权不明确、样本分布不均、细小区域难定位、负样本模板化、检索证据不足和模型过度解释。对应措施分别为保存许可与出处、按资料质量采样并分类别报告、优先标注核心部件、混合自然错配与受控改写、限定高质量语料、设置证据不足和人工复核。</w:t>
      </w:r>
    </w:p>
    <w:p w14:paraId="0A047A52">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项目设置明确的降级路径。若区域定位不稳定，则缩小至帽饰、袖口、领口和前襟等核心部件；若资料不足，则减少知识陈述类型，但不降低来源标准；若联合模型无明显优势，则以完整基线、消融实验、错误分析和可运行系统形成研究结论。上述调整不改变陈述级核验、证据可追踪和结论可复查的核心任务。</w:t>
      </w:r>
    </w:p>
    <w:p w14:paraId="39736DBB">
      <w:pPr>
        <w:keepNext/>
        <w:keepLines/>
        <w:spacing w:before="60" w:after="0" w:line="360" w:lineRule="auto"/>
        <w:ind w:leftChars="257" w:right="0" w:rightChars="0" w:firstLine="0" w:firstLineChars="0"/>
        <w:rPr>
          <w:rFonts w:hint="eastAsia" w:ascii="Songti SC" w:hAnsi="Songti SC" w:cs="Songti SC"/>
          <w:b/>
          <w:sz w:val="24"/>
          <w:szCs w:val="24"/>
        </w:rPr>
      </w:pPr>
      <w:r>
        <w:rPr>
          <w:rFonts w:hint="eastAsia" w:ascii="Songti SC" w:hAnsi="Songti SC" w:cs="Songti SC"/>
          <w:b/>
          <w:sz w:val="24"/>
          <w:szCs w:val="24"/>
        </w:rPr>
        <w:t>四、预期效果与具体成果</w:t>
      </w:r>
    </w:p>
    <w:p w14:paraId="75417165">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1. 服饰要素细粒度图文数据集</w:t>
      </w:r>
    </w:p>
    <w:p w14:paraId="7C0A064A">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形成600至800组来源可追踪的传统服饰图文对、200至300组部件框或掩码标注和150至250条参考资料条目。数据集覆盖可见形制、文化内涵、历史渊源和社会功能四类语义，并配套术语表、来源分级表、标注手册、数据卡和合规使用说明。项目依据许可范围发布可公开部分或数据索引。</w:t>
      </w:r>
    </w:p>
    <w:p w14:paraId="5CA290D1">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2. 陈述级图文一致性检测方法</w:t>
      </w:r>
    </w:p>
    <w:p w14:paraId="6F4BB33C">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完成多种基线和一套“元素定位—陈述拆分—语义路由—资料检索—分层判定”方法。系统对每条陈述输出“一致、不一致、证据不足”，并通过基线比较、消融实验、捷径检查、跨来源评价和错误案例分析验证各模块作用及方法边界。</w:t>
      </w:r>
    </w:p>
    <w:p w14:paraId="0F4463FE">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3. 可解释网页原型</w:t>
      </w:r>
    </w:p>
    <w:p w14:paraId="353D769C">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网页原型接收一张图片及其说明文字，识别相关服饰元素，将文字拆分为可见形制、文化内涵、历史渊源和社会功能陈述，并逐条输出证据状态判定结论。系统同步高亮相关文字和图像区域，展示资料标题、出处与原文位置，并支持人工复核记录和报告导出。</w:t>
      </w:r>
    </w:p>
    <w:p w14:paraId="401AD912">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4. 项目研究报告与可复现实验代码</w:t>
      </w:r>
    </w:p>
    <w:p w14:paraId="2A2B1BBB">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研究报告系统说明任务定义、数据构建、模型方法、评价指标、实验结果、消融分析和局限性。实验代码包含数据处理、训练、评测、配置文件、随机种子、依赖环境及运行说明，保证主要实验能够复现。</w:t>
      </w:r>
    </w:p>
    <w:p w14:paraId="5042F358">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5. 延伸成果与预期效益</w:t>
      </w:r>
    </w:p>
    <w:p w14:paraId="1CACF1FB">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论文、竞赛和软件著作权视项目进展争取。项目预期为数字馆藏录入、展签复核、课程图文材料整理和文化资源入库提供辅助工具。其核心效益不是替代专家给出最终结论，而是把长说明拆解为可检查清单，快速指出需要关注的文字、图像位置和参考资料，提高人工核验的效率、透明度和可追溯性。</w:t>
      </w:r>
    </w:p>
    <w:p w14:paraId="6542E3AE">
      <w:pPr>
        <w:keepNext/>
        <w:keepLines/>
        <w:spacing w:before="60" w:after="0" w:line="360" w:lineRule="auto"/>
        <w:ind w:right="0" w:firstLine="480"/>
        <w:rPr>
          <w:rFonts w:hint="eastAsia" w:ascii="Songti SC" w:hAnsi="Songti SC" w:cs="Songti SC"/>
          <w:b/>
          <w:sz w:val="24"/>
          <w:szCs w:val="24"/>
        </w:rPr>
      </w:pPr>
      <w:r>
        <w:rPr>
          <w:rFonts w:hint="eastAsia" w:ascii="Songti SC" w:hAnsi="Songti SC" w:cs="Songti SC"/>
          <w:b/>
          <w:sz w:val="24"/>
          <w:szCs w:val="24"/>
        </w:rPr>
        <w:t>五、具体安排及进度</w:t>
      </w:r>
    </w:p>
    <w:p w14:paraId="564095BF">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2026年9月至10月：完成相关文献调研、传统服饰资料可得性核查、术语表与来源分级设计；采集并试标100组图文对，计算一致率，修订任务边界和标注手册。</w:t>
      </w:r>
    </w:p>
    <w:p w14:paraId="41FBCC90">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2026年11月至12月：扩展真实图文资料和参考语料，完成去重、许可记录及首轮双人标注；建立原子陈述、证据类型和单属性改写样本的构造规范。</w:t>
      </w:r>
    </w:p>
    <w:p w14:paraId="6C15759D">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2027年1月至2月：完成600至800组图文对、200至300组区域标注和150至250条参考条目；按来源和原图组划分训练集、验证集和测试集。</w:t>
      </w:r>
    </w:p>
    <w:p w14:paraId="63FBAE2C">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2027年3月：实现全局Chinese-CLIP、整图视觉蕴含、文本单模态和图像单模态基线，完成陈述拆分与证据路由模块，形成阶段性实验报告。</w:t>
      </w:r>
    </w:p>
    <w:p w14:paraId="6EA0B3CE">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2027年4月至5月：实现开放词汇区域定位、局部视觉核验、关键词检索和向量检索模块；评价区域与检索性能，根据错误分析修订术语、标注和难负样本。</w:t>
      </w:r>
    </w:p>
    <w:p w14:paraId="7D866F48">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2027年6月：完成分层判定与置信度校准，开展核心证据状态判定、消融、捷径检查、跨来源和分类别实验，确定最终技术方案。</w:t>
      </w:r>
    </w:p>
    <w:p w14:paraId="48EBC4F2">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2027年7月：开发网页原型，完成文字高亮、图像区域、资料出处、人工复核和报告导出功能；邀请小规模使用者评价证据可理解性并迭代。</w:t>
      </w:r>
    </w:p>
    <w:p w14:paraId="2AC0AF4C">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2027年8月：整理数据集、可复现实验代码、模型和实验记录，完成项目研究报告、系统演示和结项材料，集中检查版权、引用和表述规范；论文、竞赛和软件著作权视项目进展争取。</w:t>
      </w:r>
    </w:p>
    <w:p w14:paraId="251B2FEB">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成员分工：郭磊负责视觉模型、元素定位、实验与消融分析；李品圻负责总体进度、技术路线、分层融合和成果统筹；李亚菲负责文化语义参考资料、来源核验、知识检索、标注复核与规范检查；李世鹏负责图文采集、数据清洗、区域标注和系统开发；马里予负责任务定义、陈述拆分、系统输出设计及研究报告。全体成员共同参与试标、争议样本讨论、错误分析和结项展示，具体分工可经指导教师同意后调整。</w:t>
      </w:r>
    </w:p>
    <w:p w14:paraId="69A63463">
      <w:pPr>
        <w:keepNext/>
        <w:keepLines/>
        <w:spacing w:before="60" w:after="0" w:line="360" w:lineRule="auto"/>
        <w:ind w:right="0" w:firstLine="480"/>
        <w:rPr>
          <w:rFonts w:hint="eastAsia" w:ascii="Songti SC" w:hAnsi="Songti SC" w:cs="Songti SC"/>
          <w:b/>
          <w:sz w:val="24"/>
          <w:szCs w:val="24"/>
        </w:rPr>
      </w:pPr>
      <w:r>
        <w:rPr>
          <w:rFonts w:hint="eastAsia" w:ascii="Songti SC" w:hAnsi="Songti SC" w:cs="Songti SC"/>
          <w:b/>
          <w:sz w:val="24"/>
          <w:szCs w:val="24"/>
        </w:rPr>
        <w:t>六、经费执行计划（经费预算）</w:t>
      </w:r>
    </w:p>
    <w:p w14:paraId="5B0A75C1">
      <w:pPr>
        <w:keepLines/>
        <w:widowControl/>
        <w:spacing w:before="60" w:after="0" w:line="360" w:lineRule="auto"/>
        <w:ind w:left="0" w:right="0" w:firstLineChars="200"/>
        <w:rPr>
          <w:rFonts w:hint="eastAsia" w:ascii="Songti SC" w:hAnsi="Songti SC" w:eastAsia="Songti SC" w:cs="Songti SC"/>
          <w:sz w:val="24"/>
          <w:szCs w:val="24"/>
        </w:rPr>
      </w:pPr>
      <w:r>
        <w:rPr>
          <w:rFonts w:hint="eastAsia" w:ascii="Songti SC" w:hAnsi="Songti SC" w:eastAsia="Songti SC" w:cs="Songti SC"/>
          <w:sz w:val="24"/>
          <w:szCs w:val="24"/>
        </w:rPr>
        <w:t>本项目暂按总经费5000元编制，最终以学校和学院实际获批额度、经费科目及财务规定为准；如额度调整，优先保障专业资料、数据整理和必要计算资源。</w:t>
      </w:r>
    </w:p>
    <w:p w14:paraId="4485E7F1">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（1）数据整理与标注服务：1500元。用于图文去重、字段核对、原子陈述标注、区域框或掩码标注、双人复核及必要的数据处理。</w:t>
      </w:r>
    </w:p>
    <w:p w14:paraId="37E3DBEF">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（2）云计算与存储：1500元。用于视觉语言模型轻量微调、区域定位、向量检索、模型推理、数据备份及阶段性服务器存储。</w:t>
      </w:r>
    </w:p>
    <w:p w14:paraId="3163B633">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（3）专业资料与数据库服务：1000元。用于购买必要的传统服饰专业图录、文献获取和合规数据库服务。</w:t>
      </w:r>
    </w:p>
    <w:p w14:paraId="376422F7">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（4）市内调研交通：500元。用于前往博物馆、图书馆或相关文化机构开展资料核验和需求访谈的公共交通支出。</w:t>
      </w:r>
    </w:p>
    <w:p w14:paraId="36194FAE">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（5）成果整理与印制：300元。用于结项材料、展示海报和必要文档印制。</w:t>
      </w:r>
    </w:p>
    <w:p w14:paraId="36423988">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（6）软件著作权或技术服务预留：200元。仅在成果达到申请条件且符合学校报销范围时使用。</w:t>
      </w:r>
    </w:p>
    <w:p w14:paraId="4219E5B0">
      <w:pPr>
        <w:keepLines/>
        <w:widowControl/>
        <w:spacing w:before="60" w:after="0" w:line="360" w:lineRule="auto"/>
        <w:ind w:left="0" w:right="0" w:firstLineChars="0"/>
        <w:rPr>
          <w:rFonts w:hint="eastAsia" w:ascii="Songti SC" w:hAnsi="Songti SC" w:eastAsia="Songti SC" w:cs="Songti SC"/>
          <w:sz w:val="24"/>
          <w:szCs w:val="24"/>
        </w:rPr>
      </w:pPr>
      <w:r>
        <w:rPr>
          <w:rFonts w:hint="eastAsia" w:ascii="Songti SC" w:hAnsi="Songti SC" w:eastAsia="Songti SC" w:cs="Songti SC"/>
          <w:sz w:val="24"/>
          <w:szCs w:val="24"/>
        </w:rPr>
        <w:t>合计：5000元。所有支出均保存凭证，并按学校项目经费及财务规定执行。</w:t>
      </w:r>
    </w:p>
    <w:p w14:paraId="08FF94F5">
      <w:pPr>
        <w:keepNext/>
        <w:keepLines/>
        <w:spacing w:before="120" w:after="0" w:line="360" w:lineRule="auto"/>
        <w:ind w:left="0" w:right="0" w:firstLineChars="0"/>
        <w:rPr>
          <w:rFonts w:hint="eastAsia" w:ascii="Songti SC" w:hAnsi="Songti SC" w:eastAsia="Songti SC" w:cs="Songti SC"/>
          <w:b/>
          <w:sz w:val="24"/>
          <w:szCs w:val="24"/>
        </w:rPr>
      </w:pPr>
      <w:r>
        <w:rPr>
          <w:rFonts w:hint="eastAsia" w:ascii="Songti SC" w:hAnsi="Songti SC" w:eastAsia="Songti SC" w:cs="Songti SC"/>
          <w:b/>
          <w:sz w:val="24"/>
          <w:szCs w:val="24"/>
        </w:rPr>
        <w:t>参考文献</w:t>
      </w:r>
    </w:p>
    <w:p w14:paraId="076DC882">
      <w:pPr>
        <w:keepLines/>
        <w:spacing w:before="0" w:after="0" w:line="260" w:lineRule="auto"/>
        <w:ind w:leftChars="200" w:hangingChars="200"/>
        <w:jc w:val="left"/>
        <w:rPr>
          <w:rFonts w:hint="eastAsia" w:ascii="Songti SC" w:hAnsi="Songti SC" w:eastAsia="Songti SC" w:cs="Songti SC"/>
          <w:sz w:val="20"/>
          <w:szCs w:val="20"/>
        </w:rPr>
      </w:pPr>
      <w:r>
        <w:rPr>
          <w:rFonts w:hint="eastAsia" w:ascii="Songti SC" w:hAnsi="Songti SC" w:eastAsia="Songti SC" w:cs="Songti SC"/>
          <w:sz w:val="20"/>
          <w:szCs w:val="20"/>
        </w:rPr>
        <w:t>[1] 中共中央办公厅, 国务院办公厅. 关于推进实施国家文化数字化战略的意见[EB/OL]. (2022-05-22)[2026-08-03]. https://yn.mof.gov.cn/tongzhitonggao/202206/t20220624_3821516.htm.</w:t>
      </w:r>
    </w:p>
    <w:p w14:paraId="03210B2A">
      <w:pPr>
        <w:keepLines/>
        <w:spacing w:before="0" w:after="0" w:line="260" w:lineRule="auto"/>
        <w:ind w:leftChars="200" w:hangingChars="200"/>
        <w:jc w:val="left"/>
        <w:rPr>
          <w:rFonts w:hint="eastAsia" w:ascii="Songti SC" w:hAnsi="Songti SC" w:eastAsia="Songti SC" w:cs="Songti SC"/>
          <w:sz w:val="20"/>
          <w:szCs w:val="20"/>
        </w:rPr>
      </w:pPr>
      <w:r>
        <w:rPr>
          <w:rFonts w:hint="eastAsia" w:ascii="Songti SC" w:hAnsi="Songti SC" w:eastAsia="Songti SC" w:cs="Songti SC"/>
          <w:sz w:val="20"/>
          <w:szCs w:val="20"/>
        </w:rPr>
        <w:t>[2] 全国人民代表大会常务委员会. 中华人民共和国非物质文化遗产法[EB/OL]. (2011-02-25)[2026-08-03]. https://www.npc.gov.cn/npc/c2/c12435/c12488/201905/t20190522_70066.html.</w:t>
      </w:r>
    </w:p>
    <w:p w14:paraId="6E11B4FE">
      <w:pPr>
        <w:keepLines/>
        <w:spacing w:before="0" w:after="0" w:line="260" w:lineRule="auto"/>
        <w:ind w:leftChars="200" w:hangingChars="200"/>
        <w:jc w:val="left"/>
        <w:rPr>
          <w:rFonts w:hint="eastAsia" w:ascii="Songti SC" w:hAnsi="Songti SC" w:eastAsia="Songti SC" w:cs="Songti SC"/>
          <w:sz w:val="20"/>
          <w:szCs w:val="20"/>
        </w:rPr>
      </w:pPr>
      <w:r>
        <w:rPr>
          <w:rFonts w:hint="eastAsia" w:ascii="Songti SC" w:hAnsi="Songti SC" w:eastAsia="Songti SC" w:cs="Songti SC"/>
          <w:sz w:val="20"/>
          <w:szCs w:val="20"/>
        </w:rPr>
        <w:t>[3] RADFORD A, KIM J W, HALLACY C, et al. Learning transferable visual models from natural language supervision[C]//Proceedings of the 38th International Conference on Machine Learning. 2021: 8748-8763.</w:t>
      </w:r>
    </w:p>
    <w:p w14:paraId="28144058">
      <w:pPr>
        <w:keepLines/>
        <w:spacing w:before="0" w:after="0" w:line="260" w:lineRule="auto"/>
        <w:ind w:leftChars="200" w:hangingChars="200"/>
        <w:jc w:val="left"/>
        <w:rPr>
          <w:rFonts w:hint="eastAsia" w:ascii="Songti SC" w:hAnsi="Songti SC" w:eastAsia="Songti SC" w:cs="Songti SC"/>
          <w:sz w:val="20"/>
          <w:szCs w:val="20"/>
        </w:rPr>
      </w:pPr>
      <w:r>
        <w:rPr>
          <w:rFonts w:hint="eastAsia" w:ascii="Songti SC" w:hAnsi="Songti SC" w:eastAsia="Songti SC" w:cs="Songti SC"/>
          <w:sz w:val="20"/>
          <w:szCs w:val="20"/>
        </w:rPr>
        <w:t>[4] YANG A, PAN J, LIN J, et al. Chinese CLIP: Contrastive vision-language pretraining in Chinese[EB/OL]. arXiv:2211.01335, 2022. https://arxiv.org/abs/2211.01335.</w:t>
      </w:r>
    </w:p>
    <w:p w14:paraId="30281F32">
      <w:pPr>
        <w:keepLines/>
        <w:spacing w:before="0" w:after="0" w:line="260" w:lineRule="auto"/>
        <w:ind w:leftChars="200" w:hangingChars="200"/>
        <w:jc w:val="left"/>
        <w:rPr>
          <w:rFonts w:hint="eastAsia" w:ascii="Songti SC" w:hAnsi="Songti SC" w:eastAsia="Songti SC" w:cs="Songti SC"/>
          <w:sz w:val="20"/>
          <w:szCs w:val="20"/>
        </w:rPr>
      </w:pPr>
      <w:r>
        <w:rPr>
          <w:rFonts w:hint="eastAsia" w:ascii="Songti SC" w:hAnsi="Songti SC" w:eastAsia="Songti SC" w:cs="Songti SC"/>
          <w:sz w:val="20"/>
          <w:szCs w:val="20"/>
        </w:rPr>
        <w:t>[5] XIE N, LAI F, DORAN D, et al. Visual entailment: A novel task for fine-grained image understanding[EB/OL]. arXiv:1901.06706, 2019. https://arxiv.org/abs/1901.06706.</w:t>
      </w:r>
    </w:p>
    <w:p w14:paraId="356FAD63">
      <w:pPr>
        <w:keepLines/>
        <w:spacing w:before="0" w:after="0" w:line="260" w:lineRule="auto"/>
        <w:ind w:leftChars="200" w:hangingChars="200"/>
        <w:jc w:val="left"/>
        <w:rPr>
          <w:rFonts w:hint="eastAsia" w:ascii="Songti SC" w:hAnsi="Songti SC" w:eastAsia="Songti SC" w:cs="Songti SC"/>
          <w:sz w:val="20"/>
          <w:szCs w:val="20"/>
        </w:rPr>
      </w:pPr>
      <w:r>
        <w:rPr>
          <w:rFonts w:hint="eastAsia" w:ascii="Songti SC" w:hAnsi="Songti SC" w:eastAsia="Songti SC" w:cs="Songti SC"/>
          <w:sz w:val="20"/>
          <w:szCs w:val="20"/>
        </w:rPr>
        <w:t>[6] ZHONG Y, YANG J, ZHANG P, et al. RegionCLIP: Region-based language-image pretraining[C]//Proceedings of the IEEE/CVF Conference on Computer Vision and Pattern Recognition. 2022: 16793-16803.</w:t>
      </w:r>
    </w:p>
    <w:p w14:paraId="4345998D">
      <w:pPr>
        <w:keepLines/>
        <w:spacing w:before="0" w:after="0" w:line="260" w:lineRule="auto"/>
        <w:ind w:leftChars="200" w:hangingChars="200"/>
        <w:jc w:val="left"/>
        <w:rPr>
          <w:rFonts w:hint="eastAsia" w:ascii="Songti SC" w:hAnsi="Songti SC" w:eastAsia="Songti SC" w:cs="Songti SC"/>
          <w:sz w:val="20"/>
          <w:szCs w:val="20"/>
        </w:rPr>
      </w:pPr>
      <w:r>
        <w:rPr>
          <w:rFonts w:hint="eastAsia" w:ascii="Songti SC" w:hAnsi="Songti SC" w:eastAsia="Songti SC" w:cs="Songti SC"/>
          <w:sz w:val="20"/>
          <w:szCs w:val="20"/>
        </w:rPr>
        <w:t>[7] LIU S, ZENG Z, REN T, et al. Grounding DINO: Marrying DINO with grounded pre-training for open-set object detection[EB/OL]. arXiv:2303.05499, 2023. https://arxiv.org/abs/2303.05499.</w:t>
      </w:r>
    </w:p>
    <w:p w14:paraId="7FB49A38">
      <w:pPr>
        <w:keepLines/>
        <w:spacing w:before="0" w:after="0" w:line="260" w:lineRule="auto"/>
        <w:ind w:leftChars="200" w:hangingChars="200"/>
        <w:jc w:val="left"/>
        <w:rPr>
          <w:rFonts w:hint="eastAsia" w:ascii="Songti SC" w:hAnsi="Songti SC" w:eastAsia="Songti SC" w:cs="Songti SC"/>
          <w:sz w:val="20"/>
          <w:szCs w:val="20"/>
        </w:rPr>
      </w:pPr>
      <w:r>
        <w:rPr>
          <w:rFonts w:hint="eastAsia" w:ascii="Songti SC" w:hAnsi="Songti SC" w:eastAsia="Songti SC" w:cs="Songti SC"/>
          <w:sz w:val="20"/>
          <w:szCs w:val="20"/>
        </w:rPr>
        <w:t>[8] KIRILLOV A, MINTUN E, RAVI N, et al. Segment Anything[C]//Proceedings of the IEEE/CVF International Conference on Computer Vision. 2023: 4015-4026.</w:t>
      </w:r>
    </w:p>
    <w:p w14:paraId="6C516376">
      <w:pPr>
        <w:keepLines/>
        <w:spacing w:before="0" w:after="0" w:line="260" w:lineRule="auto"/>
        <w:ind w:leftChars="200" w:hangingChars="200"/>
        <w:jc w:val="left"/>
        <w:rPr>
          <w:rFonts w:hint="eastAsia" w:ascii="Songti SC" w:hAnsi="Songti SC" w:eastAsia="Songti SC" w:cs="Songti SC"/>
          <w:sz w:val="20"/>
          <w:szCs w:val="20"/>
        </w:rPr>
      </w:pPr>
      <w:r>
        <w:rPr>
          <w:rFonts w:hint="eastAsia" w:ascii="Songti SC" w:hAnsi="Songti SC" w:eastAsia="Songti SC" w:cs="Songti SC"/>
          <w:sz w:val="20"/>
          <w:szCs w:val="20"/>
        </w:rPr>
        <w:t>[9] KARPUKHIN V, OGUZ B, MIN S, et al. Dense passage retrieval for open-domain question answering[C]//Proceedings of the 2020 Conference on Empirical Methods in Natural Language Processing. 2020: 6769-6781.</w:t>
      </w:r>
    </w:p>
    <w:p w14:paraId="16AF0EF6">
      <w:pPr>
        <w:keepLines/>
        <w:spacing w:before="0" w:after="0" w:line="260" w:lineRule="auto"/>
        <w:ind w:leftChars="200" w:hangingChars="200"/>
        <w:jc w:val="left"/>
        <w:rPr>
          <w:rFonts w:hint="eastAsia" w:ascii="Songti SC" w:hAnsi="Songti SC" w:eastAsia="Songti SC" w:cs="Songti SC"/>
          <w:sz w:val="20"/>
          <w:szCs w:val="20"/>
        </w:rPr>
      </w:pPr>
      <w:r>
        <w:rPr>
          <w:rFonts w:hint="eastAsia" w:ascii="Songti SC" w:hAnsi="Songti SC" w:eastAsia="Songti SC" w:cs="Songti SC"/>
          <w:sz w:val="20"/>
          <w:szCs w:val="20"/>
        </w:rPr>
        <w:t>[10] ABDELNABI S, HASAN R, FRITZ M. Open-domain, content-based, multi-modal fact-checking of out-of-context images via online resources[C]//Proceedings of the IEEE/CVF Conference on Computer Vision and Pattern Recognition. 2022: 14940-14949.</w:t>
      </w:r>
    </w:p>
    <w:sectPr>
      <w:headerReference r:id="rId5" w:type="first"/>
      <w:footerReference r:id="rId8" w:type="first"/>
      <w:headerReference r:id="rId3" w:type="default"/>
      <w:footerReference r:id="rId6" w:type="default"/>
      <w:headerReference r:id="rId4" w:type="even"/>
      <w:footerReference r:id="rId7" w:type="even"/>
      <w:pgSz w:w="11906" w:h="16838"/>
      <w:pgMar w:top="1418" w:right="1418" w:bottom="1418" w:left="1418" w:header="794" w:footer="113" w:gutter="0"/>
      <w:pgNumType w:fmt="decimal"/>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Heiti SC">
    <w:panose1 w:val="00000000000000000000"/>
    <w:charset w:val="86"/>
    <w:family w:val="auto"/>
    <w:pitch w:val="default"/>
    <w:sig w:usb0="8000002F" w:usb1="0800004A" w:usb2="00000000" w:usb3="00000000" w:csb0="203E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495E4">
    <w:pPr>
      <w:pStyle w:val="4"/>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457200" cy="131445"/>
              <wp:effectExtent l="0" t="0" r="0" b="0"/>
              <wp:wrapSquare wrapText="bothSides"/>
              <wp:docPr id="6" name="Frame4"/>
              <wp:cNvGraphicFramePr/>
              <a:graphic xmlns:a="http://schemas.openxmlformats.org/drawingml/2006/main">
                <a:graphicData uri="http://schemas.microsoft.com/office/word/2010/wordprocessingShape">
                  <wps:wsp>
                    <wps:cNvSpPr txBox="1"/>
                    <wps:spPr>
                      <a:xfrm>
                        <a:off x="0" y="0"/>
                        <a:ext cx="457200" cy="131445"/>
                      </a:xfrm>
                      <a:prstGeom prst="rect">
                        <a:avLst/>
                      </a:prstGeom>
                      <a:solidFill>
                        <a:srgbClr val="FFFFFF">
                          <a:alpha val="0"/>
                        </a:srgbClr>
                      </a:solidFill>
                    </wps:spPr>
                    <wps:txbx>
                      <w:txbxContent>
                        <w:p w14:paraId="3A837AE3">
                          <w:pPr>
                            <w:pStyle w:val="4"/>
                            <w:rPr>
                              <w:rStyle w:val="9"/>
                            </w:rPr>
                          </w:pPr>
                          <w:r>
                            <w:rPr>
                              <w:rStyle w:val="9"/>
                            </w:rPr>
                            <w:fldChar w:fldCharType="begin"/>
                          </w:r>
                          <w:r>
                            <w:rPr>
                              <w:rStyle w:val="9"/>
                            </w:rPr>
                            <w:instrText xml:space="preserve"> PAGE </w:instrText>
                          </w:r>
                          <w:r>
                            <w:rPr>
                              <w:rStyle w:val="9"/>
                            </w:rPr>
                            <w:fldChar w:fldCharType="separate"/>
                          </w:r>
                          <w:r>
                            <w:rPr>
                              <w:rStyle w:val="9"/>
                            </w:rPr>
                            <w:t>3</w:t>
                          </w:r>
                          <w:r>
                            <w:rPr>
                              <w:rStyle w:val="9"/>
                            </w:rPr>
                            <w:fldChar w:fldCharType="end"/>
                          </w:r>
                        </w:p>
                      </w:txbxContent>
                    </wps:txbx>
                    <wps:bodyPr lIns="0" tIns="0" rIns="0" bIns="0" anchor="t">
                      <a:noAutofit/>
                    </wps:bodyPr>
                  </wps:wsp>
                </a:graphicData>
              </a:graphic>
            </wp:anchor>
          </w:drawing>
        </mc:Choice>
        <mc:Fallback>
          <w:pict>
            <v:shape id="Frame4" o:spid="_x0000_s1026" o:spt="202" type="#_x0000_t202" style="position:absolute;left:0pt;margin-top:0.05pt;height:10.35pt;width:36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OrFNSfRAAAAAwEAAA8AAAAAAAAAAQAgAAAAIgAAAGRycy9kb3ducmV2&#10;LnhtbFBLAQIUABQAAAAIAIdO4kBzXg9SygEAALMDAAAOAAAAAAAAAAEAIAAAACABAABkcnMvZTJv&#10;RG9jLnhtbFBLBQYAAAAABgAGAFkBAABcBQAAAAA=&#10;">
              <v:fill on="t" opacity="0f" focussize="0,0"/>
              <v:stroke on="f"/>
              <v:imagedata o:title=""/>
              <o:lock v:ext="edit" aspectratio="f"/>
              <v:textbox inset="0mm,0mm,0mm,0mm">
                <w:txbxContent>
                  <w:p w14:paraId="3A837AE3">
                    <w:pPr>
                      <w:pStyle w:val="4"/>
                      <w:rPr>
                        <w:rStyle w:val="9"/>
                      </w:rPr>
                    </w:pPr>
                    <w:r>
                      <w:rPr>
                        <w:rStyle w:val="9"/>
                      </w:rPr>
                      <w:fldChar w:fldCharType="begin"/>
                    </w:r>
                    <w:r>
                      <w:rPr>
                        <w:rStyle w:val="9"/>
                      </w:rPr>
                      <w:instrText xml:space="preserve"> PAGE </w:instrText>
                    </w:r>
                    <w:r>
                      <w:rPr>
                        <w:rStyle w:val="9"/>
                      </w:rPr>
                      <w:fldChar w:fldCharType="separate"/>
                    </w:r>
                    <w:r>
                      <w:rPr>
                        <w:rStyle w:val="9"/>
                      </w:rPr>
                      <w:t>3</w:t>
                    </w:r>
                    <w:r>
                      <w:rPr>
                        <w:rStyle w:val="9"/>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15A5D">
    <w:pPr>
      <w:pStyle w:val="4"/>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457200" cy="131445"/>
              <wp:effectExtent l="0" t="0" r="0" b="0"/>
              <wp:wrapSquare wrapText="bothSides"/>
              <wp:docPr id="5" name="Frame5"/>
              <wp:cNvGraphicFramePr/>
              <a:graphic xmlns:a="http://schemas.openxmlformats.org/drawingml/2006/main">
                <a:graphicData uri="http://schemas.microsoft.com/office/word/2010/wordprocessingShape">
                  <wps:wsp>
                    <wps:cNvSpPr txBox="1"/>
                    <wps:spPr>
                      <a:xfrm>
                        <a:off x="0" y="0"/>
                        <a:ext cx="457200" cy="131445"/>
                      </a:xfrm>
                      <a:prstGeom prst="rect">
                        <a:avLst/>
                      </a:prstGeom>
                      <a:solidFill>
                        <a:srgbClr val="FFFFFF">
                          <a:alpha val="0"/>
                        </a:srgbClr>
                      </a:solidFill>
                    </wps:spPr>
                    <wps:txbx>
                      <w:txbxContent>
                        <w:p w14:paraId="5F5394F0">
                          <w:pPr>
                            <w:pStyle w:val="4"/>
                            <w:rPr>
                              <w:rStyle w:val="9"/>
                            </w:rPr>
                          </w:pPr>
                          <w:r>
                            <w:rPr>
                              <w:rStyle w:val="9"/>
                            </w:rPr>
                            <w:fldChar w:fldCharType="begin"/>
                          </w:r>
                          <w:r>
                            <w:rPr>
                              <w:rStyle w:val="9"/>
                            </w:rPr>
                            <w:instrText xml:space="preserve"> PAGE </w:instrText>
                          </w:r>
                          <w:r>
                            <w:rPr>
                              <w:rStyle w:val="9"/>
                            </w:rPr>
                            <w:fldChar w:fldCharType="separate"/>
                          </w:r>
                          <w:r>
                            <w:rPr>
                              <w:rStyle w:val="9"/>
                            </w:rPr>
                            <w:t>4</w:t>
                          </w:r>
                          <w:r>
                            <w:rPr>
                              <w:rStyle w:val="9"/>
                            </w:rPr>
                            <w:fldChar w:fldCharType="end"/>
                          </w:r>
                        </w:p>
                      </w:txbxContent>
                    </wps:txbx>
                    <wps:bodyPr lIns="0" tIns="0" rIns="0" bIns="0" anchor="t">
                      <a:noAutofit/>
                    </wps:bodyPr>
                  </wps:wsp>
                </a:graphicData>
              </a:graphic>
            </wp:anchor>
          </w:drawing>
        </mc:Choice>
        <mc:Fallback>
          <w:pict>
            <v:shape id="Frame5" o:spid="_x0000_s1026" o:spt="202" type="#_x0000_t202" style="position:absolute;left:0pt;margin-top:0.05pt;height:10.35pt;width:36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OrFNSfRAAAAAwEAAA8AAAAAAAAAAQAgAAAAIgAAAGRycy9kb3ducmV2&#10;LnhtbFBLAQIUABQAAAAIAIdO4kAEZIG4ygEAALMDAAAOAAAAAAAAAAEAIAAAACABAABkcnMvZTJv&#10;RG9jLnhtbFBLBQYAAAAABgAGAFkBAABcBQAAAAA=&#10;">
              <v:fill on="t" opacity="0f" focussize="0,0"/>
              <v:stroke on="f"/>
              <v:imagedata o:title=""/>
              <o:lock v:ext="edit" aspectratio="f"/>
              <v:textbox inset="0mm,0mm,0mm,0mm">
                <w:txbxContent>
                  <w:p w14:paraId="5F5394F0">
                    <w:pPr>
                      <w:pStyle w:val="4"/>
                      <w:rPr>
                        <w:rStyle w:val="9"/>
                      </w:rPr>
                    </w:pPr>
                    <w:r>
                      <w:rPr>
                        <w:rStyle w:val="9"/>
                      </w:rPr>
                      <w:fldChar w:fldCharType="begin"/>
                    </w:r>
                    <w:r>
                      <w:rPr>
                        <w:rStyle w:val="9"/>
                      </w:rPr>
                      <w:instrText xml:space="preserve"> PAGE </w:instrText>
                    </w:r>
                    <w:r>
                      <w:rPr>
                        <w:rStyle w:val="9"/>
                      </w:rPr>
                      <w:fldChar w:fldCharType="separate"/>
                    </w:r>
                    <w:r>
                      <w:rPr>
                        <w:rStyle w:val="9"/>
                      </w:rPr>
                      <w:t>4</w:t>
                    </w:r>
                    <w:r>
                      <w:rPr>
                        <w:rStyle w:val="9"/>
                      </w:rPr>
                      <w:fldChar w:fldCharType="end"/>
                    </w:r>
                  </w:p>
                </w:txbxContent>
              </v:textbox>
              <w10:wrap type="squar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E529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C7AA0">
    <w:pPr>
      <w:pStyle w:val="5"/>
      <w:pBdr>
        <w:bottom w:val="single" w:color="000000" w:sz="4" w:space="1"/>
      </w:pBdr>
      <w:rPr>
        <w:rFonts w:hint="eastAsia" w:ascii="Heiti SC" w:hAnsi="Heiti SC" w:eastAsia="Heiti SC"/>
        <w:sz w:val="28"/>
        <w:szCs w:val="28"/>
      </w:rPr>
    </w:pPr>
    <w:r>
      <w:rPr>
        <w:rFonts w:hint="eastAsia" w:ascii="Heiti SC" w:hAnsi="Heiti SC" w:eastAsia="Heiti SC"/>
        <w:sz w:val="28"/>
        <w:szCs w:val="28"/>
      </w:rPr>
      <w:t>中央民族大学本科生创新训练计划立项申报书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43222">
    <w:pPr>
      <w:pStyle w:val="5"/>
      <w:pBdr>
        <w:bottom w:val="single" w:color="000000" w:sz="4" w:space="1"/>
      </w:pBdr>
      <w:rPr>
        <w:rFonts w:hint="eastAsia" w:ascii="Heiti SC" w:hAnsi="Heiti SC" w:eastAsia="Heiti SC"/>
        <w:sz w:val="28"/>
        <w:szCs w:val="28"/>
      </w:rPr>
    </w:pPr>
    <w:r>
      <w:rPr>
        <w:rFonts w:hint="eastAsia" w:ascii="Heiti SC" w:hAnsi="Heiti SC" w:eastAsia="Heiti SC"/>
        <w:sz w:val="28"/>
        <w:szCs w:val="28"/>
      </w:rPr>
      <w:t>中央民族大学本科生创新训练计划立项申报书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CB835">
    <w:pPr>
      <w:pStyle w:val="5"/>
      <w:pBdr>
        <w:bottom w:val="none" w:color="auto" w:sz="0" w:space="0"/>
      </w:pBdr>
      <w:jc w:val="right"/>
      <w:rPr>
        <w:rFonts w:hint="eastAsia"/>
        <w:sz w:val="13"/>
        <w:szCs w:val="13"/>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0"/>
  <w:bordersDoNotSurroundFooter w:val="0"/>
  <w:documentProtection w:enforcement="0"/>
  <w:defaultTabStop w:val="420"/>
  <w:autoHyphenation/>
  <w:hyphenationZone w:val="0"/>
  <w:evenAndOddHeaders w:val="1"/>
  <w:displayHorizontalDrawingGridEvery w:val="1"/>
  <w:displayVerticalDrawingGridEvery w:val="1"/>
  <w:noPunctuationKerning w:val="1"/>
  <w:compat>
    <w:doNotExpandShiftReturn/>
    <w:doNotBreakWrappedTables/>
    <w:doNotWrapTextWithPunct/>
    <w:doNotUseEastAsianBreakRules/>
    <w:useFELayout/>
    <w:useAltKinsokuLineBreakRules/>
    <w:compatSetting w:name="compatibilityMode" w:uri="http://schemas.microsoft.com/office/word" w:val="11"/>
  </w:compat>
  <w:rsids>
    <w:rsidRoot w:val="00000000"/>
    <w:rsid w:val="5E37B9C1"/>
    <w:rsid w:val="6DBFE892"/>
    <w:rsid w:val="76EF2047"/>
    <w:rsid w:val="77AF05C2"/>
    <w:rsid w:val="B5CA292E"/>
    <w:rsid w:val="D7DE54FC"/>
    <w:rsid w:val="EFAF63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Songti SC" w:cs="Times New Roman"/>
      <w:color w:val="auto"/>
      <w:kern w:val="2"/>
      <w:sz w:val="21"/>
      <w:szCs w:val="20"/>
      <w:lang w:val="en-US" w:eastAsia="zh-CN" w:bidi="ar-SA"/>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Arial"/>
      <w:i/>
      <w:iCs/>
      <w:sz w:val="24"/>
      <w:szCs w:val="24"/>
    </w:rPr>
  </w:style>
  <w:style w:type="paragraph" w:styleId="3">
    <w:name w:val="Body Text"/>
    <w:basedOn w:val="1"/>
    <w:uiPriority w:val="0"/>
    <w:pPr>
      <w:spacing w:before="0" w:after="140" w:line="276" w:lineRule="auto"/>
    </w:p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6">
    <w:name w:val="List"/>
    <w:basedOn w:val="3"/>
    <w:uiPriority w:val="0"/>
    <w:rPr>
      <w:rFonts w:cs="Arial"/>
    </w:rPr>
  </w:style>
  <w:style w:type="character" w:styleId="9">
    <w:name w:val="page number"/>
    <w:basedOn w:val="10"/>
    <w:uiPriority w:val="0"/>
  </w:style>
  <w:style w:type="character" w:customStyle="1" w:styleId="10">
    <w:name w:val="默认段落字体1"/>
    <w:qFormat/>
    <w:uiPriority w:val="0"/>
  </w:style>
  <w:style w:type="character" w:styleId="11">
    <w:name w:val="FollowedHyperlink"/>
    <w:uiPriority w:val="0"/>
    <w:rPr>
      <w:color w:val="800080"/>
      <w:u w:val="single"/>
    </w:rPr>
  </w:style>
  <w:style w:type="character" w:styleId="12">
    <w:name w:val="Hyperlink"/>
    <w:uiPriority w:val="0"/>
    <w:rPr>
      <w:color w:val="0000FF"/>
      <w:u w:val="single"/>
    </w:rPr>
  </w:style>
  <w:style w:type="character" w:customStyle="1" w:styleId="13">
    <w:name w:val="WW8Num1z0"/>
    <w:qFormat/>
    <w:uiPriority w:val="0"/>
    <w:rPr>
      <w:color w:val="000000"/>
    </w:rPr>
  </w:style>
  <w:style w:type="paragraph" w:customStyle="1" w:styleId="14">
    <w:name w:val="Heading"/>
    <w:basedOn w:val="1"/>
    <w:next w:val="3"/>
    <w:qFormat/>
    <w:uiPriority w:val="0"/>
    <w:pPr>
      <w:keepNext/>
      <w:spacing w:before="240" w:after="120"/>
    </w:pPr>
    <w:rPr>
      <w:rFonts w:ascii="Arial" w:hAnsi="Arial" w:eastAsia="Times New Roman" w:cs="Arial"/>
      <w:sz w:val="28"/>
      <w:szCs w:val="28"/>
    </w:rPr>
  </w:style>
  <w:style w:type="paragraph" w:customStyle="1" w:styleId="15">
    <w:name w:val="Index"/>
    <w:basedOn w:val="1"/>
    <w:qFormat/>
    <w:uiPriority w:val="0"/>
    <w:pPr>
      <w:suppressLineNumbers/>
    </w:pPr>
    <w:rPr>
      <w:rFonts w:cs="Arial"/>
    </w:rPr>
  </w:style>
  <w:style w:type="paragraph" w:customStyle="1" w:styleId="16">
    <w:name w:val="正文文本缩进 21"/>
    <w:basedOn w:val="1"/>
    <w:qFormat/>
    <w:uiPriority w:val="0"/>
    <w:pPr>
      <w:autoSpaceDE w:val="0"/>
      <w:ind w:left="0" w:right="0" w:firstLine="480"/>
      <w:textAlignment w:val="bottom"/>
    </w:pPr>
    <w:rPr>
      <w:rFonts w:ascii="Songti SC" w:hAnsi="Songti SC"/>
      <w:sz w:val="28"/>
    </w:rPr>
  </w:style>
  <w:style w:type="paragraph" w:customStyle="1" w:styleId="17">
    <w:name w:val="批注框文本1"/>
    <w:basedOn w:val="1"/>
    <w:qFormat/>
    <w:uiPriority w:val="0"/>
    <w:rPr>
      <w:sz w:val="18"/>
      <w:szCs w:val="18"/>
    </w:rPr>
  </w:style>
  <w:style w:type="paragraph" w:customStyle="1" w:styleId="18">
    <w:name w:val="Header and Footer"/>
    <w:basedOn w:val="1"/>
    <w:qFormat/>
    <w:uiPriority w:val="0"/>
    <w:pPr>
      <w:suppressLineNumbers/>
      <w:tabs>
        <w:tab w:val="center" w:pos="4819"/>
        <w:tab w:val="right" w:pos="9638"/>
      </w:tabs>
    </w:pPr>
  </w:style>
  <w:style w:type="paragraph" w:customStyle="1" w:styleId="19">
    <w:name w:val="Char Char"/>
    <w:basedOn w:val="1"/>
    <w:qFormat/>
    <w:uiPriority w:val="0"/>
    <w:rPr>
      <w:rFonts w:ascii="Arial" w:hAnsi="Arial" w:cs="Arial"/>
      <w:sz w:val="24"/>
    </w:rPr>
  </w:style>
  <w:style w:type="paragraph" w:customStyle="1" w:styleId="20">
    <w:name w:val="Table Contents"/>
    <w:basedOn w:val="1"/>
    <w:qFormat/>
    <w:uiPriority w:val="0"/>
    <w:pPr>
      <w:widowControl w:val="0"/>
      <w:suppressLineNumbers/>
    </w:pPr>
  </w:style>
  <w:style w:type="paragraph" w:customStyle="1" w:styleId="21">
    <w:name w:val="Table Heading"/>
    <w:basedOn w:val="20"/>
    <w:qFormat/>
    <w:uiPriority w:val="0"/>
    <w:pPr>
      <w:suppressLineNumbers/>
      <w:jc w:val="center"/>
    </w:pPr>
    <w:rPr>
      <w:b/>
      <w:bCs/>
    </w:rPr>
  </w:style>
  <w:style w:type="paragraph" w:customStyle="1" w:styleId="22">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Template>
  <Pages>13</Pages>
  <TotalTime>18</TotalTime>
  <ScaleCrop>false</ScaleCrop>
  <LinksUpToDate>false</LinksUpToDate>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2020-12-11T06:37:00Z</dcterms:created>
  <dc:creator>宋志民</dc:creator>
  <cp:lastModifiedBy>一只快乐的猪</cp:lastModifiedBy>
  <cp:lastPrinted>2013-12-05T01:19:00Z</cp:lastPrinted>
  <dcterms:modified xsi:type="dcterms:W3CDTF">2026-09-01T22:22:25Z</dcterms:modified>
  <dc:title>面向传统服饰图文资料的语义理解与证据核验研究</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7FE095F32D6044E3B4515754E5CF9A92_12</vt:lpwstr>
  </property>
  <property fmtid="{D5CDD505-2E9C-101B-9397-08002B2CF9AE}" pid="3" name="KSOProductBuildVer">
    <vt:lpwstr>2052-12.1.24031.24031</vt:lpwstr>
  </property>
  <property fmtid="{D5CDD505-2E9C-101B-9397-08002B2CF9AE}" pid="4" name="KSOTemplateDocerSaveRecord">
    <vt:lpwstr>eyJoZGlkIjoiNTUxNDNiMzNhZmI3NzVmNGE5MjJmN2JkNzY0OGZmZGUiLCJ1c2VySWQiOiIzMjY0OTQ5MDcifQ==</vt:lpwstr>
  </property>
</Properties>
</file>