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8049"/>
          <w:sz w:val="48"/>
        </w:rPr>
        <w:t>SAGIP-SJ</w:t>
      </w:r>
    </w:p>
    <w:p>
      <w:pPr>
        <w:spacing w:after="40"/>
        <w:jc w:val="center"/>
      </w:pPr>
      <w:r>
        <w:rPr>
          <w:color w:val="4B5563"/>
          <w:sz w:val="22"/>
        </w:rPr>
        <w:t>System for Alert, Guidance, Incident Reporting, and Preparedness</w:t>
      </w:r>
    </w:p>
    <w:p>
      <w:pPr>
        <w:spacing w:after="320"/>
        <w:jc w:val="center"/>
      </w:pPr>
      <w:r>
        <w:rPr>
          <w:b/>
          <w:color w:val="26A35E"/>
          <w:sz w:val="28"/>
        </w:rPr>
        <w:t>Data Sources Reference</w:t>
      </w:r>
    </w:p>
    <w:p>
      <w:pPr>
        <w:spacing w:after="40"/>
        <w:jc w:val="center"/>
      </w:pPr>
      <w:r>
        <w:rPr>
          <w:i/>
          <w:color w:val="4B5563"/>
          <w:sz w:val="18"/>
        </w:rPr>
        <w:t>Barangay San Jose, Rodriguez (Montalban), Rizal  |  August 2026  |  Version 0.1</w:t>
      </w:r>
    </w:p>
    <w:p/>
    <w:p>
      <w:pPr>
        <w:spacing w:before="360" w:after="120"/>
      </w:pPr>
      <w:r>
        <w:rPr>
          <w:b/>
          <w:color w:val="1F8049"/>
          <w:sz w:val="36"/>
        </w:rPr>
        <w:t>1. Overview</w:t>
      </w:r>
    </w:p>
    <w:p>
      <w:pPr>
        <w:spacing w:after="80"/>
      </w:pPr>
      <w:r>
        <w:rPr>
          <w:sz w:val="21"/>
        </w:rPr>
        <w:t>SAGIP-SJ integrates data from six distinct external and vendored sources, supplemented by data entered directly by residents, barangay health workers, and administrators. No request path in the live application calls any external service directly — external data is fetched on a schedule by the cron service, written to the database, and read by the API. This architecture ensures that upstream outages never break a page for users.</w:t>
      </w:r>
    </w:p>
    <w:p>
      <w:pPr>
        <w:spacing w:after="80"/>
      </w:pPr>
      <w:r>
        <w:rPr>
          <w:sz w:val="21"/>
        </w:rPr>
        <w:t>The table below summarises all data sources at a glance:</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32"/>
            <w:shd w:val="clear" w:color="auto" w:fill="1F8049"/>
          </w:tcPr>
          <w:p>
            <w:pPr>
              <w:spacing w:after="40" w:before="40"/>
            </w:pPr>
            <w:r>
              <w:rPr>
                <w:b/>
                <w:color w:val="FFFFFF"/>
                <w:sz w:val="20"/>
              </w:rPr>
              <w:t>#</w:t>
            </w:r>
          </w:p>
        </w:tc>
        <w:tc>
          <w:tcPr>
            <w:tcW w:type="dxa" w:w="2160"/>
            <w:shd w:val="clear" w:color="auto" w:fill="1F8049"/>
          </w:tcPr>
          <w:p>
            <w:pPr>
              <w:spacing w:after="40" w:before="40"/>
            </w:pPr>
            <w:r>
              <w:rPr>
                <w:b/>
                <w:color w:val="FFFFFF"/>
                <w:sz w:val="20"/>
              </w:rPr>
              <w:t>Source</w:t>
            </w:r>
          </w:p>
        </w:tc>
        <w:tc>
          <w:tcPr>
            <w:tcW w:type="dxa" w:w="2016"/>
            <w:shd w:val="clear" w:color="auto" w:fill="1F8049"/>
          </w:tcPr>
          <w:p>
            <w:pPr>
              <w:spacing w:after="40" w:before="40"/>
            </w:pPr>
            <w:r>
              <w:rPr>
                <w:b/>
                <w:color w:val="FFFFFF"/>
                <w:sz w:val="20"/>
              </w:rPr>
              <w:t>Type</w:t>
            </w:r>
          </w:p>
        </w:tc>
        <w:tc>
          <w:tcPr>
            <w:tcW w:type="dxa" w:w="3024"/>
            <w:shd w:val="clear" w:color="auto" w:fill="1F8049"/>
          </w:tcPr>
          <w:p>
            <w:pPr>
              <w:spacing w:after="40" w:before="40"/>
            </w:pPr>
            <w:r>
              <w:rPr>
                <w:b/>
                <w:color w:val="FFFFFF"/>
                <w:sz w:val="20"/>
              </w:rPr>
              <w:t>Ingestion Method</w:t>
            </w:r>
          </w:p>
        </w:tc>
        <w:tc>
          <w:tcPr>
            <w:tcW w:type="dxa" w:w="2304"/>
            <w:shd w:val="clear" w:color="auto" w:fill="1F8049"/>
          </w:tcPr>
          <w:p>
            <w:pPr>
              <w:spacing w:after="40" w:before="40"/>
            </w:pPr>
            <w:r>
              <w:rPr>
                <w:b/>
                <w:color w:val="FFFFFF"/>
                <w:sz w:val="20"/>
              </w:rPr>
              <w:t>Runtime Dependency?</w:t>
            </w:r>
          </w:p>
        </w:tc>
      </w:tr>
      <w:tr>
        <w:tc>
          <w:tcPr>
            <w:tcW w:type="dxa" w:w="432"/>
            <w:shd w:val="clear" w:color="auto" w:fill="F3F4F6"/>
          </w:tcPr>
          <w:p>
            <w:pPr>
              <w:spacing w:after="40" w:before="40"/>
            </w:pPr>
            <w:r>
              <w:rPr>
                <w:sz w:val="20"/>
              </w:rPr>
              <w:t>1</w:t>
            </w:r>
          </w:p>
        </w:tc>
        <w:tc>
          <w:tcPr>
            <w:tcW w:type="dxa" w:w="2160"/>
            <w:shd w:val="clear" w:color="auto" w:fill="F3F4F6"/>
          </w:tcPr>
          <w:p>
            <w:pPr>
              <w:spacing w:after="40" w:before="40"/>
            </w:pPr>
            <w:r>
              <w:rPr>
                <w:sz w:val="20"/>
              </w:rPr>
              <w:t>Open-Meteo</w:t>
            </w:r>
          </w:p>
        </w:tc>
        <w:tc>
          <w:tcPr>
            <w:tcW w:type="dxa" w:w="2016"/>
            <w:shd w:val="clear" w:color="auto" w:fill="F3F4F6"/>
          </w:tcPr>
          <w:p>
            <w:pPr>
              <w:spacing w:after="40" w:before="40"/>
            </w:pPr>
            <w:r>
              <w:rPr>
                <w:sz w:val="20"/>
              </w:rPr>
              <w:t>Live API</w:t>
            </w:r>
          </w:p>
        </w:tc>
        <w:tc>
          <w:tcPr>
            <w:tcW w:type="dxa" w:w="3024"/>
            <w:shd w:val="clear" w:color="auto" w:fill="F3F4F6"/>
          </w:tcPr>
          <w:p>
            <w:pPr>
              <w:spacing w:after="40" w:before="40"/>
            </w:pPr>
            <w:r>
              <w:rPr>
                <w:sz w:val="20"/>
              </w:rPr>
              <w:t>Scheduled fetch (20 min)</w:t>
            </w:r>
          </w:p>
        </w:tc>
        <w:tc>
          <w:tcPr>
            <w:tcW w:type="dxa" w:w="2304"/>
            <w:shd w:val="clear" w:color="auto" w:fill="F3F4F6"/>
          </w:tcPr>
          <w:p>
            <w:pPr>
              <w:spacing w:after="40" w:before="40"/>
            </w:pPr>
            <w:r>
              <w:rPr>
                <w:sz w:val="20"/>
              </w:rPr>
              <w:t>No — cached in DB</w:t>
            </w:r>
          </w:p>
        </w:tc>
      </w:tr>
      <w:tr>
        <w:tc>
          <w:tcPr>
            <w:tcW w:type="dxa" w:w="432"/>
            <w:shd w:val="clear" w:color="auto" w:fill="FFFFFF"/>
          </w:tcPr>
          <w:p>
            <w:pPr>
              <w:spacing w:after="40" w:before="40"/>
            </w:pPr>
            <w:r>
              <w:rPr>
                <w:sz w:val="20"/>
              </w:rPr>
              <w:t>2</w:t>
            </w:r>
          </w:p>
        </w:tc>
        <w:tc>
          <w:tcPr>
            <w:tcW w:type="dxa" w:w="2160"/>
            <w:shd w:val="clear" w:color="auto" w:fill="FFFFFF"/>
          </w:tcPr>
          <w:p>
            <w:pPr>
              <w:spacing w:after="40" w:before="40"/>
            </w:pPr>
            <w:r>
              <w:rPr>
                <w:sz w:val="20"/>
              </w:rPr>
              <w:t>PAGASA FFWS</w:t>
            </w:r>
          </w:p>
        </w:tc>
        <w:tc>
          <w:tcPr>
            <w:tcW w:type="dxa" w:w="2016"/>
            <w:shd w:val="clear" w:color="auto" w:fill="FFFFFF"/>
          </w:tcPr>
          <w:p>
            <w:pPr>
              <w:spacing w:after="40" w:before="40"/>
            </w:pPr>
            <w:r>
              <w:rPr>
                <w:sz w:val="20"/>
              </w:rPr>
              <w:t>Live API (JSON)</w:t>
            </w:r>
          </w:p>
        </w:tc>
        <w:tc>
          <w:tcPr>
            <w:tcW w:type="dxa" w:w="3024"/>
            <w:shd w:val="clear" w:color="auto" w:fill="FFFFFF"/>
          </w:tcPr>
          <w:p>
            <w:pPr>
              <w:spacing w:after="40" w:before="40"/>
            </w:pPr>
            <w:r>
              <w:rPr>
                <w:sz w:val="20"/>
              </w:rPr>
              <w:t>Scheduled fetch (15 min)</w:t>
            </w:r>
          </w:p>
        </w:tc>
        <w:tc>
          <w:tcPr>
            <w:tcW w:type="dxa" w:w="2304"/>
            <w:shd w:val="clear" w:color="auto" w:fill="FFFFFF"/>
          </w:tcPr>
          <w:p>
            <w:pPr>
              <w:spacing w:after="40" w:before="40"/>
            </w:pPr>
            <w:r>
              <w:rPr>
                <w:sz w:val="20"/>
              </w:rPr>
              <w:t>No — cached in DB</w:t>
            </w:r>
          </w:p>
        </w:tc>
      </w:tr>
      <w:tr>
        <w:tc>
          <w:tcPr>
            <w:tcW w:type="dxa" w:w="432"/>
            <w:shd w:val="clear" w:color="auto" w:fill="F3F4F6"/>
          </w:tcPr>
          <w:p>
            <w:pPr>
              <w:spacing w:after="40" w:before="40"/>
            </w:pPr>
            <w:r>
              <w:rPr>
                <w:sz w:val="20"/>
              </w:rPr>
              <w:t>3</w:t>
            </w:r>
          </w:p>
        </w:tc>
        <w:tc>
          <w:tcPr>
            <w:tcW w:type="dxa" w:w="2160"/>
            <w:shd w:val="clear" w:color="auto" w:fill="F3F4F6"/>
          </w:tcPr>
          <w:p>
            <w:pPr>
              <w:spacing w:after="40" w:before="40"/>
            </w:pPr>
            <w:r>
              <w:rPr>
                <w:sz w:val="20"/>
              </w:rPr>
              <w:t>Project NOAH (DOST)</w:t>
            </w:r>
          </w:p>
        </w:tc>
        <w:tc>
          <w:tcPr>
            <w:tcW w:type="dxa" w:w="2016"/>
            <w:shd w:val="clear" w:color="auto" w:fill="F3F4F6"/>
          </w:tcPr>
          <w:p>
            <w:pPr>
              <w:spacing w:after="40" w:before="40"/>
            </w:pPr>
            <w:r>
              <w:rPr>
                <w:sz w:val="20"/>
              </w:rPr>
              <w:t>Vendored GeoJSON</w:t>
            </w:r>
          </w:p>
        </w:tc>
        <w:tc>
          <w:tcPr>
            <w:tcW w:type="dxa" w:w="3024"/>
            <w:shd w:val="clear" w:color="auto" w:fill="F3F4F6"/>
          </w:tcPr>
          <w:p>
            <w:pPr>
              <w:spacing w:after="40" w:before="40"/>
            </w:pPr>
            <w:r>
              <w:rPr>
                <w:sz w:val="20"/>
              </w:rPr>
              <w:t>Committed to repo, seeded once</w:t>
            </w:r>
          </w:p>
        </w:tc>
        <w:tc>
          <w:tcPr>
            <w:tcW w:type="dxa" w:w="2304"/>
            <w:shd w:val="clear" w:color="auto" w:fill="F3F4F6"/>
          </w:tcPr>
          <w:p>
            <w:pPr>
              <w:spacing w:after="40" w:before="40"/>
            </w:pPr>
            <w:r>
              <w:rPr>
                <w:sz w:val="20"/>
              </w:rPr>
              <w:t>No</w:t>
            </w:r>
          </w:p>
        </w:tc>
      </w:tr>
      <w:tr>
        <w:tc>
          <w:tcPr>
            <w:tcW w:type="dxa" w:w="432"/>
            <w:shd w:val="clear" w:color="auto" w:fill="FFFFFF"/>
          </w:tcPr>
          <w:p>
            <w:pPr>
              <w:spacing w:after="40" w:before="40"/>
            </w:pPr>
            <w:r>
              <w:rPr>
                <w:sz w:val="20"/>
              </w:rPr>
              <w:t>4</w:t>
            </w:r>
          </w:p>
        </w:tc>
        <w:tc>
          <w:tcPr>
            <w:tcW w:type="dxa" w:w="2160"/>
            <w:shd w:val="clear" w:color="auto" w:fill="FFFFFF"/>
          </w:tcPr>
          <w:p>
            <w:pPr>
              <w:spacing w:after="40" w:before="40"/>
            </w:pPr>
            <w:r>
              <w:rPr>
                <w:sz w:val="20"/>
              </w:rPr>
              <w:t>OpenStreetMap</w:t>
            </w:r>
          </w:p>
        </w:tc>
        <w:tc>
          <w:tcPr>
            <w:tcW w:type="dxa" w:w="2016"/>
            <w:shd w:val="clear" w:color="auto" w:fill="FFFFFF"/>
          </w:tcPr>
          <w:p>
            <w:pPr>
              <w:spacing w:after="40" w:before="40"/>
            </w:pPr>
            <w:r>
              <w:rPr>
                <w:sz w:val="20"/>
              </w:rPr>
              <w:t>Tile CDN</w:t>
            </w:r>
          </w:p>
        </w:tc>
        <w:tc>
          <w:tcPr>
            <w:tcW w:type="dxa" w:w="3024"/>
            <w:shd w:val="clear" w:color="auto" w:fill="FFFFFF"/>
          </w:tcPr>
          <w:p>
            <w:pPr>
              <w:spacing w:after="40" w:before="40"/>
            </w:pPr>
            <w:r>
              <w:rPr>
                <w:sz w:val="20"/>
              </w:rPr>
              <w:t>Browser loads directly</w:t>
            </w:r>
          </w:p>
        </w:tc>
        <w:tc>
          <w:tcPr>
            <w:tcW w:type="dxa" w:w="2304"/>
            <w:shd w:val="clear" w:color="auto" w:fill="FFFFFF"/>
          </w:tcPr>
          <w:p>
            <w:pPr>
              <w:spacing w:after="40" w:before="40"/>
            </w:pPr>
            <w:r>
              <w:rPr>
                <w:sz w:val="20"/>
              </w:rPr>
              <w:t>Yes (tile server)</w:t>
            </w:r>
          </w:p>
        </w:tc>
      </w:tr>
      <w:tr>
        <w:tc>
          <w:tcPr>
            <w:tcW w:type="dxa" w:w="432"/>
            <w:shd w:val="clear" w:color="auto" w:fill="F3F4F6"/>
          </w:tcPr>
          <w:p>
            <w:pPr>
              <w:spacing w:after="40" w:before="40"/>
            </w:pPr>
            <w:r>
              <w:rPr>
                <w:sz w:val="20"/>
              </w:rPr>
              <w:t>5</w:t>
            </w:r>
          </w:p>
        </w:tc>
        <w:tc>
          <w:tcPr>
            <w:tcW w:type="dxa" w:w="2160"/>
            <w:shd w:val="clear" w:color="auto" w:fill="F3F4F6"/>
          </w:tcPr>
          <w:p>
            <w:pPr>
              <w:spacing w:after="40" w:before="40"/>
            </w:pPr>
            <w:r>
              <w:rPr>
                <w:sz w:val="20"/>
              </w:rPr>
              <w:t>PSGC</w:t>
            </w:r>
          </w:p>
        </w:tc>
        <w:tc>
          <w:tcPr>
            <w:tcW w:type="dxa" w:w="2016"/>
            <w:shd w:val="clear" w:color="auto" w:fill="F3F4F6"/>
          </w:tcPr>
          <w:p>
            <w:pPr>
              <w:spacing w:after="40" w:before="40"/>
            </w:pPr>
            <w:r>
              <w:rPr>
                <w:sz w:val="20"/>
              </w:rPr>
              <w:t>Static dataset</w:t>
            </w:r>
          </w:p>
        </w:tc>
        <w:tc>
          <w:tcPr>
            <w:tcW w:type="dxa" w:w="3024"/>
            <w:shd w:val="clear" w:color="auto" w:fill="F3F4F6"/>
          </w:tcPr>
          <w:p>
            <w:pPr>
              <w:spacing w:after="40" w:before="40"/>
            </w:pPr>
            <w:r>
              <w:rPr>
                <w:sz w:val="20"/>
              </w:rPr>
              <w:t>Seeded at migration</w:t>
            </w:r>
          </w:p>
        </w:tc>
        <w:tc>
          <w:tcPr>
            <w:tcW w:type="dxa" w:w="2304"/>
            <w:shd w:val="clear" w:color="auto" w:fill="F3F4F6"/>
          </w:tcPr>
          <w:p>
            <w:pPr>
              <w:spacing w:after="40" w:before="40"/>
            </w:pPr>
            <w:r>
              <w:rPr>
                <w:sz w:val="20"/>
              </w:rPr>
              <w:t>No</w:t>
            </w:r>
          </w:p>
        </w:tc>
      </w:tr>
      <w:tr>
        <w:tc>
          <w:tcPr>
            <w:tcW w:type="dxa" w:w="432"/>
            <w:shd w:val="clear" w:color="auto" w:fill="FFFFFF"/>
          </w:tcPr>
          <w:p>
            <w:pPr>
              <w:spacing w:after="40" w:before="40"/>
            </w:pPr>
            <w:r>
              <w:rPr>
                <w:sz w:val="20"/>
              </w:rPr>
              <w:t>6</w:t>
            </w:r>
          </w:p>
        </w:tc>
        <w:tc>
          <w:tcPr>
            <w:tcW w:type="dxa" w:w="2160"/>
            <w:shd w:val="clear" w:color="auto" w:fill="FFFFFF"/>
          </w:tcPr>
          <w:p>
            <w:pPr>
              <w:spacing w:after="40" w:before="40"/>
            </w:pPr>
            <w:r>
              <w:rPr>
                <w:sz w:val="20"/>
              </w:rPr>
              <w:t>Admin / Manual</w:t>
            </w:r>
          </w:p>
        </w:tc>
        <w:tc>
          <w:tcPr>
            <w:tcW w:type="dxa" w:w="2016"/>
            <w:shd w:val="clear" w:color="auto" w:fill="FFFFFF"/>
          </w:tcPr>
          <w:p>
            <w:pPr>
              <w:spacing w:after="40" w:before="40"/>
            </w:pPr>
            <w:r>
              <w:rPr>
                <w:sz w:val="20"/>
              </w:rPr>
              <w:t>Internal entry</w:t>
            </w:r>
          </w:p>
        </w:tc>
        <w:tc>
          <w:tcPr>
            <w:tcW w:type="dxa" w:w="3024"/>
            <w:shd w:val="clear" w:color="auto" w:fill="FFFFFF"/>
          </w:tcPr>
          <w:p>
            <w:pPr>
              <w:spacing w:after="40" w:before="40"/>
            </w:pPr>
            <w:r>
              <w:rPr>
                <w:sz w:val="20"/>
              </w:rPr>
              <w:t>POST /admin/readings</w:t>
            </w:r>
          </w:p>
        </w:tc>
        <w:tc>
          <w:tcPr>
            <w:tcW w:type="dxa" w:w="2304"/>
            <w:shd w:val="clear" w:color="auto" w:fill="FFFFFF"/>
          </w:tcPr>
          <w:p>
            <w:pPr>
              <w:spacing w:after="40" w:before="40"/>
            </w:pPr>
            <w:r>
              <w:rPr>
                <w:sz w:val="20"/>
              </w:rPr>
              <w:t>No</w:t>
            </w:r>
          </w:p>
        </w:tc>
      </w:tr>
      <w:tr>
        <w:tc>
          <w:tcPr>
            <w:tcW w:type="dxa" w:w="432"/>
            <w:shd w:val="clear" w:color="auto" w:fill="F3F4F6"/>
          </w:tcPr>
          <w:p>
            <w:pPr>
              <w:spacing w:after="40" w:before="40"/>
            </w:pPr>
            <w:r>
              <w:rPr>
                <w:sz w:val="20"/>
              </w:rPr>
              <w:t>7</w:t>
            </w:r>
          </w:p>
        </w:tc>
        <w:tc>
          <w:tcPr>
            <w:tcW w:type="dxa" w:w="2160"/>
            <w:shd w:val="clear" w:color="auto" w:fill="F3F4F6"/>
          </w:tcPr>
          <w:p>
            <w:pPr>
              <w:spacing w:after="40" w:before="40"/>
            </w:pPr>
            <w:r>
              <w:rPr>
                <w:sz w:val="20"/>
              </w:rPr>
              <w:t>Resident / BHW</w:t>
            </w:r>
          </w:p>
        </w:tc>
        <w:tc>
          <w:tcPr>
            <w:tcW w:type="dxa" w:w="2016"/>
            <w:shd w:val="clear" w:color="auto" w:fill="F3F4F6"/>
          </w:tcPr>
          <w:p>
            <w:pPr>
              <w:spacing w:after="40" w:before="40"/>
            </w:pPr>
            <w:r>
              <w:rPr>
                <w:sz w:val="20"/>
              </w:rPr>
              <w:t>Internal entry</w:t>
            </w:r>
          </w:p>
        </w:tc>
        <w:tc>
          <w:tcPr>
            <w:tcW w:type="dxa" w:w="3024"/>
            <w:shd w:val="clear" w:color="auto" w:fill="F3F4F6"/>
          </w:tcPr>
          <w:p>
            <w:pPr>
              <w:spacing w:after="40" w:before="40"/>
            </w:pPr>
            <w:r>
              <w:rPr>
                <w:sz w:val="20"/>
              </w:rPr>
              <w:t>Registration &amp; portal forms</w:t>
            </w:r>
          </w:p>
        </w:tc>
        <w:tc>
          <w:tcPr>
            <w:tcW w:type="dxa" w:w="2304"/>
            <w:shd w:val="clear" w:color="auto" w:fill="F3F4F6"/>
          </w:tcPr>
          <w:p>
            <w:pPr>
              <w:spacing w:after="40" w:before="40"/>
            </w:pPr>
            <w:r>
              <w:rPr>
                <w:sz w:val="20"/>
              </w:rPr>
              <w:t>No</w:t>
            </w:r>
          </w:p>
        </w:tc>
      </w:tr>
    </w:tbl>
    <w:p/>
    <w:p>
      <w:pPr>
        <w:spacing w:before="360" w:after="120"/>
      </w:pPr>
      <w:r>
        <w:rPr>
          <w:b/>
          <w:color w:val="1F8049"/>
          <w:sz w:val="36"/>
        </w:rPr>
        <w:t>2. Live External Data Sources</w:t>
      </w:r>
    </w:p>
    <w:p>
      <w:pPr>
        <w:spacing w:after="80"/>
      </w:pPr>
      <w:r>
        <w:rPr>
          <w:sz w:val="21"/>
        </w:rPr>
        <w:t>These sources are polled on a fixed schedule by the dedicated cron container. Readings are stored in the reading table and surfaced to users with source attribution and timestamps. A value is never shown without its age (FR-WX-010, FR-WX-011).</w:t>
      </w:r>
    </w:p>
    <w:p>
      <w:pPr>
        <w:spacing w:before="240" w:after="120"/>
      </w:pPr>
      <w:r>
        <w:rPr>
          <w:b/>
          <w:color w:val="1F8049"/>
          <w:sz w:val="26"/>
        </w:rPr>
        <w:t>2.1  Open-Meteo — Weather Forecast</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URL</w:t>
            </w:r>
          </w:p>
        </w:tc>
        <w:tc>
          <w:tcPr>
            <w:tcW w:type="dxa" w:w="7344"/>
            <w:shd w:val="clear" w:color="auto" w:fill="F3F4F6"/>
          </w:tcPr>
          <w:p>
            <w:pPr>
              <w:spacing w:after="40" w:before="40"/>
            </w:pPr>
            <w:r>
              <w:rPr>
                <w:sz w:val="20"/>
              </w:rPr>
              <w:t>https://open-meteo.com/</w:t>
            </w:r>
          </w:p>
        </w:tc>
      </w:tr>
      <w:tr>
        <w:tc>
          <w:tcPr>
            <w:tcW w:type="dxa" w:w="2592"/>
            <w:shd w:val="clear" w:color="auto" w:fill="FFFFFF"/>
          </w:tcPr>
          <w:p>
            <w:pPr>
              <w:spacing w:after="40" w:before="40"/>
            </w:pPr>
            <w:r>
              <w:rPr>
                <w:sz w:val="20"/>
              </w:rPr>
              <w:t>Protocol</w:t>
            </w:r>
          </w:p>
        </w:tc>
        <w:tc>
          <w:tcPr>
            <w:tcW w:type="dxa" w:w="7344"/>
            <w:shd w:val="clear" w:color="auto" w:fill="FFFFFF"/>
          </w:tcPr>
          <w:p>
            <w:pPr>
              <w:spacing w:after="40" w:before="40"/>
            </w:pPr>
            <w:r>
              <w:rPr>
                <w:sz w:val="20"/>
              </w:rPr>
              <w:t>HTTPS GET → JSON</w:t>
            </w:r>
          </w:p>
        </w:tc>
      </w:tr>
      <w:tr>
        <w:tc>
          <w:tcPr>
            <w:tcW w:type="dxa" w:w="2592"/>
            <w:shd w:val="clear" w:color="auto" w:fill="F3F4F6"/>
          </w:tcPr>
          <w:p>
            <w:pPr>
              <w:spacing w:after="40" w:before="40"/>
            </w:pPr>
            <w:r>
              <w:rPr>
                <w:sz w:val="20"/>
              </w:rPr>
              <w:t>Authentication</w:t>
            </w:r>
          </w:p>
        </w:tc>
        <w:tc>
          <w:tcPr>
            <w:tcW w:type="dxa" w:w="7344"/>
            <w:shd w:val="clear" w:color="auto" w:fill="F3F4F6"/>
          </w:tcPr>
          <w:p>
            <w:pPr>
              <w:spacing w:after="40" w:before="40"/>
            </w:pPr>
            <w:r>
              <w:rPr>
                <w:sz w:val="20"/>
              </w:rPr>
              <w:t>None — no API key required</w:t>
            </w:r>
          </w:p>
        </w:tc>
      </w:tr>
      <w:tr>
        <w:tc>
          <w:tcPr>
            <w:tcW w:type="dxa" w:w="2592"/>
            <w:shd w:val="clear" w:color="auto" w:fill="FFFFFF"/>
          </w:tcPr>
          <w:p>
            <w:pPr>
              <w:spacing w:after="40" w:before="40"/>
            </w:pPr>
            <w:r>
              <w:rPr>
                <w:sz w:val="20"/>
              </w:rPr>
              <w:t>Cost</w:t>
            </w:r>
          </w:p>
        </w:tc>
        <w:tc>
          <w:tcPr>
            <w:tcW w:type="dxa" w:w="7344"/>
            <w:shd w:val="clear" w:color="auto" w:fill="FFFFFF"/>
          </w:tcPr>
          <w:p>
            <w:pPr>
              <w:spacing w:after="40" w:before="40"/>
            </w:pPr>
            <w:r>
              <w:rPr>
                <w:sz w:val="20"/>
              </w:rPr>
              <w:t>Free for non-commercial use</w:t>
            </w:r>
          </w:p>
        </w:tc>
      </w:tr>
      <w:tr>
        <w:tc>
          <w:tcPr>
            <w:tcW w:type="dxa" w:w="2592"/>
            <w:shd w:val="clear" w:color="auto" w:fill="F3F4F6"/>
          </w:tcPr>
          <w:p>
            <w:pPr>
              <w:spacing w:after="40" w:before="40"/>
            </w:pPr>
            <w:r>
              <w:rPr>
                <w:sz w:val="20"/>
              </w:rPr>
              <w:t>Fetch cadence</w:t>
            </w:r>
          </w:p>
        </w:tc>
        <w:tc>
          <w:tcPr>
            <w:tcW w:type="dxa" w:w="7344"/>
            <w:shd w:val="clear" w:color="auto" w:fill="F3F4F6"/>
          </w:tcPr>
          <w:p>
            <w:pPr>
              <w:spacing w:after="40" w:before="40"/>
            </w:pPr>
            <w:r>
              <w:rPr>
                <w:sz w:val="20"/>
              </w:rPr>
              <w:t>Every 20 minutes (fetch_weather job)</w:t>
            </w:r>
          </w:p>
        </w:tc>
      </w:tr>
      <w:tr>
        <w:tc>
          <w:tcPr>
            <w:tcW w:type="dxa" w:w="2592"/>
            <w:shd w:val="clear" w:color="auto" w:fill="FFFFFF"/>
          </w:tcPr>
          <w:p>
            <w:pPr>
              <w:spacing w:after="40" w:before="40"/>
            </w:pPr>
            <w:r>
              <w:rPr>
                <w:sz w:val="20"/>
              </w:rPr>
              <w:t>Adapter</w:t>
            </w:r>
          </w:p>
        </w:tc>
        <w:tc>
          <w:tcPr>
            <w:tcW w:type="dxa" w:w="7344"/>
            <w:shd w:val="clear" w:color="auto" w:fill="FFFFFF"/>
          </w:tcPr>
          <w:p>
            <w:pPr>
              <w:spacing w:after="40" w:before="40"/>
            </w:pPr>
            <w:r>
              <w:rPr>
                <w:sz w:val="20"/>
              </w:rPr>
              <w:t>apps/api/src/integrations/open_meteo.py</w:t>
            </w:r>
          </w:p>
        </w:tc>
      </w:tr>
      <w:tr>
        <w:tc>
          <w:tcPr>
            <w:tcW w:type="dxa" w:w="2592"/>
            <w:shd w:val="clear" w:color="auto" w:fill="F3F4F6"/>
          </w:tcPr>
          <w:p>
            <w:pPr>
              <w:spacing w:after="40" w:before="40"/>
            </w:pPr>
            <w:r>
              <w:rPr>
                <w:sz w:val="20"/>
              </w:rPr>
              <w:t>DB table</w:t>
            </w:r>
          </w:p>
        </w:tc>
        <w:tc>
          <w:tcPr>
            <w:tcW w:type="dxa" w:w="7344"/>
            <w:shd w:val="clear" w:color="auto" w:fill="F3F4F6"/>
          </w:tcPr>
          <w:p>
            <w:pPr>
              <w:spacing w:after="40" w:before="40"/>
            </w:pPr>
            <w:r>
              <w:rPr>
                <w:sz w:val="20"/>
              </w:rPr>
              <w:t>reading (source = 'open_meteo')</w:t>
            </w:r>
          </w:p>
        </w:tc>
      </w:tr>
      <w:tr>
        <w:tc>
          <w:tcPr>
            <w:tcW w:type="dxa" w:w="2592"/>
            <w:shd w:val="clear" w:color="auto" w:fill="FFFFFF"/>
          </w:tcPr>
          <w:p>
            <w:pPr>
              <w:spacing w:after="40" w:before="40"/>
            </w:pPr>
            <w:r>
              <w:rPr>
                <w:sz w:val="20"/>
              </w:rPr>
              <w:t>Licence</w:t>
            </w:r>
          </w:p>
        </w:tc>
        <w:tc>
          <w:tcPr>
            <w:tcW w:type="dxa" w:w="7344"/>
            <w:shd w:val="clear" w:color="auto" w:fill="FFFFFF"/>
          </w:tcPr>
          <w:p>
            <w:pPr>
              <w:spacing w:after="40" w:before="40"/>
            </w:pPr>
            <w:r>
              <w:rPr>
                <w:sz w:val="20"/>
              </w:rPr>
              <w:t>Open-Meteo Attribution License (non-commercial free tier)</w:t>
            </w:r>
          </w:p>
        </w:tc>
      </w:tr>
    </w:tbl>
    <w:p/>
    <w:p>
      <w:pPr>
        <w:spacing w:after="80"/>
      </w:pPr>
      <w:r>
        <w:rPr>
          <w:sz w:val="21"/>
        </w:rPr>
        <w:t>Open-Meteo provides current and forecast meteorological data for a single coordinate pair configured via environment variables (OPEN_METEO_LAT / OPEN_METEO_LON) centred on Barangay San Jose. Data retrieved includes:</w:t>
      </w:r>
    </w:p>
    <w:p>
      <w:pPr>
        <w:pStyle w:val="ListBullet"/>
        <w:spacing w:after="60"/>
        <w:ind w:left="360"/>
      </w:pPr>
      <w:r>
        <w:rPr>
          <w:sz w:val="21"/>
        </w:rPr>
        <w:t>Temperature and apparent temperature (°C)</w:t>
      </w:r>
    </w:p>
    <w:p>
      <w:pPr>
        <w:pStyle w:val="ListBullet"/>
        <w:spacing w:after="60"/>
        <w:ind w:left="360"/>
      </w:pPr>
      <w:r>
        <w:rPr>
          <w:sz w:val="21"/>
        </w:rPr>
        <w:t>Precipitation amount and probability (%)</w:t>
      </w:r>
    </w:p>
    <w:p>
      <w:pPr>
        <w:pStyle w:val="ListBullet"/>
        <w:spacing w:after="60"/>
        <w:ind w:left="360"/>
      </w:pPr>
      <w:r>
        <w:rPr>
          <w:sz w:val="21"/>
        </w:rPr>
        <w:t>Hourly and daily forecasts up to 16 days</w:t>
      </w:r>
    </w:p>
    <w:p>
      <w:pPr>
        <w:pStyle w:val="ListBullet"/>
        <w:spacing w:after="60"/>
        <w:ind w:left="360"/>
      </w:pPr>
      <w:r>
        <w:rPr>
          <w:sz w:val="21"/>
        </w:rPr>
        <w:t>Heat index (derived from temperature + humidity)</w:t>
      </w:r>
    </w:p>
    <w:p>
      <w:pPr>
        <w:pStyle w:val="ListBullet"/>
        <w:spacing w:after="60"/>
        <w:ind w:left="360"/>
      </w:pPr>
      <w:r>
        <w:rPr>
          <w:sz w:val="21"/>
        </w:rPr>
        <w:t>Rain/thunderstorm weather condition codes</w:t>
      </w:r>
    </w:p>
    <w:p>
      <w:pPr>
        <w:spacing w:after="160"/>
      </w:pPr>
      <w:r>
        <w:rPr>
          <w:sz w:val="21"/>
        </w:rPr>
        <w:t>The cron job polls once every 20 minutes. On failure, the job logs the error and does not write — the most recent stored reading remains available to the API, labelled with its actual observed_at timestamp so staleness is always visible to the user. Configured via SCRAPE_INTERVAL_MINUTES and STALE_THRESHOLD_MINUTES.</w:t>
      </w:r>
    </w:p>
    <w:p>
      <w:pPr>
        <w:spacing w:before="240" w:after="120"/>
      </w:pPr>
      <w:r>
        <w:rPr>
          <w:b/>
          <w:color w:val="1F8049"/>
          <w:sz w:val="26"/>
        </w:rPr>
        <w:t>2.2  PAGASA FFWS — River Level</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URL</w:t>
            </w:r>
          </w:p>
        </w:tc>
        <w:tc>
          <w:tcPr>
            <w:tcW w:type="dxa" w:w="7344"/>
            <w:shd w:val="clear" w:color="auto" w:fill="F3F4F6"/>
          </w:tcPr>
          <w:p>
            <w:pPr>
              <w:spacing w:after="40" w:before="40"/>
            </w:pPr>
            <w:r>
              <w:rPr>
                <w:sz w:val="20"/>
              </w:rPr>
              <w:t>https://pasig-marikina-tullahanffws.pagasa.dost.gov.ph/water/map_list.do</w:t>
            </w:r>
          </w:p>
        </w:tc>
      </w:tr>
      <w:tr>
        <w:tc>
          <w:tcPr>
            <w:tcW w:type="dxa" w:w="2592"/>
            <w:shd w:val="clear" w:color="auto" w:fill="FFFFFF"/>
          </w:tcPr>
          <w:p>
            <w:pPr>
              <w:spacing w:after="40" w:before="40"/>
            </w:pPr>
            <w:r>
              <w:rPr>
                <w:sz w:val="20"/>
              </w:rPr>
              <w:t>Protocol</w:t>
            </w:r>
          </w:p>
        </w:tc>
        <w:tc>
          <w:tcPr>
            <w:tcW w:type="dxa" w:w="7344"/>
            <w:shd w:val="clear" w:color="auto" w:fill="FFFFFF"/>
          </w:tcPr>
          <w:p>
            <w:pPr>
              <w:spacing w:after="40" w:before="40"/>
            </w:pPr>
            <w:r>
              <w:rPr>
                <w:sz w:val="20"/>
              </w:rPr>
              <w:t>HTTPS GET → JSON array (not HTML — no scraping needed)</w:t>
            </w:r>
          </w:p>
        </w:tc>
      </w:tr>
      <w:tr>
        <w:tc>
          <w:tcPr>
            <w:tcW w:type="dxa" w:w="2592"/>
            <w:shd w:val="clear" w:color="auto" w:fill="F3F4F6"/>
          </w:tcPr>
          <w:p>
            <w:pPr>
              <w:spacing w:after="40" w:before="40"/>
            </w:pPr>
            <w:r>
              <w:rPr>
                <w:sz w:val="20"/>
              </w:rPr>
              <w:t>Authentication</w:t>
            </w:r>
          </w:p>
        </w:tc>
        <w:tc>
          <w:tcPr>
            <w:tcW w:type="dxa" w:w="7344"/>
            <w:shd w:val="clear" w:color="auto" w:fill="F3F4F6"/>
          </w:tcPr>
          <w:p>
            <w:pPr>
              <w:spacing w:after="40" w:before="40"/>
            </w:pPr>
            <w:r>
              <w:rPr>
                <w:sz w:val="20"/>
              </w:rPr>
              <w:t>None — public government information endpoint</w:t>
            </w:r>
          </w:p>
        </w:tc>
      </w:tr>
      <w:tr>
        <w:tc>
          <w:tcPr>
            <w:tcW w:type="dxa" w:w="2592"/>
            <w:shd w:val="clear" w:color="auto" w:fill="FFFFFF"/>
          </w:tcPr>
          <w:p>
            <w:pPr>
              <w:spacing w:after="40" w:before="40"/>
            </w:pPr>
            <w:r>
              <w:rPr>
                <w:sz w:val="20"/>
              </w:rPr>
              <w:t>Cost</w:t>
            </w:r>
          </w:p>
        </w:tc>
        <w:tc>
          <w:tcPr>
            <w:tcW w:type="dxa" w:w="7344"/>
            <w:shd w:val="clear" w:color="auto" w:fill="FFFFFF"/>
          </w:tcPr>
          <w:p>
            <w:pPr>
              <w:spacing w:after="40" w:before="40"/>
            </w:pPr>
            <w:r>
              <w:rPr>
                <w:sz w:val="20"/>
              </w:rPr>
              <w:t>Free (public data)</w:t>
            </w:r>
          </w:p>
        </w:tc>
      </w:tr>
      <w:tr>
        <w:tc>
          <w:tcPr>
            <w:tcW w:type="dxa" w:w="2592"/>
            <w:shd w:val="clear" w:color="auto" w:fill="F3F4F6"/>
          </w:tcPr>
          <w:p>
            <w:pPr>
              <w:spacing w:after="40" w:before="40"/>
            </w:pPr>
            <w:r>
              <w:rPr>
                <w:sz w:val="20"/>
              </w:rPr>
              <w:t>Fetch cadence</w:t>
            </w:r>
          </w:p>
        </w:tc>
        <w:tc>
          <w:tcPr>
            <w:tcW w:type="dxa" w:w="7344"/>
            <w:shd w:val="clear" w:color="auto" w:fill="F3F4F6"/>
          </w:tcPr>
          <w:p>
            <w:pPr>
              <w:spacing w:after="40" w:before="40"/>
            </w:pPr>
            <w:r>
              <w:rPr>
                <w:sz w:val="20"/>
              </w:rPr>
              <w:t>Every 15 minutes (fetch_river_level job)</w:t>
            </w:r>
          </w:p>
        </w:tc>
      </w:tr>
      <w:tr>
        <w:tc>
          <w:tcPr>
            <w:tcW w:type="dxa" w:w="2592"/>
            <w:shd w:val="clear" w:color="auto" w:fill="FFFFFF"/>
          </w:tcPr>
          <w:p>
            <w:pPr>
              <w:spacing w:after="40" w:before="40"/>
            </w:pPr>
            <w:r>
              <w:rPr>
                <w:sz w:val="20"/>
              </w:rPr>
              <w:t>Gauge station</w:t>
            </w:r>
          </w:p>
        </w:tc>
        <w:tc>
          <w:tcPr>
            <w:tcW w:type="dxa" w:w="7344"/>
            <w:shd w:val="clear" w:color="auto" w:fill="FFFFFF"/>
          </w:tcPr>
          <w:p>
            <w:pPr>
              <w:spacing w:after="40" w:before="40"/>
            </w:pPr>
            <w:r>
              <w:rPr>
                <w:sz w:val="20"/>
              </w:rPr>
              <w:t>Montalban (14.7331°N, 121.1306°E) — configured via PAGASA_STATION</w:t>
            </w:r>
          </w:p>
        </w:tc>
      </w:tr>
      <w:tr>
        <w:tc>
          <w:tcPr>
            <w:tcW w:type="dxa" w:w="2592"/>
            <w:shd w:val="clear" w:color="auto" w:fill="F3F4F6"/>
          </w:tcPr>
          <w:p>
            <w:pPr>
              <w:spacing w:after="40" w:before="40"/>
            </w:pPr>
            <w:r>
              <w:rPr>
                <w:sz w:val="20"/>
              </w:rPr>
              <w:t>Adapter</w:t>
            </w:r>
          </w:p>
        </w:tc>
        <w:tc>
          <w:tcPr>
            <w:tcW w:type="dxa" w:w="7344"/>
            <w:shd w:val="clear" w:color="auto" w:fill="F3F4F6"/>
          </w:tcPr>
          <w:p>
            <w:pPr>
              <w:spacing w:after="40" w:before="40"/>
            </w:pPr>
            <w:r>
              <w:rPr>
                <w:sz w:val="20"/>
              </w:rPr>
              <w:t>apps/api/src/integrations/pagasa.py</w:t>
            </w:r>
          </w:p>
        </w:tc>
      </w:tr>
      <w:tr>
        <w:tc>
          <w:tcPr>
            <w:tcW w:type="dxa" w:w="2592"/>
            <w:shd w:val="clear" w:color="auto" w:fill="FFFFFF"/>
          </w:tcPr>
          <w:p>
            <w:pPr>
              <w:spacing w:after="40" w:before="40"/>
            </w:pPr>
            <w:r>
              <w:rPr>
                <w:sz w:val="20"/>
              </w:rPr>
              <w:t>DB table</w:t>
            </w:r>
          </w:p>
        </w:tc>
        <w:tc>
          <w:tcPr>
            <w:tcW w:type="dxa" w:w="7344"/>
            <w:shd w:val="clear" w:color="auto" w:fill="FFFFFF"/>
          </w:tcPr>
          <w:p>
            <w:pPr>
              <w:spacing w:after="40" w:before="40"/>
            </w:pPr>
            <w:r>
              <w:rPr>
                <w:sz w:val="20"/>
              </w:rPr>
              <w:t>reading (source = 'pagasa')</w:t>
            </w:r>
          </w:p>
        </w:tc>
      </w:tr>
      <w:tr>
        <w:tc>
          <w:tcPr>
            <w:tcW w:type="dxa" w:w="2592"/>
            <w:shd w:val="clear" w:color="auto" w:fill="F3F4F6"/>
          </w:tcPr>
          <w:p>
            <w:pPr>
              <w:spacing w:after="40" w:before="40"/>
            </w:pPr>
            <w:r>
              <w:rPr>
                <w:sz w:val="20"/>
              </w:rPr>
              <w:t>Licence</w:t>
            </w:r>
          </w:p>
        </w:tc>
        <w:tc>
          <w:tcPr>
            <w:tcW w:type="dxa" w:w="7344"/>
            <w:shd w:val="clear" w:color="auto" w:fill="F3F4F6"/>
          </w:tcPr>
          <w:p>
            <w:pPr>
              <w:spacing w:after="40" w:before="40"/>
            </w:pPr>
            <w:r>
              <w:rPr>
                <w:sz w:val="20"/>
              </w:rPr>
              <w:t>Philippine government public information — attribution expected</w:t>
            </w:r>
          </w:p>
        </w:tc>
      </w:tr>
    </w:tbl>
    <w:p/>
    <w:p>
      <w:pPr>
        <w:spacing w:after="80"/>
      </w:pPr>
      <w:r>
        <w:rPr>
          <w:sz w:val="21"/>
        </w:rPr>
        <w:t>The PAGASA Flood Forecasting and Warning System (FFWS) for the Pasig-Marikina-Tullahan basin publishes current water levels from 16 river gauges as a JSON array. The system reads the Montalban gauge, which is the closest monitored point to Barangay San Jose. Each response record carries:</w:t>
      </w:r>
    </w:p>
    <w:p>
      <w:pPr>
        <w:pStyle w:val="ListBullet"/>
        <w:spacing w:after="60"/>
        <w:ind w:left="360"/>
      </w:pPr>
      <w:r>
        <w:rPr>
          <w:sz w:val="21"/>
        </w:rPr>
        <w:t>wl — current water level in metres (null when the gauge reports no active reading)</w:t>
      </w:r>
    </w:p>
    <w:p>
      <w:pPr>
        <w:pStyle w:val="ListBullet"/>
        <w:spacing w:after="60"/>
        <w:ind w:left="360"/>
      </w:pPr>
      <w:r>
        <w:rPr>
          <w:sz w:val="21"/>
        </w:rPr>
        <w:t>alertwl / alarmwl / criticalwl — the three threshold water levels seeded into the config table</w:t>
      </w:r>
    </w:p>
    <w:p>
      <w:pPr>
        <w:pStyle w:val="ListBullet"/>
        <w:spacing w:after="60"/>
        <w:ind w:left="360"/>
      </w:pPr>
      <w:r>
        <w:rPr>
          <w:sz w:val="21"/>
        </w:rPr>
        <w:t>ymdhm / timestr — observation timestamp</w:t>
      </w:r>
    </w:p>
    <w:p>
      <w:pPr>
        <w:spacing w:after="80"/>
      </w:pPr>
      <w:r>
        <w:rPr>
          <w:sz w:val="21"/>
        </w:rPr>
        <w:t>Key engineering notes for this source:</w:t>
      </w:r>
    </w:p>
    <w:p>
      <w:pPr>
        <w:pStyle w:val="ListBullet"/>
        <w:spacing w:after="60"/>
        <w:ind w:left="360"/>
      </w:pPr>
      <w:r>
        <w:rPr>
          <w:sz w:val="21"/>
        </w:rPr>
        <w:t>wl is null outside active flood events. The adapter treats null as 'no new reading' and writes nothing rather than recording a zero.</w:t>
      </w:r>
    </w:p>
    <w:p>
      <w:pPr>
        <w:pStyle w:val="ListBullet"/>
        <w:spacing w:after="60"/>
        <w:ind w:left="360"/>
      </w:pPr>
      <w:r>
        <w:rPr>
          <w:sz w:val="21"/>
        </w:rPr>
        <w:t>The FFWS TLS server does not send its intermediate certificate. The adapter bundles the GlobalSign GCC R46 OV TLS CA 2025 intermediate and verifies against it explicitly, rather than disabling certificate verification.</w:t>
      </w:r>
    </w:p>
    <w:p>
      <w:pPr>
        <w:pStyle w:val="ListBullet"/>
        <w:spacing w:after="60"/>
        <w:ind w:left="360"/>
      </w:pPr>
      <w:r>
        <w:rPr>
          <w:sz w:val="21"/>
        </w:rPr>
        <w:t>This is a public-information endpoint, not a documented API — it can change without notice. The adapter is isolated to a single file so a parser fix is local.</w:t>
      </w:r>
    </w:p>
    <w:p>
      <w:pPr>
        <w:pStyle w:val="ListBullet"/>
        <w:spacing w:after="60"/>
        <w:ind w:left="360"/>
      </w:pPr>
      <w:r>
        <w:rPr>
          <w:sz w:val="21"/>
        </w:rPr>
        <w:t>After each successful fetch, the evaluate_thresholds cron job compares the latest reading against the three configured alert levels (FR-WX-009). Threshold breaches create an alert_prompt for officer review; they never auto-publish a public alert.</w:t>
      </w:r>
    </w:p>
    <w:p/>
    <w:p>
      <w:pPr>
        <w:spacing w:before="360" w:after="120"/>
      </w:pPr>
      <w:r>
        <w:rPr>
          <w:b/>
          <w:color w:val="1F8049"/>
          <w:sz w:val="36"/>
        </w:rPr>
        <w:t>3. Vendored / Static Data Sources</w:t>
      </w:r>
    </w:p>
    <w:p>
      <w:pPr>
        <w:spacing w:after="80"/>
      </w:pPr>
      <w:r>
        <w:rPr>
          <w:sz w:val="21"/>
        </w:rPr>
        <w:t>These sources are processed offline once and committed to the repository. They have no runtime dependency on any external service — both the map layer and database seed work on a fresh clone with no internet access.</w:t>
      </w:r>
    </w:p>
    <w:p>
      <w:pPr>
        <w:spacing w:before="240" w:after="120"/>
      </w:pPr>
      <w:r>
        <w:rPr>
          <w:b/>
          <w:color w:val="1F8049"/>
          <w:sz w:val="26"/>
        </w:rPr>
        <w:t>3.1  Project NOAH — Flood Hazard GeoJSON</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Original provider</w:t>
            </w:r>
          </w:p>
        </w:tc>
        <w:tc>
          <w:tcPr>
            <w:tcW w:type="dxa" w:w="7344"/>
            <w:shd w:val="clear" w:color="auto" w:fill="F3F4F6"/>
          </w:tcPr>
          <w:p>
            <w:pPr>
              <w:spacing w:after="40" w:before="40"/>
            </w:pPr>
            <w:r>
              <w:rPr>
                <w:sz w:val="20"/>
              </w:rPr>
              <w:t>DOST-DREAM / UP LiDAR Flood Inundation Models (UP Phil-LiDAR programme)</w:t>
            </w:r>
          </w:p>
        </w:tc>
      </w:tr>
      <w:tr>
        <w:tc>
          <w:tcPr>
            <w:tcW w:type="dxa" w:w="2592"/>
            <w:shd w:val="clear" w:color="auto" w:fill="FFFFFF"/>
          </w:tcPr>
          <w:p>
            <w:pPr>
              <w:spacing w:after="40" w:before="40"/>
            </w:pPr>
            <w:r>
              <w:rPr>
                <w:sz w:val="20"/>
              </w:rPr>
              <w:t>Distribution</w:t>
            </w:r>
          </w:p>
        </w:tc>
        <w:tc>
          <w:tcPr>
            <w:tcW w:type="dxa" w:w="7344"/>
            <w:shd w:val="clear" w:color="auto" w:fill="FFFFFF"/>
          </w:tcPr>
          <w:p>
            <w:pPr>
              <w:spacing w:after="40" w:before="40"/>
            </w:pPr>
            <w:r>
              <w:rPr>
                <w:sz w:val="20"/>
              </w:rPr>
              <w:t>BetterGov / Project NOAH — BetterGov.ph Open Data Portal and HuggingFace mirror</w:t>
            </w:r>
          </w:p>
        </w:tc>
      </w:tr>
      <w:tr>
        <w:tc>
          <w:tcPr>
            <w:tcW w:type="dxa" w:w="2592"/>
            <w:shd w:val="clear" w:color="auto" w:fill="F3F4F6"/>
          </w:tcPr>
          <w:p>
            <w:pPr>
              <w:spacing w:after="40" w:before="40"/>
            </w:pPr>
            <w:r>
              <w:rPr>
                <w:sz w:val="20"/>
              </w:rPr>
              <w:t>Source file</w:t>
            </w:r>
          </w:p>
        </w:tc>
        <w:tc>
          <w:tcPr>
            <w:tcW w:type="dxa" w:w="7344"/>
            <w:shd w:val="clear" w:color="auto" w:fill="F3F4F6"/>
          </w:tcPr>
          <w:p>
            <w:pPr>
              <w:spacing w:after="40" w:before="40"/>
            </w:pPr>
            <w:r>
              <w:rPr>
                <w:sz w:val="20"/>
              </w:rPr>
              <w:t>Rizal_Flood_5year.{shp, shx, dbf, prj, xml} — province-level shapefile</w:t>
            </w:r>
          </w:p>
        </w:tc>
      </w:tr>
      <w:tr>
        <w:tc>
          <w:tcPr>
            <w:tcW w:type="dxa" w:w="2592"/>
            <w:shd w:val="clear" w:color="auto" w:fill="FFFFFF"/>
          </w:tcPr>
          <w:p>
            <w:pPr>
              <w:spacing w:after="40" w:before="40"/>
            </w:pPr>
            <w:r>
              <w:rPr>
                <w:sz w:val="20"/>
              </w:rPr>
              <w:t>CRS</w:t>
            </w:r>
          </w:p>
        </w:tc>
        <w:tc>
          <w:tcPr>
            <w:tcW w:type="dxa" w:w="7344"/>
            <w:shd w:val="clear" w:color="auto" w:fill="FFFFFF"/>
          </w:tcPr>
          <w:p>
            <w:pPr>
              <w:spacing w:after="40" w:before="40"/>
            </w:pPr>
            <w:r>
              <w:rPr>
                <w:sz w:val="20"/>
              </w:rPr>
              <w:t>EPSG:4326 (WGS84) — no reprojection needed</w:t>
            </w:r>
          </w:p>
        </w:tc>
      </w:tr>
      <w:tr>
        <w:tc>
          <w:tcPr>
            <w:tcW w:type="dxa" w:w="2592"/>
            <w:shd w:val="clear" w:color="auto" w:fill="F3F4F6"/>
          </w:tcPr>
          <w:p>
            <w:pPr>
              <w:spacing w:after="40" w:before="40"/>
            </w:pPr>
            <w:r>
              <w:rPr>
                <w:sz w:val="20"/>
              </w:rPr>
              <w:t>Hazard classes</w:t>
            </w:r>
          </w:p>
        </w:tc>
        <w:tc>
          <w:tcPr>
            <w:tcW w:type="dxa" w:w="7344"/>
            <w:shd w:val="clear" w:color="auto" w:fill="F3F4F6"/>
          </w:tcPr>
          <w:p>
            <w:pPr>
              <w:spacing w:after="40" w:before="40"/>
            </w:pPr>
            <w:r>
              <w:rPr>
                <w:sz w:val="20"/>
              </w:rPr>
              <w:t>1 = Low (0–0.5 m depth), 2 = Medium (0.5–1.5 m), 3 = High (&gt;1.5 m)</w:t>
            </w:r>
          </w:p>
        </w:tc>
      </w:tr>
      <w:tr>
        <w:tc>
          <w:tcPr>
            <w:tcW w:type="dxa" w:w="2592"/>
            <w:shd w:val="clear" w:color="auto" w:fill="FFFFFF"/>
          </w:tcPr>
          <w:p>
            <w:pPr>
              <w:spacing w:after="40" w:before="40"/>
            </w:pPr>
            <w:r>
              <w:rPr>
                <w:sz w:val="20"/>
              </w:rPr>
              <w:t>Return period</w:t>
            </w:r>
          </w:p>
        </w:tc>
        <w:tc>
          <w:tcPr>
            <w:tcW w:type="dxa" w:w="7344"/>
            <w:shd w:val="clear" w:color="auto" w:fill="FFFFFF"/>
          </w:tcPr>
          <w:p>
            <w:pPr>
              <w:spacing w:after="40" w:before="40"/>
            </w:pPr>
            <w:r>
              <w:rPr>
                <w:sz w:val="20"/>
              </w:rPr>
              <w:t>5-year (20% annual probability) — the most relevant for residents</w:t>
            </w:r>
          </w:p>
        </w:tc>
      </w:tr>
      <w:tr>
        <w:tc>
          <w:tcPr>
            <w:tcW w:type="dxa" w:w="2592"/>
            <w:shd w:val="clear" w:color="auto" w:fill="F3F4F6"/>
          </w:tcPr>
          <w:p>
            <w:pPr>
              <w:spacing w:after="40" w:before="40"/>
            </w:pPr>
            <w:r>
              <w:rPr>
                <w:sz w:val="20"/>
              </w:rPr>
              <w:t>Licence</w:t>
            </w:r>
          </w:p>
        </w:tc>
        <w:tc>
          <w:tcPr>
            <w:tcW w:type="dxa" w:w="7344"/>
            <w:shd w:val="clear" w:color="auto" w:fill="F3F4F6"/>
          </w:tcPr>
          <w:p>
            <w:pPr>
              <w:spacing w:after="40" w:before="40"/>
            </w:pPr>
            <w:r>
              <w:rPr>
                <w:sz w:val="20"/>
              </w:rPr>
              <w:t>ODC Open Database License (ODbL) 1.0 — attribution mandatory; derivatives inherit</w:t>
            </w:r>
          </w:p>
        </w:tc>
      </w:tr>
      <w:tr>
        <w:tc>
          <w:tcPr>
            <w:tcW w:type="dxa" w:w="2592"/>
            <w:shd w:val="clear" w:color="auto" w:fill="FFFFFF"/>
          </w:tcPr>
          <w:p>
            <w:pPr>
              <w:spacing w:after="40" w:before="40"/>
            </w:pPr>
            <w:r>
              <w:rPr>
                <w:sz w:val="20"/>
              </w:rPr>
              <w:t>Committed artifact</w:t>
            </w:r>
          </w:p>
        </w:tc>
        <w:tc>
          <w:tcPr>
            <w:tcW w:type="dxa" w:w="7344"/>
            <w:shd w:val="clear" w:color="auto" w:fill="FFFFFF"/>
          </w:tcPr>
          <w:p>
            <w:pPr>
              <w:spacing w:after="40" w:before="40"/>
            </w:pPr>
            <w:r>
              <w:rPr>
                <w:sz w:val="20"/>
              </w:rPr>
              <w:t>dataset/derived/san_jose_flood_5yr.geojson (~1.3 MB)</w:t>
            </w:r>
          </w:p>
        </w:tc>
      </w:tr>
      <w:tr>
        <w:tc>
          <w:tcPr>
            <w:tcW w:type="dxa" w:w="2592"/>
            <w:shd w:val="clear" w:color="auto" w:fill="F3F4F6"/>
          </w:tcPr>
          <w:p>
            <w:pPr>
              <w:spacing w:after="40" w:before="40"/>
            </w:pPr>
            <w:r>
              <w:rPr>
                <w:sz w:val="20"/>
              </w:rPr>
              <w:t>Processing tool</w:t>
            </w:r>
          </w:p>
        </w:tc>
        <w:tc>
          <w:tcPr>
            <w:tcW w:type="dxa" w:w="7344"/>
            <w:shd w:val="clear" w:color="auto" w:fill="F3F4F6"/>
          </w:tcPr>
          <w:p>
            <w:pPr>
              <w:spacing w:after="40" w:before="40"/>
            </w:pPr>
            <w:r>
              <w:rPr>
                <w:sz w:val="20"/>
              </w:rPr>
              <w:t>tools/prepare_hazard.py (GeoPandas + Shapely) via make hazard-derive</w:t>
            </w:r>
          </w:p>
        </w:tc>
      </w:tr>
      <w:tr>
        <w:tc>
          <w:tcPr>
            <w:tcW w:type="dxa" w:w="2592"/>
            <w:shd w:val="clear" w:color="auto" w:fill="FFFFFF"/>
          </w:tcPr>
          <w:p>
            <w:pPr>
              <w:spacing w:after="40" w:before="40"/>
            </w:pPr>
            <w:r>
              <w:rPr>
                <w:sz w:val="20"/>
              </w:rPr>
              <w:t>Consumers</w:t>
            </w:r>
          </w:p>
        </w:tc>
        <w:tc>
          <w:tcPr>
            <w:tcW w:type="dxa" w:w="7344"/>
            <w:shd w:val="clear" w:color="auto" w:fill="FFFFFF"/>
          </w:tcPr>
          <w:p>
            <w:pPr>
              <w:spacing w:after="40" w:before="40"/>
            </w:pPr>
            <w:r>
              <w:rPr>
                <w:sz w:val="20"/>
              </w:rPr>
              <w:t>PostGIS seed migration (ST_Contains queries) + Leaflet map (static asset)</w:t>
            </w:r>
          </w:p>
        </w:tc>
      </w:tr>
    </w:tbl>
    <w:p/>
    <w:p>
      <w:pPr>
        <w:spacing w:after="80"/>
      </w:pPr>
      <w:r>
        <w:rPr>
          <w:sz w:val="21"/>
        </w:rPr>
        <w:t>Processing pipeline (run once offline, output committed):</w:t>
      </w:r>
    </w:p>
    <w:p>
      <w:pPr>
        <w:pStyle w:val="ListBullet"/>
        <w:spacing w:after="60"/>
        <w:ind w:left="360"/>
      </w:pPr>
      <w:r>
        <w:rPr>
          <w:sz w:val="21"/>
        </w:rPr>
        <w:t>Load Rizal province shapefile (dataset/raw/).</w:t>
      </w:r>
    </w:p>
    <w:p>
      <w:pPr>
        <w:pStyle w:val="ListBullet"/>
        <w:spacing w:after="60"/>
        <w:ind w:left="360"/>
      </w:pPr>
      <w:r>
        <w:rPr>
          <w:sz w:val="21"/>
        </w:rPr>
        <w:t>Filter to hazard classes 1–3, dropping 'Area Not Assessed' polygons.</w:t>
      </w:r>
    </w:p>
    <w:p>
      <w:pPr>
        <w:pStyle w:val="ListBullet"/>
        <w:spacing w:after="60"/>
        <w:ind w:left="360"/>
      </w:pPr>
      <w:r>
        <w:rPr>
          <w:sz w:val="21"/>
        </w:rPr>
        <w:t>Clip geometries to the San Jose bounding extent (14.708°–14.762°N, 121.108°–121.162°E).</w:t>
      </w:r>
    </w:p>
    <w:p>
      <w:pPr>
        <w:pStyle w:val="ListBullet"/>
        <w:spacing w:after="60"/>
        <w:ind w:left="360"/>
      </w:pPr>
      <w:r>
        <w:rPr>
          <w:sz w:val="21"/>
        </w:rPr>
        <w:t>Dissolve by hazard level → 3 multipolygons (the largest size reduction step).</w:t>
      </w:r>
    </w:p>
    <w:p>
      <w:pPr>
        <w:pStyle w:val="ListBullet"/>
        <w:spacing w:after="60"/>
        <w:ind w:left="360"/>
      </w:pPr>
      <w:r>
        <w:rPr>
          <w:sz w:val="21"/>
        </w:rPr>
        <w:t>Simplify geometry to ~20 m tolerance; round coordinates to 5 decimal places (~1 m precision).</w:t>
      </w:r>
    </w:p>
    <w:p>
      <w:pPr>
        <w:pStyle w:val="ListBullet"/>
        <w:spacing w:after="60"/>
        <w:ind w:left="360"/>
      </w:pPr>
      <w:r>
        <w:rPr>
          <w:sz w:val="21"/>
        </w:rPr>
        <w:t>Export as GeoJSON to dataset/derived/san_jose_flood_5yr.geojson.</w:t>
      </w:r>
    </w:p>
    <w:p>
      <w:pPr>
        <w:spacing w:after="80"/>
      </w:pPr>
      <w:r>
        <w:rPr>
          <w:sz w:val="21"/>
        </w:rPr>
        <w:t>This GeoJSON is consumed in two ways:</w:t>
      </w:r>
    </w:p>
    <w:p>
      <w:pPr>
        <w:pStyle w:val="ListBullet"/>
        <w:spacing w:after="60"/>
        <w:ind w:left="360"/>
      </w:pPr>
      <w:r>
        <w:rPr>
          <w:sz w:val="21"/>
        </w:rPr>
        <w:t>PostGIS (via seed migration): enables ST_Contains queries to classify which registered households fall inside each flood hazard zone (FR-REG-043).</w:t>
      </w:r>
    </w:p>
    <w:p>
      <w:pPr>
        <w:pStyle w:val="ListBullet"/>
        <w:spacing w:after="60"/>
        <w:ind w:left="360"/>
      </w:pPr>
      <w:r>
        <w:rPr>
          <w:sz w:val="21"/>
        </w:rPr>
        <w:t>Leaflet client map (via make hazard-web): copied to apps/web/public/data/ at build time and served as a static asset, rendered with the official Philippine government hazard colour ramp — yellow (#FFED4A) for Low, orange (#F59E0B) for Medium, red (#EF4444) for High.</w:t>
      </w:r>
    </w:p>
    <w:p>
      <w:pPr>
        <w:spacing w:after="160"/>
      </w:pPr>
      <w:r>
        <w:rPr>
          <w:sz w:val="21"/>
        </w:rPr>
        <w:t>Attribution requirement (ODC-ODbL): 'Project NOAH / DOST-DREAM' must appear in every map view and in the About section. Derivative datasets inherit the ODbL licence.</w:t>
      </w:r>
    </w:p>
    <w:p>
      <w:pPr>
        <w:spacing w:before="240" w:after="120"/>
      </w:pPr>
      <w:r>
        <w:rPr>
          <w:b/>
          <w:color w:val="1F8049"/>
          <w:sz w:val="26"/>
        </w:rPr>
        <w:t>3.2  PSGC — Philippine Standard Geographic Code</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Provider</w:t>
            </w:r>
          </w:p>
        </w:tc>
        <w:tc>
          <w:tcPr>
            <w:tcW w:type="dxa" w:w="7344"/>
            <w:shd w:val="clear" w:color="auto" w:fill="F3F4F6"/>
          </w:tcPr>
          <w:p>
            <w:pPr>
              <w:spacing w:after="40" w:before="40"/>
            </w:pPr>
            <w:r>
              <w:rPr>
                <w:sz w:val="20"/>
              </w:rPr>
              <w:t>Philippine Statistics Authority (PSA)</w:t>
            </w:r>
          </w:p>
        </w:tc>
      </w:tr>
      <w:tr>
        <w:tc>
          <w:tcPr>
            <w:tcW w:type="dxa" w:w="2592"/>
            <w:shd w:val="clear" w:color="auto" w:fill="FFFFFF"/>
          </w:tcPr>
          <w:p>
            <w:pPr>
              <w:spacing w:after="40" w:before="40"/>
            </w:pPr>
            <w:r>
              <w:rPr>
                <w:sz w:val="20"/>
              </w:rPr>
              <w:t>Content</w:t>
            </w:r>
          </w:p>
        </w:tc>
        <w:tc>
          <w:tcPr>
            <w:tcW w:type="dxa" w:w="7344"/>
            <w:shd w:val="clear" w:color="auto" w:fill="FFFFFF"/>
          </w:tcPr>
          <w:p>
            <w:pPr>
              <w:spacing w:after="40" w:before="40"/>
            </w:pPr>
            <w:r>
              <w:rPr>
                <w:sz w:val="20"/>
              </w:rPr>
              <w:t>Hierarchical region → province → city/municipality → barangay codes and names</w:t>
            </w:r>
          </w:p>
        </w:tc>
      </w:tr>
      <w:tr>
        <w:tc>
          <w:tcPr>
            <w:tcW w:type="dxa" w:w="2592"/>
            <w:shd w:val="clear" w:color="auto" w:fill="F3F4F6"/>
          </w:tcPr>
          <w:p>
            <w:pPr>
              <w:spacing w:after="40" w:before="40"/>
            </w:pPr>
            <w:r>
              <w:rPr>
                <w:sz w:val="20"/>
              </w:rPr>
              <w:t>Format</w:t>
            </w:r>
          </w:p>
        </w:tc>
        <w:tc>
          <w:tcPr>
            <w:tcW w:type="dxa" w:w="7344"/>
            <w:shd w:val="clear" w:color="auto" w:fill="F3F4F6"/>
          </w:tcPr>
          <w:p>
            <w:pPr>
              <w:spacing w:after="40" w:before="40"/>
            </w:pPr>
            <w:r>
              <w:rPr>
                <w:sz w:val="20"/>
              </w:rPr>
              <w:t>Loaded via a Python library at migration time</w:t>
            </w:r>
          </w:p>
        </w:tc>
      </w:tr>
      <w:tr>
        <w:tc>
          <w:tcPr>
            <w:tcW w:type="dxa" w:w="2592"/>
            <w:shd w:val="clear" w:color="auto" w:fill="FFFFFF"/>
          </w:tcPr>
          <w:p>
            <w:pPr>
              <w:spacing w:after="40" w:before="40"/>
            </w:pPr>
            <w:r>
              <w:rPr>
                <w:sz w:val="20"/>
              </w:rPr>
              <w:t>DB table</w:t>
            </w:r>
          </w:p>
        </w:tc>
        <w:tc>
          <w:tcPr>
            <w:tcW w:type="dxa" w:w="7344"/>
            <w:shd w:val="clear" w:color="auto" w:fill="FFFFFF"/>
          </w:tcPr>
          <w:p>
            <w:pPr>
              <w:spacing w:after="40" w:before="40"/>
            </w:pPr>
            <w:r>
              <w:rPr>
                <w:sz w:val="20"/>
              </w:rPr>
              <w:t>psgc_area (~42,000 rows seeded)</w:t>
            </w:r>
          </w:p>
        </w:tc>
      </w:tr>
      <w:tr>
        <w:tc>
          <w:tcPr>
            <w:tcW w:type="dxa" w:w="2592"/>
            <w:shd w:val="clear" w:color="auto" w:fill="F3F4F6"/>
          </w:tcPr>
          <w:p>
            <w:pPr>
              <w:spacing w:after="40" w:before="40"/>
            </w:pPr>
            <w:r>
              <w:rPr>
                <w:sz w:val="20"/>
              </w:rPr>
              <w:t>Usage</w:t>
            </w:r>
          </w:p>
        </w:tc>
        <w:tc>
          <w:tcPr>
            <w:tcW w:type="dxa" w:w="7344"/>
            <w:shd w:val="clear" w:color="auto" w:fill="F3F4F6"/>
          </w:tcPr>
          <w:p>
            <w:pPr>
              <w:spacing w:after="40" w:before="40"/>
            </w:pPr>
            <w:r>
              <w:rPr>
                <w:sz w:val="20"/>
              </w:rPr>
              <w:t>Address capture in household registration forms (FR-REG-003, FR-SYS-012)</w:t>
            </w:r>
          </w:p>
        </w:tc>
      </w:tr>
      <w:tr>
        <w:tc>
          <w:tcPr>
            <w:tcW w:type="dxa" w:w="2592"/>
            <w:shd w:val="clear" w:color="auto" w:fill="FFFFFF"/>
          </w:tcPr>
          <w:p>
            <w:pPr>
              <w:spacing w:after="40" w:before="40"/>
            </w:pPr>
            <w:r>
              <w:rPr>
                <w:sz w:val="20"/>
              </w:rPr>
              <w:t>Ingestion</w:t>
            </w:r>
          </w:p>
        </w:tc>
        <w:tc>
          <w:tcPr>
            <w:tcW w:type="dxa" w:w="7344"/>
            <w:shd w:val="clear" w:color="auto" w:fill="FFFFFF"/>
          </w:tcPr>
          <w:p>
            <w:pPr>
              <w:spacing w:after="40" w:before="40"/>
            </w:pPr>
            <w:r>
              <w:rPr>
                <w:sz w:val="20"/>
              </w:rPr>
              <w:t>Once — loaded during Alembic migration (make migrate); never called at runtime</w:t>
            </w:r>
          </w:p>
        </w:tc>
      </w:tr>
      <w:tr>
        <w:tc>
          <w:tcPr>
            <w:tcW w:type="dxa" w:w="2592"/>
            <w:shd w:val="clear" w:color="auto" w:fill="F3F4F6"/>
          </w:tcPr>
          <w:p>
            <w:pPr>
              <w:spacing w:after="40" w:before="40"/>
            </w:pPr>
            <w:r>
              <w:rPr>
                <w:sz w:val="20"/>
              </w:rPr>
              <w:t>Licence</w:t>
            </w:r>
          </w:p>
        </w:tc>
        <w:tc>
          <w:tcPr>
            <w:tcW w:type="dxa" w:w="7344"/>
            <w:shd w:val="clear" w:color="auto" w:fill="F3F4F6"/>
          </w:tcPr>
          <w:p>
            <w:pPr>
              <w:spacing w:after="40" w:before="40"/>
            </w:pPr>
            <w:r>
              <w:rPr>
                <w:sz w:val="20"/>
              </w:rPr>
              <w:t>Public domain — PSA open data</w:t>
            </w:r>
          </w:p>
        </w:tc>
      </w:tr>
    </w:tbl>
    <w:p/>
    <w:p>
      <w:pPr>
        <w:spacing w:after="160"/>
      </w:pPr>
      <w:r>
        <w:rPr>
          <w:sz w:val="21"/>
        </w:rPr>
        <w:t>PSGC provides the canonical Philippine address hierarchy. The full dataset (~42,000 entries) is seeded into the psgc_area table once when the database is first initialised. Address capture in household registration uses cascading selects driven by this table (region → province → city/municipality → barangay). The national cascade is not fully wired in the current build — free-text address capture is used as an interim — but the seed data is present for when it is completed (FR-SYS-012 status: ☐).</w:t>
      </w:r>
    </w:p>
    <w:p>
      <w:pPr>
        <w:spacing w:before="240" w:after="120"/>
      </w:pPr>
      <w:r>
        <w:rPr>
          <w:b/>
          <w:color w:val="1F8049"/>
          <w:sz w:val="26"/>
        </w:rPr>
        <w:t>3.3  San Jose Area / Zone Boundaries (OpenStreetMap Overpass)</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Provider</w:t>
            </w:r>
          </w:p>
        </w:tc>
        <w:tc>
          <w:tcPr>
            <w:tcW w:type="dxa" w:w="7344"/>
            <w:shd w:val="clear" w:color="auto" w:fill="F3F4F6"/>
          </w:tcPr>
          <w:p>
            <w:pPr>
              <w:spacing w:after="40" w:before="40"/>
            </w:pPr>
            <w:r>
              <w:rPr>
                <w:sz w:val="20"/>
              </w:rPr>
              <w:t>OpenStreetMap (via Overpass API) — tools/fetch_boundary.py</w:t>
            </w:r>
          </w:p>
        </w:tc>
      </w:tr>
      <w:tr>
        <w:tc>
          <w:tcPr>
            <w:tcW w:type="dxa" w:w="2592"/>
            <w:shd w:val="clear" w:color="auto" w:fill="FFFFFF"/>
          </w:tcPr>
          <w:p>
            <w:pPr>
              <w:spacing w:after="40" w:before="40"/>
            </w:pPr>
            <w:r>
              <w:rPr>
                <w:sz w:val="20"/>
              </w:rPr>
              <w:t>Content</w:t>
            </w:r>
          </w:p>
        </w:tc>
        <w:tc>
          <w:tcPr>
            <w:tcW w:type="dxa" w:w="7344"/>
            <w:shd w:val="clear" w:color="auto" w:fill="FFFFFF"/>
          </w:tcPr>
          <w:p>
            <w:pPr>
              <w:spacing w:after="40" w:before="40"/>
            </w:pPr>
            <w:r>
              <w:rPr>
                <w:sz w:val="20"/>
              </w:rPr>
              <w:t>Administrative boundary polygons for Barangay San Jose zones/puroks</w:t>
            </w:r>
          </w:p>
        </w:tc>
      </w:tr>
      <w:tr>
        <w:tc>
          <w:tcPr>
            <w:tcW w:type="dxa" w:w="2592"/>
            <w:shd w:val="clear" w:color="auto" w:fill="F3F4F6"/>
          </w:tcPr>
          <w:p>
            <w:pPr>
              <w:spacing w:after="40" w:before="40"/>
            </w:pPr>
            <w:r>
              <w:rPr>
                <w:sz w:val="20"/>
              </w:rPr>
              <w:t>Format</w:t>
            </w:r>
          </w:p>
        </w:tc>
        <w:tc>
          <w:tcPr>
            <w:tcW w:type="dxa" w:w="7344"/>
            <w:shd w:val="clear" w:color="auto" w:fill="F3F4F6"/>
          </w:tcPr>
          <w:p>
            <w:pPr>
              <w:spacing w:after="40" w:before="40"/>
            </w:pPr>
            <w:r>
              <w:rPr>
                <w:sz w:val="20"/>
              </w:rPr>
              <w:t>GeoJSON — dataset/derived/san_jose_areas_approx.geojson (~12 KB)</w:t>
            </w:r>
          </w:p>
        </w:tc>
      </w:tr>
      <w:tr>
        <w:tc>
          <w:tcPr>
            <w:tcW w:type="dxa" w:w="2592"/>
            <w:shd w:val="clear" w:color="auto" w:fill="FFFFFF"/>
          </w:tcPr>
          <w:p>
            <w:pPr>
              <w:spacing w:after="40" w:before="40"/>
            </w:pPr>
            <w:r>
              <w:rPr>
                <w:sz w:val="20"/>
              </w:rPr>
              <w:t>DB table</w:t>
            </w:r>
          </w:p>
        </w:tc>
        <w:tc>
          <w:tcPr>
            <w:tcW w:type="dxa" w:w="7344"/>
            <w:shd w:val="clear" w:color="auto" w:fill="FFFFFF"/>
          </w:tcPr>
          <w:p>
            <w:pPr>
              <w:spacing w:after="40" w:before="40"/>
            </w:pPr>
            <w:r>
              <w:rPr>
                <w:sz w:val="20"/>
              </w:rPr>
              <w:t>area (seeded at migration with MultiPolygon geometries)</w:t>
            </w:r>
          </w:p>
        </w:tc>
      </w:tr>
      <w:tr>
        <w:tc>
          <w:tcPr>
            <w:tcW w:type="dxa" w:w="2592"/>
            <w:shd w:val="clear" w:color="auto" w:fill="F3F4F6"/>
          </w:tcPr>
          <w:p>
            <w:pPr>
              <w:spacing w:after="40" w:before="40"/>
            </w:pPr>
            <w:r>
              <w:rPr>
                <w:sz w:val="20"/>
              </w:rPr>
              <w:t>Usage</w:t>
            </w:r>
          </w:p>
        </w:tc>
        <w:tc>
          <w:tcPr>
            <w:tcW w:type="dxa" w:w="7344"/>
            <w:shd w:val="clear" w:color="auto" w:fill="F3F4F6"/>
          </w:tcPr>
          <w:p>
            <w:pPr>
              <w:spacing w:after="40" w:before="40"/>
            </w:pPr>
            <w:r>
              <w:rPr>
                <w:sz w:val="20"/>
              </w:rPr>
              <w:t>Area assignment for households; BHW scope; map zone overlay; vulnerability aggregation by area</w:t>
            </w:r>
          </w:p>
        </w:tc>
      </w:tr>
      <w:tr>
        <w:tc>
          <w:tcPr>
            <w:tcW w:type="dxa" w:w="2592"/>
            <w:shd w:val="clear" w:color="auto" w:fill="FFFFFF"/>
          </w:tcPr>
          <w:p>
            <w:pPr>
              <w:spacing w:after="40" w:before="40"/>
            </w:pPr>
            <w:r>
              <w:rPr>
                <w:sz w:val="20"/>
              </w:rPr>
              <w:t>Ingestion</w:t>
            </w:r>
          </w:p>
        </w:tc>
        <w:tc>
          <w:tcPr>
            <w:tcW w:type="dxa" w:w="7344"/>
            <w:shd w:val="clear" w:color="auto" w:fill="FFFFFF"/>
          </w:tcPr>
          <w:p>
            <w:pPr>
              <w:spacing w:after="40" w:before="40"/>
            </w:pPr>
            <w:r>
              <w:rPr>
                <w:sz w:val="20"/>
              </w:rPr>
              <w:t>Committed GeoJSON seeded at migration; not fetched at runtime</w:t>
            </w:r>
          </w:p>
        </w:tc>
      </w:tr>
      <w:tr>
        <w:tc>
          <w:tcPr>
            <w:tcW w:type="dxa" w:w="2592"/>
            <w:shd w:val="clear" w:color="auto" w:fill="F3F4F6"/>
          </w:tcPr>
          <w:p>
            <w:pPr>
              <w:spacing w:after="40" w:before="40"/>
            </w:pPr>
            <w:r>
              <w:rPr>
                <w:sz w:val="20"/>
              </w:rPr>
              <w:t>Licence</w:t>
            </w:r>
          </w:p>
        </w:tc>
        <w:tc>
          <w:tcPr>
            <w:tcW w:type="dxa" w:w="7344"/>
            <w:shd w:val="clear" w:color="auto" w:fill="F3F4F6"/>
          </w:tcPr>
          <w:p>
            <w:pPr>
              <w:spacing w:after="40" w:before="40"/>
            </w:pPr>
            <w:r>
              <w:rPr>
                <w:sz w:val="20"/>
              </w:rPr>
              <w:t>ODbL (OpenStreetMap) — attribution required on every map view</w:t>
            </w:r>
          </w:p>
        </w:tc>
      </w:tr>
    </w:tbl>
    <w:p/>
    <w:p>
      <w:pPr>
        <w:spacing w:after="160"/>
      </w:pPr>
      <w:r>
        <w:rPr>
          <w:sz w:val="21"/>
        </w:rPr>
        <w:t>The San Jose zone/purok boundary polygons are used to spatially assign households to areas via ST_Contains, scope BHW access to their assigned zones, render zone outlines on the Leaflet map, and aggregate vulnerability scores and safety check-in counts at the area level. Boundaries are noted as approximate in the BRD (OI-3) — the definitive boundaries are an open item pending confirmation from the barangay itself.</w:t>
      </w:r>
    </w:p>
    <w:p>
      <w:pPr>
        <w:spacing w:before="360" w:after="120"/>
      </w:pPr>
      <w:r>
        <w:rPr>
          <w:b/>
          <w:color w:val="1F8049"/>
          <w:sz w:val="36"/>
        </w:rPr>
        <w:t>4. Tile / Basemap Service</w:t>
      </w:r>
    </w:p>
    <w:p>
      <w:pPr>
        <w:spacing w:before="240" w:after="120"/>
      </w:pPr>
      <w:r>
        <w:rPr>
          <w:b/>
          <w:color w:val="1F8049"/>
          <w:sz w:val="26"/>
        </w:rPr>
        <w:t>4.1  OpenStreetMap — Basemap Tiles</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Provider</w:t>
            </w:r>
          </w:p>
        </w:tc>
        <w:tc>
          <w:tcPr>
            <w:tcW w:type="dxa" w:w="7344"/>
            <w:shd w:val="clear" w:color="auto" w:fill="F3F4F6"/>
          </w:tcPr>
          <w:p>
            <w:pPr>
              <w:spacing w:after="40" w:before="40"/>
            </w:pPr>
            <w:r>
              <w:rPr>
                <w:sz w:val="20"/>
              </w:rPr>
              <w:t>OpenStreetMap Foundation tile CDN (tile.openstreetmap.org)</w:t>
            </w:r>
          </w:p>
        </w:tc>
      </w:tr>
      <w:tr>
        <w:tc>
          <w:tcPr>
            <w:tcW w:type="dxa" w:w="2592"/>
            <w:shd w:val="clear" w:color="auto" w:fill="FFFFFF"/>
          </w:tcPr>
          <w:p>
            <w:pPr>
              <w:spacing w:after="40" w:before="40"/>
            </w:pPr>
            <w:r>
              <w:rPr>
                <w:sz w:val="20"/>
              </w:rPr>
              <w:t>Protocol</w:t>
            </w:r>
          </w:p>
        </w:tc>
        <w:tc>
          <w:tcPr>
            <w:tcW w:type="dxa" w:w="7344"/>
            <w:shd w:val="clear" w:color="auto" w:fill="FFFFFF"/>
          </w:tcPr>
          <w:p>
            <w:pPr>
              <w:spacing w:after="40" w:before="40"/>
            </w:pPr>
            <w:r>
              <w:rPr>
                <w:sz w:val="20"/>
              </w:rPr>
              <w:t>HTTPS — loaded directly from the browser to the OSM servers</w:t>
            </w:r>
          </w:p>
        </w:tc>
      </w:tr>
      <w:tr>
        <w:tc>
          <w:tcPr>
            <w:tcW w:type="dxa" w:w="2592"/>
            <w:shd w:val="clear" w:color="auto" w:fill="F3F4F6"/>
          </w:tcPr>
          <w:p>
            <w:pPr>
              <w:spacing w:after="40" w:before="40"/>
            </w:pPr>
            <w:r>
              <w:rPr>
                <w:sz w:val="20"/>
              </w:rPr>
              <w:t>Cost</w:t>
            </w:r>
          </w:p>
        </w:tc>
        <w:tc>
          <w:tcPr>
            <w:tcW w:type="dxa" w:w="7344"/>
            <w:shd w:val="clear" w:color="auto" w:fill="F3F4F6"/>
          </w:tcPr>
          <w:p>
            <w:pPr>
              <w:spacing w:after="40" w:before="40"/>
            </w:pPr>
            <w:r>
              <w:rPr>
                <w:sz w:val="20"/>
              </w:rPr>
              <w:t>Free — subject to OSM tile usage policy</w:t>
            </w:r>
          </w:p>
        </w:tc>
      </w:tr>
      <w:tr>
        <w:tc>
          <w:tcPr>
            <w:tcW w:type="dxa" w:w="2592"/>
            <w:shd w:val="clear" w:color="auto" w:fill="FFFFFF"/>
          </w:tcPr>
          <w:p>
            <w:pPr>
              <w:spacing w:after="40" w:before="40"/>
            </w:pPr>
            <w:r>
              <w:rPr>
                <w:sz w:val="20"/>
              </w:rPr>
              <w:t>Server transit</w:t>
            </w:r>
          </w:p>
        </w:tc>
        <w:tc>
          <w:tcPr>
            <w:tcW w:type="dxa" w:w="7344"/>
            <w:shd w:val="clear" w:color="auto" w:fill="FFFFFF"/>
          </w:tcPr>
          <w:p>
            <w:pPr>
              <w:spacing w:after="40" w:before="40"/>
            </w:pPr>
            <w:r>
              <w:rPr>
                <w:sz w:val="20"/>
              </w:rPr>
              <w:t>Tiles never route through the SAGIP-SJ server</w:t>
            </w:r>
          </w:p>
        </w:tc>
      </w:tr>
      <w:tr>
        <w:tc>
          <w:tcPr>
            <w:tcW w:type="dxa" w:w="2592"/>
            <w:shd w:val="clear" w:color="auto" w:fill="F3F4F6"/>
          </w:tcPr>
          <w:p>
            <w:pPr>
              <w:spacing w:after="40" w:before="40"/>
            </w:pPr>
            <w:r>
              <w:rPr>
                <w:sz w:val="20"/>
              </w:rPr>
              <w:t>Usage</w:t>
            </w:r>
          </w:p>
        </w:tc>
        <w:tc>
          <w:tcPr>
            <w:tcW w:type="dxa" w:w="7344"/>
            <w:shd w:val="clear" w:color="auto" w:fill="F3F4F6"/>
          </w:tcPr>
          <w:p>
            <w:pPr>
              <w:spacing w:after="40" w:before="40"/>
            </w:pPr>
            <w:r>
              <w:rPr>
                <w:sz w:val="20"/>
              </w:rPr>
              <w:t>Background basemap for Leaflet 2D hazard map and facility/household pin map</w:t>
            </w:r>
          </w:p>
        </w:tc>
      </w:tr>
      <w:tr>
        <w:tc>
          <w:tcPr>
            <w:tcW w:type="dxa" w:w="2592"/>
            <w:shd w:val="clear" w:color="auto" w:fill="FFFFFF"/>
          </w:tcPr>
          <w:p>
            <w:pPr>
              <w:spacing w:after="40" w:before="40"/>
            </w:pPr>
            <w:r>
              <w:rPr>
                <w:sz w:val="20"/>
              </w:rPr>
              <w:t>Attribution</w:t>
            </w:r>
          </w:p>
        </w:tc>
        <w:tc>
          <w:tcPr>
            <w:tcW w:type="dxa" w:w="7344"/>
            <w:shd w:val="clear" w:color="auto" w:fill="FFFFFF"/>
          </w:tcPr>
          <w:p>
            <w:pPr>
              <w:spacing w:after="40" w:before="40"/>
            </w:pPr>
            <w:r>
              <w:rPr>
                <w:sz w:val="20"/>
              </w:rPr>
              <w:t>Required: '© OpenStreetMap contributors' must be visible on every map view (NFR-LGL-002)</w:t>
            </w:r>
          </w:p>
        </w:tc>
      </w:tr>
      <w:tr>
        <w:tc>
          <w:tcPr>
            <w:tcW w:type="dxa" w:w="2592"/>
            <w:shd w:val="clear" w:color="auto" w:fill="F3F4F6"/>
          </w:tcPr>
          <w:p>
            <w:pPr>
              <w:spacing w:after="40" w:before="40"/>
            </w:pPr>
            <w:r>
              <w:rPr>
                <w:sz w:val="20"/>
              </w:rPr>
              <w:t>Fallback</w:t>
            </w:r>
          </w:p>
        </w:tc>
        <w:tc>
          <w:tcPr>
            <w:tcW w:type="dxa" w:w="7344"/>
            <w:shd w:val="clear" w:color="auto" w:fill="F3F4F6"/>
          </w:tcPr>
          <w:p>
            <w:pPr>
              <w:spacing w:after="40" w:before="40"/>
            </w:pPr>
            <w:r>
              <w:rPr>
                <w:sz w:val="20"/>
              </w:rPr>
              <w:t>Swap URL to Carto or Stadia free tiers if OSM tile policy is breached (one-line change)</w:t>
            </w:r>
          </w:p>
        </w:tc>
      </w:tr>
    </w:tbl>
    <w:p/>
    <w:p>
      <w:pPr>
        <w:spacing w:after="160"/>
      </w:pPr>
      <w:r>
        <w:rPr>
          <w:sz w:val="21"/>
        </w:rPr>
        <w:t>OSM tiles are the only data source that is a true runtime dependency — a tile server outage would blank the map background. This risk is accepted at prototype scale because the map degrades gracefully (the GeoJSON overlays, pin markers, and controls still work) and switching to an alternative tile provider is a single URL change. Authentication is not required. The OSM tile policy requires polite usage and attribution.</w:t>
      </w:r>
    </w:p>
    <w:p>
      <w:pPr>
        <w:spacing w:before="360" w:after="120"/>
      </w:pPr>
      <w:r>
        <w:rPr>
          <w:b/>
          <w:color w:val="1F8049"/>
          <w:sz w:val="36"/>
        </w:rPr>
        <w:t>5. Internally Produced Data</w:t>
      </w:r>
    </w:p>
    <w:p>
      <w:pPr>
        <w:spacing w:after="80"/>
      </w:pPr>
      <w:r>
        <w:rPr>
          <w:sz w:val="21"/>
        </w:rPr>
        <w:t>The following data originates within the system itself — entered by administrators, health workers, or residents through the application. It is stored in PostgreSQL and forms the primary operational dataset of the platform.</w:t>
      </w:r>
    </w:p>
    <w:p>
      <w:pPr>
        <w:spacing w:before="240" w:after="120"/>
      </w:pPr>
      <w:r>
        <w:rPr>
          <w:b/>
          <w:color w:val="1F8049"/>
          <w:sz w:val="26"/>
        </w:rPr>
        <w:t>5.1  Manual Readings — Barangay Admin Entry</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Endpoint</w:t>
            </w:r>
          </w:p>
        </w:tc>
        <w:tc>
          <w:tcPr>
            <w:tcW w:type="dxa" w:w="7344"/>
            <w:shd w:val="clear" w:color="auto" w:fill="F3F4F6"/>
          </w:tcPr>
          <w:p>
            <w:pPr>
              <w:spacing w:after="40" w:before="40"/>
            </w:pPr>
            <w:r>
              <w:rPr>
                <w:sz w:val="20"/>
              </w:rPr>
              <w:t>POST /admin/readings</w:t>
            </w:r>
          </w:p>
        </w:tc>
      </w:tr>
      <w:tr>
        <w:tc>
          <w:tcPr>
            <w:tcW w:type="dxa" w:w="2592"/>
            <w:shd w:val="clear" w:color="auto" w:fill="FFFFFF"/>
          </w:tcPr>
          <w:p>
            <w:pPr>
              <w:spacing w:after="40" w:before="40"/>
            </w:pPr>
            <w:r>
              <w:rPr>
                <w:sz w:val="20"/>
              </w:rPr>
              <w:t>DB table</w:t>
            </w:r>
          </w:p>
        </w:tc>
        <w:tc>
          <w:tcPr>
            <w:tcW w:type="dxa" w:w="7344"/>
            <w:shd w:val="clear" w:color="auto" w:fill="FFFFFF"/>
          </w:tcPr>
          <w:p>
            <w:pPr>
              <w:spacing w:after="40" w:before="40"/>
            </w:pPr>
            <w:r>
              <w:rPr>
                <w:sz w:val="20"/>
              </w:rPr>
              <w:t>reading (source = 'manual')</w:t>
            </w:r>
          </w:p>
        </w:tc>
      </w:tr>
      <w:tr>
        <w:tc>
          <w:tcPr>
            <w:tcW w:type="dxa" w:w="2592"/>
            <w:shd w:val="clear" w:color="auto" w:fill="F3F4F6"/>
          </w:tcPr>
          <w:p>
            <w:pPr>
              <w:spacing w:after="40" w:before="40"/>
            </w:pPr>
            <w:r>
              <w:rPr>
                <w:sz w:val="20"/>
              </w:rPr>
              <w:t>Metrics</w:t>
            </w:r>
          </w:p>
        </w:tc>
        <w:tc>
          <w:tcPr>
            <w:tcW w:type="dxa" w:w="7344"/>
            <w:shd w:val="clear" w:color="auto" w:fill="F3F4F6"/>
          </w:tcPr>
          <w:p>
            <w:pPr>
              <w:spacing w:after="40" w:before="40"/>
            </w:pPr>
            <w:r>
              <w:rPr>
                <w:sz w:val="20"/>
              </w:rPr>
              <w:t>river_level, rainfall, temperature, heat_index</w:t>
            </w:r>
          </w:p>
        </w:tc>
      </w:tr>
      <w:tr>
        <w:tc>
          <w:tcPr>
            <w:tcW w:type="dxa" w:w="2592"/>
            <w:shd w:val="clear" w:color="auto" w:fill="FFFFFF"/>
          </w:tcPr>
          <w:p>
            <w:pPr>
              <w:spacing w:after="40" w:before="40"/>
            </w:pPr>
            <w:r>
              <w:rPr>
                <w:sz w:val="20"/>
              </w:rPr>
              <w:t>Purpose</w:t>
            </w:r>
          </w:p>
        </w:tc>
        <w:tc>
          <w:tcPr>
            <w:tcW w:type="dxa" w:w="7344"/>
            <w:shd w:val="clear" w:color="auto" w:fill="FFFFFF"/>
          </w:tcPr>
          <w:p>
            <w:pPr>
              <w:spacing w:after="40" w:before="40"/>
            </w:pPr>
            <w:r>
              <w:rPr>
                <w:sz w:val="20"/>
              </w:rPr>
              <w:t>Allow an officer to enter current gauge data when the PAGASA source is unavailable</w:t>
            </w:r>
          </w:p>
        </w:tc>
      </w:tr>
      <w:tr>
        <w:tc>
          <w:tcPr>
            <w:tcW w:type="dxa" w:w="2592"/>
            <w:shd w:val="clear" w:color="auto" w:fill="F3F4F6"/>
          </w:tcPr>
          <w:p>
            <w:pPr>
              <w:spacing w:after="40" w:before="40"/>
            </w:pPr>
            <w:r>
              <w:rPr>
                <w:sz w:val="20"/>
              </w:rPr>
              <w:t>Attribution</w:t>
            </w:r>
          </w:p>
        </w:tc>
        <w:tc>
          <w:tcPr>
            <w:tcW w:type="dxa" w:w="7344"/>
            <w:shd w:val="clear" w:color="auto" w:fill="F3F4F6"/>
          </w:tcPr>
          <w:p>
            <w:pPr>
              <w:spacing w:after="40" w:before="40"/>
            </w:pPr>
            <w:r>
              <w:rPr>
                <w:sz w:val="20"/>
              </w:rPr>
              <w:t>Stored with full attribution: which officer entered it and when (observed_at + fetched_at)</w:t>
            </w:r>
          </w:p>
        </w:tc>
      </w:tr>
    </w:tbl>
    <w:p/>
    <w:p>
      <w:pPr>
        <w:spacing w:after="160"/>
      </w:pPr>
      <w:r>
        <w:rPr>
          <w:sz w:val="21"/>
        </w:rPr>
        <w:t>Manual entry is a first-class data source (FR-WX-007), not a fallback bolted on. It writes to the same reading table with the same schema as automated sources. When PAGASA data is unavailable (scraper failure, network issues during an actual storm), a barangay officer types the current river level directly into the admin console. Every downstream feature — threshold evaluation, the public weather panel — continues to work unchanged. The source field is always returned to the frontend so users can see whether the reading is from PAGASA, Open-Meteo, or manual entry. An admin 'Simulate typhoon' action (POST /admin/readings) calls this endpoint several times in sequence to demonstrate a rising river scenario during the pitch.</w:t>
      </w:r>
    </w:p>
    <w:p>
      <w:pPr>
        <w:spacing w:before="240" w:after="120"/>
      </w:pPr>
      <w:r>
        <w:rPr>
          <w:b/>
          <w:color w:val="1F8049"/>
          <w:sz w:val="26"/>
        </w:rPr>
        <w:t>5.2  Resident and BHW — Registration Data</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Actors</w:t>
            </w:r>
          </w:p>
        </w:tc>
        <w:tc>
          <w:tcPr>
            <w:tcW w:type="dxa" w:w="7344"/>
            <w:shd w:val="clear" w:color="auto" w:fill="F3F4F6"/>
          </w:tcPr>
          <w:p>
            <w:pPr>
              <w:spacing w:after="40" w:before="40"/>
            </w:pPr>
            <w:r>
              <w:rPr>
                <w:sz w:val="20"/>
              </w:rPr>
              <w:t>Head of household (self-registration) or Barangay Health Worker (assisted)</w:t>
            </w:r>
          </w:p>
        </w:tc>
      </w:tr>
      <w:tr>
        <w:tc>
          <w:tcPr>
            <w:tcW w:type="dxa" w:w="2592"/>
            <w:shd w:val="clear" w:color="auto" w:fill="FFFFFF"/>
          </w:tcPr>
          <w:p>
            <w:pPr>
              <w:spacing w:after="40" w:before="40"/>
            </w:pPr>
            <w:r>
              <w:rPr>
                <w:sz w:val="20"/>
              </w:rPr>
              <w:t>Entry points</w:t>
            </w:r>
          </w:p>
        </w:tc>
        <w:tc>
          <w:tcPr>
            <w:tcW w:type="dxa" w:w="7344"/>
            <w:shd w:val="clear" w:color="auto" w:fill="FFFFFF"/>
          </w:tcPr>
          <w:p>
            <w:pPr>
              <w:spacing w:after="40" w:before="40"/>
            </w:pPr>
            <w:r>
              <w:rPr>
                <w:sz w:val="20"/>
              </w:rPr>
              <w:t>/portal/onboarding (resident) and /admin/households/new (BHW)</w:t>
            </w:r>
          </w:p>
        </w:tc>
      </w:tr>
      <w:tr>
        <w:tc>
          <w:tcPr>
            <w:tcW w:type="dxa" w:w="2592"/>
            <w:shd w:val="clear" w:color="auto" w:fill="F3F4F6"/>
          </w:tcPr>
          <w:p>
            <w:pPr>
              <w:spacing w:after="40" w:before="40"/>
            </w:pPr>
            <w:r>
              <w:rPr>
                <w:sz w:val="20"/>
              </w:rPr>
              <w:t>DB tables</w:t>
            </w:r>
          </w:p>
        </w:tc>
        <w:tc>
          <w:tcPr>
            <w:tcW w:type="dxa" w:w="7344"/>
            <w:shd w:val="clear" w:color="auto" w:fill="F3F4F6"/>
          </w:tcPr>
          <w:p>
            <w:pPr>
              <w:spacing w:after="40" w:before="40"/>
            </w:pPr>
            <w:r>
              <w:rPr>
                <w:sz w:val="20"/>
              </w:rPr>
              <w:t>household, member, vulnerability_assessment, consent_record</w:t>
            </w:r>
          </w:p>
        </w:tc>
      </w:tr>
      <w:tr>
        <w:tc>
          <w:tcPr>
            <w:tcW w:type="dxa" w:w="2592"/>
            <w:shd w:val="clear" w:color="auto" w:fill="FFFFFF"/>
          </w:tcPr>
          <w:p>
            <w:pPr>
              <w:spacing w:after="40" w:before="40"/>
            </w:pPr>
            <w:r>
              <w:rPr>
                <w:sz w:val="20"/>
              </w:rPr>
              <w:t>Data captured</w:t>
            </w:r>
          </w:p>
        </w:tc>
        <w:tc>
          <w:tcPr>
            <w:tcW w:type="dxa" w:w="7344"/>
            <w:shd w:val="clear" w:color="auto" w:fill="FFFFFF"/>
          </w:tcPr>
          <w:p>
            <w:pPr>
              <w:spacing w:after="40" w:before="40"/>
            </w:pPr>
            <w:r>
              <w:rPr>
                <w:sz w:val="20"/>
              </w:rPr>
              <w:t>Household location, contact, address; member demographics and vulnerability flags</w:t>
            </w:r>
          </w:p>
        </w:tc>
      </w:tr>
      <w:tr>
        <w:tc>
          <w:tcPr>
            <w:tcW w:type="dxa" w:w="2592"/>
            <w:shd w:val="clear" w:color="auto" w:fill="F3F4F6"/>
          </w:tcPr>
          <w:p>
            <w:pPr>
              <w:spacing w:after="40" w:before="40"/>
            </w:pPr>
            <w:r>
              <w:rPr>
                <w:sz w:val="20"/>
              </w:rPr>
              <w:t>Vulnerability</w:t>
            </w:r>
          </w:p>
        </w:tc>
        <w:tc>
          <w:tcPr>
            <w:tcW w:type="dxa" w:w="7344"/>
            <w:shd w:val="clear" w:color="auto" w:fill="F3F4F6"/>
          </w:tcPr>
          <w:p>
            <w:pPr>
              <w:spacing w:after="40" w:before="40"/>
            </w:pPr>
            <w:r>
              <w:rPr>
                <w:sz w:val="20"/>
              </w:rPr>
              <w:t>Computed from member flags by domain/vulnerability.py; stored append-only in vulnerability_assessment</w:t>
            </w:r>
          </w:p>
        </w:tc>
      </w:tr>
      <w:tr>
        <w:tc>
          <w:tcPr>
            <w:tcW w:type="dxa" w:w="2592"/>
            <w:shd w:val="clear" w:color="auto" w:fill="FFFFFF"/>
          </w:tcPr>
          <w:p>
            <w:pPr>
              <w:spacing w:after="40" w:before="40"/>
            </w:pPr>
            <w:r>
              <w:rPr>
                <w:sz w:val="20"/>
              </w:rPr>
              <w:t>Source field</w:t>
            </w:r>
          </w:p>
        </w:tc>
        <w:tc>
          <w:tcPr>
            <w:tcW w:type="dxa" w:w="7344"/>
            <w:shd w:val="clear" w:color="auto" w:fill="FFFFFF"/>
          </w:tcPr>
          <w:p>
            <w:pPr>
              <w:spacing w:after="40" w:before="40"/>
            </w:pPr>
            <w:r>
              <w:rPr>
                <w:sz w:val="20"/>
              </w:rPr>
              <w:t>household.source = 'self' or 'bhw' — used to distinguish registration channels in analytics</w:t>
            </w:r>
          </w:p>
        </w:tc>
      </w:tr>
    </w:tbl>
    <w:p/>
    <w:p>
      <w:pPr>
        <w:spacing w:after="80"/>
      </w:pPr>
      <w:r>
        <w:rPr>
          <w:sz w:val="21"/>
        </w:rPr>
        <w:t>Member vulnerability flags captured at registration:</w:t>
      </w:r>
    </w:p>
    <w:p>
      <w:pPr>
        <w:pStyle w:val="ListBullet"/>
        <w:spacing w:after="60"/>
        <w:ind w:left="360"/>
      </w:pPr>
      <w:r>
        <w:rPr>
          <w:sz w:val="21"/>
        </w:rPr>
        <w:t>is_child — member aged under 18</w:t>
      </w:r>
    </w:p>
    <w:p>
      <w:pPr>
        <w:pStyle w:val="ListBullet"/>
        <w:spacing w:after="60"/>
        <w:ind w:left="360"/>
      </w:pPr>
      <w:r>
        <w:rPr>
          <w:sz w:val="21"/>
        </w:rPr>
        <w:t>is_senior — member aged 60 or older</w:t>
      </w:r>
    </w:p>
    <w:p>
      <w:pPr>
        <w:pStyle w:val="ListBullet"/>
        <w:spacing w:after="60"/>
        <w:ind w:left="360"/>
      </w:pPr>
      <w:r>
        <w:rPr>
          <w:sz w:val="21"/>
        </w:rPr>
        <w:t>is_pwd — person with disability</w:t>
      </w:r>
    </w:p>
    <w:p>
      <w:pPr>
        <w:pStyle w:val="ListBullet"/>
        <w:spacing w:after="60"/>
        <w:ind w:left="360"/>
      </w:pPr>
      <w:r>
        <w:rPr>
          <w:sz w:val="21"/>
        </w:rPr>
        <w:t>is_pregnant — currently pregnant</w:t>
      </w:r>
    </w:p>
    <w:p>
      <w:pPr>
        <w:pStyle w:val="ListBullet"/>
        <w:spacing w:after="60"/>
        <w:ind w:left="360"/>
      </w:pPr>
      <w:r>
        <w:rPr>
          <w:sz w:val="21"/>
        </w:rPr>
        <w:t>has_chronic_condition — ongoing medical condition</w:t>
      </w:r>
    </w:p>
    <w:p>
      <w:pPr>
        <w:pStyle w:val="ListBullet"/>
        <w:spacing w:after="60"/>
        <w:ind w:left="360"/>
      </w:pPr>
      <w:r>
        <w:rPr>
          <w:sz w:val="21"/>
        </w:rPr>
        <w:t>is_bedridden — unable to self-evacuate</w:t>
      </w:r>
    </w:p>
    <w:p>
      <w:pPr>
        <w:spacing w:after="160"/>
      </w:pPr>
      <w:r>
        <w:rPr>
          <w:sz w:val="21"/>
        </w:rPr>
        <w:t>Household location is captured as a draggable pin on the Leaflet map (GEOMETRY(Point, 4326)), or GPS-auto-filled when the user is on a secure context. Location is used to assign the household to an area via ST_Contains and to determine flood zone exposure.</w:t>
      </w:r>
    </w:p>
    <w:p>
      <w:pPr>
        <w:spacing w:before="240" w:after="120"/>
      </w:pPr>
      <w:r>
        <w:rPr>
          <w:b/>
          <w:color w:val="1F8049"/>
          <w:sz w:val="26"/>
        </w:rPr>
        <w:t>5.3  Incident Reports and Safety Check-ins</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Sources</w:t>
            </w:r>
          </w:p>
        </w:tc>
        <w:tc>
          <w:tcPr>
            <w:tcW w:type="dxa" w:w="7344"/>
            <w:shd w:val="clear" w:color="auto" w:fill="F3F4F6"/>
          </w:tcPr>
          <w:p>
            <w:pPr>
              <w:spacing w:after="40" w:before="40"/>
            </w:pPr>
            <w:r>
              <w:rPr>
                <w:sz w:val="20"/>
              </w:rPr>
              <w:t>Residents via /portal or public POST /public/rescue-requests; BHW/admin via console</w:t>
            </w:r>
          </w:p>
        </w:tc>
      </w:tr>
      <w:tr>
        <w:tc>
          <w:tcPr>
            <w:tcW w:type="dxa" w:w="2592"/>
            <w:shd w:val="clear" w:color="auto" w:fill="FFFFFF"/>
          </w:tcPr>
          <w:p>
            <w:pPr>
              <w:spacing w:after="40" w:before="40"/>
            </w:pPr>
            <w:r>
              <w:rPr>
                <w:sz w:val="20"/>
              </w:rPr>
              <w:t>DB tables</w:t>
            </w:r>
          </w:p>
        </w:tc>
        <w:tc>
          <w:tcPr>
            <w:tcW w:type="dxa" w:w="7344"/>
            <w:shd w:val="clear" w:color="auto" w:fill="FFFFFF"/>
          </w:tcPr>
          <w:p>
            <w:pPr>
              <w:spacing w:after="40" w:before="40"/>
            </w:pPr>
            <w:r>
              <w:rPr>
                <w:sz w:val="20"/>
              </w:rPr>
              <w:t>incident_report, safety_status, rescue_request, unregistered_person</w:t>
            </w:r>
          </w:p>
        </w:tc>
      </w:tr>
      <w:tr>
        <w:tc>
          <w:tcPr>
            <w:tcW w:type="dxa" w:w="2592"/>
            <w:shd w:val="clear" w:color="auto" w:fill="F3F4F6"/>
          </w:tcPr>
          <w:p>
            <w:pPr>
              <w:spacing w:after="40" w:before="40"/>
            </w:pPr>
            <w:r>
              <w:rPr>
                <w:sz w:val="20"/>
              </w:rPr>
              <w:t>Content</w:t>
            </w:r>
          </w:p>
        </w:tc>
        <w:tc>
          <w:tcPr>
            <w:tcW w:type="dxa" w:w="7344"/>
            <w:shd w:val="clear" w:color="auto" w:fill="F3F4F6"/>
          </w:tcPr>
          <w:p>
            <w:pPr>
              <w:spacing w:after="40" w:before="40"/>
            </w:pPr>
            <w:r>
              <w:rPr>
                <w:sz w:val="20"/>
              </w:rPr>
              <w:t>Text descriptions, photo uploads, member-level safe/unsafe/unknown status, location</w:t>
            </w:r>
          </w:p>
        </w:tc>
      </w:tr>
      <w:tr>
        <w:tc>
          <w:tcPr>
            <w:tcW w:type="dxa" w:w="2592"/>
            <w:shd w:val="clear" w:color="auto" w:fill="FFFFFF"/>
          </w:tcPr>
          <w:p>
            <w:pPr>
              <w:spacing w:after="40" w:before="40"/>
            </w:pPr>
            <w:r>
              <w:rPr>
                <w:sz w:val="20"/>
              </w:rPr>
              <w:t>Photo storage</w:t>
            </w:r>
          </w:p>
        </w:tc>
        <w:tc>
          <w:tcPr>
            <w:tcW w:type="dxa" w:w="7344"/>
            <w:shd w:val="clear" w:color="auto" w:fill="FFFFFF"/>
          </w:tcPr>
          <w:p>
            <w:pPr>
              <w:spacing w:after="40" w:before="40"/>
            </w:pPr>
            <w:r>
              <w:rPr>
                <w:sz w:val="20"/>
              </w:rPr>
              <w:t>Docker volume served by Caddy proxy (not database); file path stored in incident_report</w:t>
            </w:r>
          </w:p>
        </w:tc>
      </w:tr>
    </w:tbl>
    <w:p/>
    <w:p>
      <w:pPr>
        <w:spacing w:after="160"/>
      </w:pPr>
      <w:r>
        <w:rPr>
          <w:sz w:val="21"/>
        </w:rPr>
        <w:t>Safety check-ins (FR-SAF-001–007) allow residents to mark household members as safe, unsafe, or location-unknown during an active emergency event. BHWs and admins can submit check-ins on behalf of households. Incident reports (FR-SAF-015–016) are resident-submitted situation reports with optional photo upload, verified or dismissed by admin. Rescue requests (FR-SAF-009) are submitted without authentication — the only endpoint deliberately exempt from the auth requirement.</w:t>
      </w:r>
    </w:p>
    <w:p>
      <w:pPr>
        <w:spacing w:before="240" w:after="120"/>
      </w:pPr>
      <w:r>
        <w:rPr>
          <w:b/>
          <w:color w:val="1F8049"/>
          <w:sz w:val="26"/>
        </w:rPr>
        <w:t>5.4  Admin Configuration — config Table</w:t>
      </w:r>
    </w:p>
    <w:tbl>
      <w:tblPr>
        <w:tblStyle w:val="TableGrid"/>
        <w:tblW w:type="auto" w:w="0"/>
        <w:tblLook w:firstColumn="1" w:firstRow="1" w:lastColumn="0" w:lastRow="0" w:noHBand="0" w:noVBand="1" w:val="04A0"/>
      </w:tblPr>
      <w:tblGrid>
        <w:gridCol w:w="4680"/>
        <w:gridCol w:w="4680"/>
      </w:tblGrid>
      <w:tr>
        <w:tc>
          <w:tcPr>
            <w:tcW w:type="dxa" w:w="2592"/>
            <w:shd w:val="clear" w:color="auto" w:fill="1F8049"/>
          </w:tcPr>
          <w:p>
            <w:pPr>
              <w:spacing w:after="40" w:before="40"/>
            </w:pPr>
            <w:r>
              <w:rPr>
                <w:b/>
                <w:color w:val="FFFFFF"/>
                <w:sz w:val="20"/>
              </w:rPr>
              <w:t>Property</w:t>
            </w:r>
          </w:p>
        </w:tc>
        <w:tc>
          <w:tcPr>
            <w:tcW w:type="dxa" w:w="7344"/>
            <w:shd w:val="clear" w:color="auto" w:fill="1F8049"/>
          </w:tcPr>
          <w:p>
            <w:pPr>
              <w:spacing w:after="40" w:before="40"/>
            </w:pPr>
            <w:r>
              <w:rPr>
                <w:b/>
                <w:color w:val="FFFFFF"/>
                <w:sz w:val="20"/>
              </w:rPr>
              <w:t>Value</w:t>
            </w:r>
          </w:p>
        </w:tc>
      </w:tr>
      <w:tr>
        <w:tc>
          <w:tcPr>
            <w:tcW w:type="dxa" w:w="2592"/>
            <w:shd w:val="clear" w:color="auto" w:fill="F3F4F6"/>
          </w:tcPr>
          <w:p>
            <w:pPr>
              <w:spacing w:after="40" w:before="40"/>
            </w:pPr>
            <w:r>
              <w:rPr>
                <w:sz w:val="20"/>
              </w:rPr>
              <w:t>DB table</w:t>
            </w:r>
          </w:p>
        </w:tc>
        <w:tc>
          <w:tcPr>
            <w:tcW w:type="dxa" w:w="7344"/>
            <w:shd w:val="clear" w:color="auto" w:fill="F3F4F6"/>
          </w:tcPr>
          <w:p>
            <w:pPr>
              <w:spacing w:after="40" w:before="40"/>
            </w:pPr>
            <w:r>
              <w:rPr>
                <w:sz w:val="20"/>
              </w:rPr>
              <w:t>config (typed key/value pairs)</w:t>
            </w:r>
          </w:p>
        </w:tc>
      </w:tr>
      <w:tr>
        <w:tc>
          <w:tcPr>
            <w:tcW w:type="dxa" w:w="2592"/>
            <w:shd w:val="clear" w:color="auto" w:fill="FFFFFF"/>
          </w:tcPr>
          <w:p>
            <w:pPr>
              <w:spacing w:after="40" w:before="40"/>
            </w:pPr>
            <w:r>
              <w:rPr>
                <w:sz w:val="20"/>
              </w:rPr>
              <w:t>Edited via</w:t>
            </w:r>
          </w:p>
        </w:tc>
        <w:tc>
          <w:tcPr>
            <w:tcW w:type="dxa" w:w="7344"/>
            <w:shd w:val="clear" w:color="auto" w:fill="FFFFFF"/>
          </w:tcPr>
          <w:p>
            <w:pPr>
              <w:spacing w:after="40" w:before="40"/>
            </w:pPr>
            <w:r>
              <w:rPr>
                <w:sz w:val="20"/>
              </w:rPr>
              <w:t>PUT /admin/config/{key}</w:t>
            </w:r>
          </w:p>
        </w:tc>
      </w:tr>
      <w:tr>
        <w:tc>
          <w:tcPr>
            <w:tcW w:type="dxa" w:w="2592"/>
            <w:shd w:val="clear" w:color="auto" w:fill="F3F4F6"/>
          </w:tcPr>
          <w:p>
            <w:pPr>
              <w:spacing w:after="40" w:before="40"/>
            </w:pPr>
            <w:r>
              <w:rPr>
                <w:sz w:val="20"/>
              </w:rPr>
              <w:t>Contents</w:t>
            </w:r>
          </w:p>
        </w:tc>
        <w:tc>
          <w:tcPr>
            <w:tcW w:type="dxa" w:w="7344"/>
            <w:shd w:val="clear" w:color="auto" w:fill="F3F4F6"/>
          </w:tcPr>
          <w:p>
            <w:pPr>
              <w:spacing w:after="40" w:before="40"/>
            </w:pPr>
            <w:r>
              <w:rPr>
                <w:sz w:val="20"/>
              </w:rPr>
              <w:t>Barangay total population, total households, alert thresholds, staleness windows</w:t>
            </w:r>
          </w:p>
        </w:tc>
      </w:tr>
      <w:tr>
        <w:tc>
          <w:tcPr>
            <w:tcW w:type="dxa" w:w="2592"/>
            <w:shd w:val="clear" w:color="auto" w:fill="FFFFFF"/>
          </w:tcPr>
          <w:p>
            <w:pPr>
              <w:spacing w:after="40" w:before="40"/>
            </w:pPr>
            <w:r>
              <w:rPr>
                <w:sz w:val="20"/>
              </w:rPr>
              <w:t>Purpose</w:t>
            </w:r>
          </w:p>
        </w:tc>
        <w:tc>
          <w:tcPr>
            <w:tcW w:type="dxa" w:w="7344"/>
            <w:shd w:val="clear" w:color="auto" w:fill="FFFFFF"/>
          </w:tcPr>
          <w:p>
            <w:pPr>
              <w:spacing w:after="40" w:before="40"/>
            </w:pPr>
            <w:r>
              <w:rPr>
                <w:sz w:val="20"/>
              </w:rPr>
              <w:t>Admin-editable parameters that drive analytics coverage metrics and threshold evaluation</w:t>
            </w:r>
          </w:p>
        </w:tc>
      </w:tr>
    </w:tbl>
    <w:p/>
    <w:p>
      <w:pPr>
        <w:spacing w:after="160"/>
      </w:pPr>
      <w:r>
        <w:rPr>
          <w:sz w:val="21"/>
        </w:rPr>
        <w:t>The config table separates the admin-entered barangay totals (total population, total household count) from the derived counts (registered members, registered households) so coverage is always expressed as 'registered / configured total', never conflated (NFR-DAT-005, FR-ANL-003). Alert thresholds (alertwl / alarmwl / criticalwl in metres) are seeded from the PAGASA JSON and subsequently editable by the BDRRMC.</w:t>
      </w:r>
    </w:p>
    <w:p>
      <w:pPr>
        <w:spacing w:before="360" w:after="120"/>
      </w:pPr>
      <w:r>
        <w:rPr>
          <w:b/>
          <w:color w:val="1F8049"/>
          <w:sz w:val="36"/>
        </w:rPr>
        <w:t>6. Failure Behaviour and Staleness Policy</w:t>
      </w:r>
    </w:p>
    <w:p>
      <w:pPr>
        <w:spacing w:after="80"/>
      </w:pPr>
      <w:r>
        <w:rPr>
          <w:sz w:val="21"/>
        </w:rPr>
        <w:t>All externally sourced data follows the same degradation pattern to ensure user-facing pages never blank due to upstream failures:</w:t>
      </w:r>
    </w:p>
    <w:p>
      <w:pPr>
        <w:pStyle w:val="ListBullet"/>
        <w:spacing w:after="60"/>
        <w:ind w:left="360"/>
      </w:pPr>
      <w:r>
        <w:rPr>
          <w:sz w:val="21"/>
        </w:rPr>
        <w:t>Fetch fails → log with source and reason; do not write to the database.</w:t>
      </w:r>
    </w:p>
    <w:p>
      <w:pPr>
        <w:pStyle w:val="ListBullet"/>
        <w:spacing w:after="60"/>
        <w:ind w:left="360"/>
      </w:pPr>
      <w:r>
        <w:rPr>
          <w:sz w:val="21"/>
        </w:rPr>
        <w:t>API read path returns the most recent stored reading regardless of age.</w:t>
      </w:r>
    </w:p>
    <w:p>
      <w:pPr>
        <w:pStyle w:val="ListBullet"/>
        <w:spacing w:after="60"/>
        <w:ind w:left="360"/>
      </w:pPr>
      <w:r>
        <w:rPr>
          <w:sz w:val="21"/>
        </w:rPr>
        <w:t>Staleness is computed at read time (now() − observed_at) against a configurable window (STALE_THRESHOLD_MINUTES) and returned as a field on every reading response.</w:t>
      </w:r>
    </w:p>
    <w:p>
      <w:pPr>
        <w:pStyle w:val="ListBullet"/>
        <w:spacing w:after="60"/>
        <w:ind w:left="360"/>
      </w:pPr>
      <w:r>
        <w:rPr>
          <w:sz w:val="21"/>
        </w:rPr>
        <w:t>No reading is ever displayed without its observed_at timestamp and source label.</w:t>
      </w:r>
    </w:p>
    <w:p>
      <w:pPr>
        <w:pStyle w:val="ListBullet"/>
        <w:spacing w:after="60"/>
        <w:ind w:left="360"/>
      </w:pPr>
      <w:r>
        <w:rPr>
          <w:sz w:val="21"/>
        </w:rPr>
        <w:t>A weather panel never goes empty due to a fetch failure — yesterday's value is returned, clearly labelled as stale (NFR-AVL-003).</w:t>
      </w:r>
    </w:p>
    <w:p>
      <w:pPr>
        <w:spacing w:after="160"/>
      </w:pPr>
      <w:r>
        <w:rPr>
          <w:sz w:val="21"/>
        </w:rPr>
        <w:t>The reading table's raw column stores the full original JSON payload from each fetch. This allows developers to diagnose a broken parser by inspecting what the adapter actually received, without needing to re-fetch.</w:t>
      </w:r>
    </w:p>
    <w:p>
      <w:pPr>
        <w:spacing w:before="360" w:after="120"/>
      </w:pPr>
      <w:r>
        <w:rPr>
          <w:b/>
          <w:color w:val="1F8049"/>
          <w:sz w:val="36"/>
        </w:rPr>
        <w:t>7. Licensing and Attribution Summary</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8049"/>
          </w:tcPr>
          <w:p>
            <w:pPr>
              <w:spacing w:after="40" w:before="40"/>
            </w:pPr>
            <w:r>
              <w:rPr>
                <w:b/>
                <w:color w:val="FFFFFF"/>
                <w:sz w:val="20"/>
              </w:rPr>
              <w:t>Source</w:t>
            </w:r>
          </w:p>
        </w:tc>
        <w:tc>
          <w:tcPr>
            <w:tcW w:type="dxa" w:w="2304"/>
            <w:shd w:val="clear" w:color="auto" w:fill="1F8049"/>
          </w:tcPr>
          <w:p>
            <w:pPr>
              <w:spacing w:after="40" w:before="40"/>
            </w:pPr>
            <w:r>
              <w:rPr>
                <w:b/>
                <w:color w:val="FFFFFF"/>
                <w:sz w:val="20"/>
              </w:rPr>
              <w:t>Licence</w:t>
            </w:r>
          </w:p>
        </w:tc>
        <w:tc>
          <w:tcPr>
            <w:tcW w:type="dxa" w:w="3600"/>
            <w:shd w:val="clear" w:color="auto" w:fill="1F8049"/>
          </w:tcPr>
          <w:p>
            <w:pPr>
              <w:spacing w:after="40" w:before="40"/>
            </w:pPr>
            <w:r>
              <w:rPr>
                <w:b/>
                <w:color w:val="FFFFFF"/>
                <w:sz w:val="20"/>
              </w:rPr>
              <w:t>Attribution Requirement</w:t>
            </w:r>
          </w:p>
        </w:tc>
        <w:tc>
          <w:tcPr>
            <w:tcW w:type="dxa" w:w="1872"/>
            <w:shd w:val="clear" w:color="auto" w:fill="1F8049"/>
          </w:tcPr>
          <w:p>
            <w:pPr>
              <w:spacing w:after="40" w:before="40"/>
            </w:pPr>
            <w:r>
              <w:rPr>
                <w:b/>
                <w:color w:val="FFFFFF"/>
                <w:sz w:val="20"/>
              </w:rPr>
              <w:t>In-system location</w:t>
            </w:r>
          </w:p>
        </w:tc>
      </w:tr>
      <w:tr>
        <w:tc>
          <w:tcPr>
            <w:tcW w:type="dxa" w:w="2160"/>
            <w:shd w:val="clear" w:color="auto" w:fill="F3F4F6"/>
          </w:tcPr>
          <w:p>
            <w:pPr>
              <w:spacing w:after="40" w:before="40"/>
            </w:pPr>
            <w:r>
              <w:rPr>
                <w:sz w:val="20"/>
              </w:rPr>
              <w:t>Open-Meteo</w:t>
            </w:r>
          </w:p>
        </w:tc>
        <w:tc>
          <w:tcPr>
            <w:tcW w:type="dxa" w:w="2304"/>
            <w:shd w:val="clear" w:color="auto" w:fill="F3F4F6"/>
          </w:tcPr>
          <w:p>
            <w:pPr>
              <w:spacing w:after="40" w:before="40"/>
            </w:pPr>
            <w:r>
              <w:rPr>
                <w:sz w:val="20"/>
              </w:rPr>
              <w:t>Open-Meteo Attribution License (non-commercial free)</w:t>
            </w:r>
          </w:p>
        </w:tc>
        <w:tc>
          <w:tcPr>
            <w:tcW w:type="dxa" w:w="3600"/>
            <w:shd w:val="clear" w:color="auto" w:fill="F3F4F6"/>
          </w:tcPr>
          <w:p>
            <w:pPr>
              <w:spacing w:after="40" w:before="40"/>
            </w:pPr>
            <w:r>
              <w:rPr>
                <w:sz w:val="20"/>
              </w:rPr>
              <w:t>Required — 'Powered by Open-Meteo'</w:t>
            </w:r>
          </w:p>
        </w:tc>
        <w:tc>
          <w:tcPr>
            <w:tcW w:type="dxa" w:w="1872"/>
            <w:shd w:val="clear" w:color="auto" w:fill="F3F4F6"/>
          </w:tcPr>
          <w:p>
            <w:pPr>
              <w:spacing w:after="40" w:before="40"/>
            </w:pPr>
            <w:r>
              <w:rPr>
                <w:sz w:val="20"/>
              </w:rPr>
              <w:t>Public weather panel footer</w:t>
            </w:r>
          </w:p>
        </w:tc>
      </w:tr>
      <w:tr>
        <w:tc>
          <w:tcPr>
            <w:tcW w:type="dxa" w:w="2160"/>
            <w:shd w:val="clear" w:color="auto" w:fill="FFFFFF"/>
          </w:tcPr>
          <w:p>
            <w:pPr>
              <w:spacing w:after="40" w:before="40"/>
            </w:pPr>
            <w:r>
              <w:rPr>
                <w:sz w:val="20"/>
              </w:rPr>
              <w:t>PAGASA FFWS</w:t>
            </w:r>
          </w:p>
        </w:tc>
        <w:tc>
          <w:tcPr>
            <w:tcW w:type="dxa" w:w="2304"/>
            <w:shd w:val="clear" w:color="auto" w:fill="FFFFFF"/>
          </w:tcPr>
          <w:p>
            <w:pPr>
              <w:spacing w:after="40" w:before="40"/>
            </w:pPr>
            <w:r>
              <w:rPr>
                <w:sz w:val="20"/>
              </w:rPr>
              <w:t>Philippine government public data — no explicit licence</w:t>
            </w:r>
          </w:p>
        </w:tc>
        <w:tc>
          <w:tcPr>
            <w:tcW w:type="dxa" w:w="3600"/>
            <w:shd w:val="clear" w:color="auto" w:fill="FFFFFF"/>
          </w:tcPr>
          <w:p>
            <w:pPr>
              <w:spacing w:after="40" w:before="40"/>
            </w:pPr>
            <w:r>
              <w:rPr>
                <w:sz w:val="20"/>
              </w:rPr>
              <w:t>Credit PAGASA / DOST</w:t>
            </w:r>
          </w:p>
        </w:tc>
        <w:tc>
          <w:tcPr>
            <w:tcW w:type="dxa" w:w="1872"/>
            <w:shd w:val="clear" w:color="auto" w:fill="FFFFFF"/>
          </w:tcPr>
          <w:p>
            <w:pPr>
              <w:spacing w:after="40" w:before="40"/>
            </w:pPr>
            <w:r>
              <w:rPr>
                <w:sz w:val="20"/>
              </w:rPr>
              <w:t>Data source label on river-level widget</w:t>
            </w:r>
          </w:p>
        </w:tc>
      </w:tr>
      <w:tr>
        <w:tc>
          <w:tcPr>
            <w:tcW w:type="dxa" w:w="2160"/>
            <w:shd w:val="clear" w:color="auto" w:fill="F3F4F6"/>
          </w:tcPr>
          <w:p>
            <w:pPr>
              <w:spacing w:after="40" w:before="40"/>
            </w:pPr>
            <w:r>
              <w:rPr>
                <w:sz w:val="20"/>
              </w:rPr>
              <w:t>Project NOAH</w:t>
            </w:r>
          </w:p>
        </w:tc>
        <w:tc>
          <w:tcPr>
            <w:tcW w:type="dxa" w:w="2304"/>
            <w:shd w:val="clear" w:color="auto" w:fill="F3F4F6"/>
          </w:tcPr>
          <w:p>
            <w:pPr>
              <w:spacing w:after="40" w:before="40"/>
            </w:pPr>
            <w:r>
              <w:rPr>
                <w:sz w:val="20"/>
              </w:rPr>
              <w:t>ODC Open Database License (ODbL) 1.0</w:t>
            </w:r>
          </w:p>
        </w:tc>
        <w:tc>
          <w:tcPr>
            <w:tcW w:type="dxa" w:w="3600"/>
            <w:shd w:val="clear" w:color="auto" w:fill="F3F4F6"/>
          </w:tcPr>
          <w:p>
            <w:pPr>
              <w:spacing w:after="40" w:before="40"/>
            </w:pPr>
            <w:r>
              <w:rPr>
                <w:sz w:val="20"/>
              </w:rPr>
              <w:t>Mandatory — 'Project NOAH / DOST-DREAM'; derivatives inherit ODbL</w:t>
            </w:r>
          </w:p>
        </w:tc>
        <w:tc>
          <w:tcPr>
            <w:tcW w:type="dxa" w:w="1872"/>
            <w:shd w:val="clear" w:color="auto" w:fill="F3F4F6"/>
          </w:tcPr>
          <w:p>
            <w:pPr>
              <w:spacing w:after="40" w:before="40"/>
            </w:pPr>
            <w:r>
              <w:rPr>
                <w:sz w:val="20"/>
              </w:rPr>
              <w:t>Map footer and About section</w:t>
            </w:r>
          </w:p>
        </w:tc>
      </w:tr>
      <w:tr>
        <w:tc>
          <w:tcPr>
            <w:tcW w:type="dxa" w:w="2160"/>
            <w:shd w:val="clear" w:color="auto" w:fill="FFFFFF"/>
          </w:tcPr>
          <w:p>
            <w:pPr>
              <w:spacing w:after="40" w:before="40"/>
            </w:pPr>
            <w:r>
              <w:rPr>
                <w:sz w:val="20"/>
              </w:rPr>
              <w:t>OpenStreetMap</w:t>
            </w:r>
          </w:p>
        </w:tc>
        <w:tc>
          <w:tcPr>
            <w:tcW w:type="dxa" w:w="2304"/>
            <w:shd w:val="clear" w:color="auto" w:fill="FFFFFF"/>
          </w:tcPr>
          <w:p>
            <w:pPr>
              <w:spacing w:after="40" w:before="40"/>
            </w:pPr>
            <w:r>
              <w:rPr>
                <w:sz w:val="20"/>
              </w:rPr>
              <w:t>ODbL 1.0</w:t>
            </w:r>
          </w:p>
        </w:tc>
        <w:tc>
          <w:tcPr>
            <w:tcW w:type="dxa" w:w="3600"/>
            <w:shd w:val="clear" w:color="auto" w:fill="FFFFFF"/>
          </w:tcPr>
          <w:p>
            <w:pPr>
              <w:spacing w:after="40" w:before="40"/>
            </w:pPr>
            <w:r>
              <w:rPr>
                <w:sz w:val="20"/>
              </w:rPr>
              <w:t>Mandatory — '© OpenStreetMap contributors' on every map view (NFR-LGL-002)</w:t>
            </w:r>
          </w:p>
        </w:tc>
        <w:tc>
          <w:tcPr>
            <w:tcW w:type="dxa" w:w="1872"/>
            <w:shd w:val="clear" w:color="auto" w:fill="FFFFFF"/>
          </w:tcPr>
          <w:p>
            <w:pPr>
              <w:spacing w:after="40" w:before="40"/>
            </w:pPr>
            <w:r>
              <w:rPr>
                <w:sz w:val="20"/>
              </w:rPr>
              <w:t>Leaflet map attribution control</w:t>
            </w:r>
          </w:p>
        </w:tc>
      </w:tr>
      <w:tr>
        <w:tc>
          <w:tcPr>
            <w:tcW w:type="dxa" w:w="2160"/>
            <w:shd w:val="clear" w:color="auto" w:fill="F3F4F6"/>
          </w:tcPr>
          <w:p>
            <w:pPr>
              <w:spacing w:after="40" w:before="40"/>
            </w:pPr>
            <w:r>
              <w:rPr>
                <w:sz w:val="20"/>
              </w:rPr>
              <w:t>PSGC</w:t>
            </w:r>
          </w:p>
        </w:tc>
        <w:tc>
          <w:tcPr>
            <w:tcW w:type="dxa" w:w="2304"/>
            <w:shd w:val="clear" w:color="auto" w:fill="F3F4F6"/>
          </w:tcPr>
          <w:p>
            <w:pPr>
              <w:spacing w:after="40" w:before="40"/>
            </w:pPr>
            <w:r>
              <w:rPr>
                <w:sz w:val="20"/>
              </w:rPr>
              <w:t>Public domain — Philippine Statistics Authority</w:t>
            </w:r>
          </w:p>
        </w:tc>
        <w:tc>
          <w:tcPr>
            <w:tcW w:type="dxa" w:w="3600"/>
            <w:shd w:val="clear" w:color="auto" w:fill="F3F4F6"/>
          </w:tcPr>
          <w:p>
            <w:pPr>
              <w:spacing w:after="40" w:before="40"/>
            </w:pPr>
            <w:r>
              <w:rPr>
                <w:sz w:val="20"/>
              </w:rPr>
              <w:t>Not required</w:t>
            </w:r>
          </w:p>
        </w:tc>
        <w:tc>
          <w:tcPr>
            <w:tcW w:type="dxa" w:w="1872"/>
            <w:shd w:val="clear" w:color="auto" w:fill="F3F4F6"/>
          </w:tcPr>
          <w:p>
            <w:pPr>
              <w:spacing w:after="40" w:before="40"/>
            </w:pPr>
            <w:r>
              <w:rPr>
                <w:sz w:val="20"/>
              </w:rPr>
              <w:t>—</w:t>
            </w:r>
          </w:p>
        </w:tc>
      </w:tr>
      <w:tr>
        <w:tc>
          <w:tcPr>
            <w:tcW w:type="dxa" w:w="2160"/>
            <w:shd w:val="clear" w:color="auto" w:fill="FFFFFF"/>
          </w:tcPr>
          <w:p>
            <w:pPr>
              <w:spacing w:after="40" w:before="40"/>
            </w:pPr>
            <w:r>
              <w:rPr>
                <w:sz w:val="20"/>
              </w:rPr>
              <w:t>San Jose Boundaries</w:t>
            </w:r>
          </w:p>
        </w:tc>
        <w:tc>
          <w:tcPr>
            <w:tcW w:type="dxa" w:w="2304"/>
            <w:shd w:val="clear" w:color="auto" w:fill="FFFFFF"/>
          </w:tcPr>
          <w:p>
            <w:pPr>
              <w:spacing w:after="40" w:before="40"/>
            </w:pPr>
            <w:r>
              <w:rPr>
                <w:sz w:val="20"/>
              </w:rPr>
              <w:t>ODbL (OSM-derived)</w:t>
            </w:r>
          </w:p>
        </w:tc>
        <w:tc>
          <w:tcPr>
            <w:tcW w:type="dxa" w:w="3600"/>
            <w:shd w:val="clear" w:color="auto" w:fill="FFFFFF"/>
          </w:tcPr>
          <w:p>
            <w:pPr>
              <w:spacing w:after="40" w:before="40"/>
            </w:pPr>
            <w:r>
              <w:rPr>
                <w:sz w:val="20"/>
              </w:rPr>
              <w:t>Covered by OSM attribution</w:t>
            </w:r>
          </w:p>
        </w:tc>
        <w:tc>
          <w:tcPr>
            <w:tcW w:type="dxa" w:w="1872"/>
            <w:shd w:val="clear" w:color="auto" w:fill="FFFFFF"/>
          </w:tcPr>
          <w:p>
            <w:pPr>
              <w:spacing w:after="40" w:before="40"/>
            </w:pPr>
            <w:r>
              <w:rPr>
                <w:sz w:val="20"/>
              </w:rPr>
              <w:t>Leaflet map attribution control</w:t>
            </w:r>
          </w:p>
        </w:tc>
      </w:tr>
    </w:tbl>
    <w:p/>
    <w:p>
      <w:pPr>
        <w:spacing w:before="360" w:after="120"/>
      </w:pPr>
      <w:r>
        <w:rPr>
          <w:b/>
          <w:color w:val="1F8049"/>
          <w:sz w:val="36"/>
        </w:rPr>
        <w:t>8. Policy Compliance Assessment</w:t>
      </w:r>
    </w:p>
    <w:p>
      <w:pPr>
        <w:spacing w:after="80"/>
      </w:pPr>
      <w:r>
        <w:rPr>
          <w:sz w:val="21"/>
        </w:rPr>
        <w:t>This section evaluates whether SAGIP-SJ violates any data-source terms of service or open-data licences, given its context as a non-commercial student prototype presented at a local barangay Project Pitching competition.</w:t>
      </w:r>
    </w:p>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F8049"/>
          </w:tcPr>
          <w:p>
            <w:pPr>
              <w:spacing w:after="40" w:before="40"/>
            </w:pPr>
            <w:r>
              <w:rPr>
                <w:b/>
                <w:color w:val="FFFFFF"/>
                <w:sz w:val="20"/>
              </w:rPr>
              <w:t>Source</w:t>
            </w:r>
          </w:p>
        </w:tc>
        <w:tc>
          <w:tcPr>
            <w:tcW w:type="dxa" w:w="1872"/>
            <w:shd w:val="clear" w:color="auto" w:fill="1F8049"/>
          </w:tcPr>
          <w:p>
            <w:pPr>
              <w:spacing w:after="40" w:before="40"/>
            </w:pPr>
            <w:r>
              <w:rPr>
                <w:b/>
                <w:color w:val="FFFFFF"/>
                <w:sz w:val="20"/>
              </w:rPr>
              <w:t>Violation?</w:t>
            </w:r>
          </w:p>
        </w:tc>
        <w:tc>
          <w:tcPr>
            <w:tcW w:type="dxa" w:w="5760"/>
            <w:shd w:val="clear" w:color="auto" w:fill="1F8049"/>
          </w:tcPr>
          <w:p>
            <w:pPr>
              <w:spacing w:after="40" w:before="40"/>
            </w:pPr>
            <w:r>
              <w:rPr>
                <w:b/>
                <w:color w:val="FFFFFF"/>
                <w:sz w:val="20"/>
              </w:rPr>
              <w:t>Conditions / Notes</w:t>
            </w:r>
          </w:p>
        </w:tc>
      </w:tr>
      <w:tr>
        <w:tc>
          <w:tcPr>
            <w:tcW w:type="dxa" w:w="2304"/>
            <w:shd w:val="clear" w:color="auto" w:fill="F3F4F6"/>
          </w:tcPr>
          <w:p>
            <w:pPr>
              <w:spacing w:after="40" w:before="40"/>
            </w:pPr>
            <w:r>
              <w:rPr>
                <w:sz w:val="20"/>
              </w:rPr>
              <w:t>Open-Meteo</w:t>
            </w:r>
          </w:p>
        </w:tc>
        <w:tc>
          <w:tcPr>
            <w:tcW w:type="dxa" w:w="1872"/>
            <w:shd w:val="clear" w:color="auto" w:fill="F3F4F6"/>
          </w:tcPr>
          <w:p>
            <w:pPr>
              <w:spacing w:after="40" w:before="40"/>
            </w:pPr>
            <w:r>
              <w:rPr>
                <w:sz w:val="20"/>
              </w:rPr>
              <w:t>✅ None</w:t>
            </w:r>
          </w:p>
        </w:tc>
        <w:tc>
          <w:tcPr>
            <w:tcW w:type="dxa" w:w="5760"/>
            <w:shd w:val="clear" w:color="auto" w:fill="F3F4F6"/>
          </w:tcPr>
          <w:p>
            <w:pPr>
              <w:spacing w:after="40" w:before="40"/>
            </w:pPr>
            <w:r>
              <w:rPr>
                <w:sz w:val="20"/>
              </w:rPr>
              <w:t>Non-commercial free tier. Attribution required.</w:t>
            </w:r>
          </w:p>
        </w:tc>
      </w:tr>
      <w:tr>
        <w:tc>
          <w:tcPr>
            <w:tcW w:type="dxa" w:w="2304"/>
            <w:shd w:val="clear" w:color="auto" w:fill="FFFFFF"/>
          </w:tcPr>
          <w:p>
            <w:pPr>
              <w:spacing w:after="40" w:before="40"/>
            </w:pPr>
            <w:r>
              <w:rPr>
                <w:sz w:val="20"/>
              </w:rPr>
              <w:t>PAGASA FFWS</w:t>
            </w:r>
          </w:p>
        </w:tc>
        <w:tc>
          <w:tcPr>
            <w:tcW w:type="dxa" w:w="1872"/>
            <w:shd w:val="clear" w:color="auto" w:fill="FFFFFF"/>
          </w:tcPr>
          <w:p>
            <w:pPr>
              <w:spacing w:after="40" w:before="40"/>
            </w:pPr>
            <w:r>
              <w:rPr>
                <w:sz w:val="20"/>
              </w:rPr>
              <w:t>✅ None</w:t>
            </w:r>
          </w:p>
        </w:tc>
        <w:tc>
          <w:tcPr>
            <w:tcW w:type="dxa" w:w="5760"/>
            <w:shd w:val="clear" w:color="auto" w:fill="FFFFFF"/>
          </w:tcPr>
          <w:p>
            <w:pPr>
              <w:spacing w:after="40" w:before="40"/>
            </w:pPr>
            <w:r>
              <w:rPr>
                <w:sz w:val="20"/>
              </w:rPr>
              <w:t>Philippine government public information. Polite polling (≥10–15 min) expected; system polls every 15 min.</w:t>
            </w:r>
          </w:p>
        </w:tc>
      </w:tr>
      <w:tr>
        <w:tc>
          <w:tcPr>
            <w:tcW w:type="dxa" w:w="2304"/>
            <w:shd w:val="clear" w:color="auto" w:fill="F3F4F6"/>
          </w:tcPr>
          <w:p>
            <w:pPr>
              <w:spacing w:after="40" w:before="40"/>
            </w:pPr>
            <w:r>
              <w:rPr>
                <w:sz w:val="20"/>
              </w:rPr>
              <w:t>Project NOAH (NOAH)</w:t>
            </w:r>
          </w:p>
        </w:tc>
        <w:tc>
          <w:tcPr>
            <w:tcW w:type="dxa" w:w="1872"/>
            <w:shd w:val="clear" w:color="auto" w:fill="F3F4F6"/>
          </w:tcPr>
          <w:p>
            <w:pPr>
              <w:spacing w:after="40" w:before="40"/>
            </w:pPr>
            <w:r>
              <w:rPr>
                <w:sz w:val="20"/>
              </w:rPr>
              <w:t>⚠️ None — attribution legally required</w:t>
            </w:r>
          </w:p>
        </w:tc>
        <w:tc>
          <w:tcPr>
            <w:tcW w:type="dxa" w:w="5760"/>
            <w:shd w:val="clear" w:color="auto" w:fill="F3F4F6"/>
          </w:tcPr>
          <w:p>
            <w:pPr>
              <w:spacing w:after="40" w:before="40"/>
            </w:pPr>
            <w:r>
              <w:rPr>
                <w:sz w:val="20"/>
              </w:rPr>
              <w:t>ODC-ODbL: 'Project NOAH / DOST-DREAM' must appear in the map footer and About section. Derivatives inherit ODbL.</w:t>
            </w:r>
          </w:p>
        </w:tc>
      </w:tr>
      <w:tr>
        <w:tc>
          <w:tcPr>
            <w:tcW w:type="dxa" w:w="2304"/>
            <w:shd w:val="clear" w:color="auto" w:fill="FFFFFF"/>
          </w:tcPr>
          <w:p>
            <w:pPr>
              <w:spacing w:after="40" w:before="40"/>
            </w:pPr>
            <w:r>
              <w:rPr>
                <w:sz w:val="20"/>
              </w:rPr>
              <w:t>OpenStreetMap tiles</w:t>
            </w:r>
          </w:p>
        </w:tc>
        <w:tc>
          <w:tcPr>
            <w:tcW w:type="dxa" w:w="1872"/>
            <w:shd w:val="clear" w:color="auto" w:fill="FFFFFF"/>
          </w:tcPr>
          <w:p>
            <w:pPr>
              <w:spacing w:after="40" w:before="40"/>
            </w:pPr>
            <w:r>
              <w:rPr>
                <w:sz w:val="20"/>
              </w:rPr>
              <w:t>⚠️ None at demo scale</w:t>
            </w:r>
          </w:p>
        </w:tc>
        <w:tc>
          <w:tcPr>
            <w:tcW w:type="dxa" w:w="5760"/>
            <w:shd w:val="clear" w:color="auto" w:fill="FFFFFF"/>
          </w:tcPr>
          <w:p>
            <w:pPr>
              <w:spacing w:after="40" w:before="40"/>
            </w:pPr>
            <w:r>
              <w:rPr>
                <w:sz w:val="20"/>
              </w:rPr>
              <w:t>OSM tile policy targets heavy traffic (thousands of concurrent users). A barangay pitch is well within acceptable use. Attribution '© OpenStreetMap contributors' must be visible.</w:t>
            </w:r>
          </w:p>
        </w:tc>
      </w:tr>
      <w:tr>
        <w:tc>
          <w:tcPr>
            <w:tcW w:type="dxa" w:w="2304"/>
            <w:shd w:val="clear" w:color="auto" w:fill="F3F4F6"/>
          </w:tcPr>
          <w:p>
            <w:pPr>
              <w:spacing w:after="40" w:before="40"/>
            </w:pPr>
            <w:r>
              <w:rPr>
                <w:sz w:val="20"/>
              </w:rPr>
              <w:t>PSGC</w:t>
            </w:r>
          </w:p>
        </w:tc>
        <w:tc>
          <w:tcPr>
            <w:tcW w:type="dxa" w:w="1872"/>
            <w:shd w:val="clear" w:color="auto" w:fill="F3F4F6"/>
          </w:tcPr>
          <w:p>
            <w:pPr>
              <w:spacing w:after="40" w:before="40"/>
            </w:pPr>
            <w:r>
              <w:rPr>
                <w:sz w:val="20"/>
              </w:rPr>
              <w:t>✅ None</w:t>
            </w:r>
          </w:p>
        </w:tc>
        <w:tc>
          <w:tcPr>
            <w:tcW w:type="dxa" w:w="5760"/>
            <w:shd w:val="clear" w:color="auto" w:fill="F3F4F6"/>
          </w:tcPr>
          <w:p>
            <w:pPr>
              <w:spacing w:after="40" w:before="40"/>
            </w:pPr>
            <w:r>
              <w:rPr>
                <w:sz w:val="20"/>
              </w:rPr>
              <w:t>Public domain (PSA). No restrictions.</w:t>
            </w:r>
          </w:p>
        </w:tc>
      </w:tr>
      <w:tr>
        <w:tc>
          <w:tcPr>
            <w:tcW w:type="dxa" w:w="2304"/>
            <w:shd w:val="clear" w:color="auto" w:fill="FFFFFF"/>
          </w:tcPr>
          <w:p>
            <w:pPr>
              <w:spacing w:after="40" w:before="40"/>
            </w:pPr>
            <w:r>
              <w:rPr>
                <w:sz w:val="20"/>
              </w:rPr>
              <w:t>OSM boundaries</w:t>
            </w:r>
          </w:p>
        </w:tc>
        <w:tc>
          <w:tcPr>
            <w:tcW w:type="dxa" w:w="1872"/>
            <w:shd w:val="clear" w:color="auto" w:fill="FFFFFF"/>
          </w:tcPr>
          <w:p>
            <w:pPr>
              <w:spacing w:after="40" w:before="40"/>
            </w:pPr>
            <w:r>
              <w:rPr>
                <w:sz w:val="20"/>
              </w:rPr>
              <w:t>✅ None</w:t>
            </w:r>
          </w:p>
        </w:tc>
        <w:tc>
          <w:tcPr>
            <w:tcW w:type="dxa" w:w="5760"/>
            <w:shd w:val="clear" w:color="auto" w:fill="FFFFFF"/>
          </w:tcPr>
          <w:p>
            <w:pPr>
              <w:spacing w:after="40" w:before="40"/>
            </w:pPr>
            <w:r>
              <w:rPr>
                <w:sz w:val="20"/>
              </w:rPr>
              <w:t>Covered by the OSM attribution already required for the basemap tiles.</w:t>
            </w:r>
          </w:p>
        </w:tc>
      </w:tr>
      <w:tr>
        <w:tc>
          <w:tcPr>
            <w:tcW w:type="dxa" w:w="2304"/>
            <w:shd w:val="clear" w:color="auto" w:fill="F3F4F6"/>
          </w:tcPr>
          <w:p>
            <w:pPr>
              <w:spacing w:after="40" w:before="40"/>
            </w:pPr>
            <w:r>
              <w:rPr>
                <w:sz w:val="20"/>
              </w:rPr>
              <w:t>Internal / user data</w:t>
            </w:r>
          </w:p>
        </w:tc>
        <w:tc>
          <w:tcPr>
            <w:tcW w:type="dxa" w:w="1872"/>
            <w:shd w:val="clear" w:color="auto" w:fill="F3F4F6"/>
          </w:tcPr>
          <w:p>
            <w:pPr>
              <w:spacing w:after="40" w:before="40"/>
            </w:pPr>
            <w:r>
              <w:rPr>
                <w:sz w:val="20"/>
              </w:rPr>
              <w:t>✅ None</w:t>
            </w:r>
          </w:p>
        </w:tc>
        <w:tc>
          <w:tcPr>
            <w:tcW w:type="dxa" w:w="5760"/>
            <w:shd w:val="clear" w:color="auto" w:fill="F3F4F6"/>
          </w:tcPr>
          <w:p>
            <w:pPr>
              <w:spacing w:after="40" w:before="40"/>
            </w:pPr>
            <w:r>
              <w:rPr>
                <w:sz w:val="20"/>
              </w:rPr>
              <w:t>Data entered by residents and BHWs through the system's own forms. Consent records are tracked in the database (consent_record table).</w:t>
            </w:r>
          </w:p>
        </w:tc>
      </w:tr>
    </w:tbl>
    <w:p/>
    <w:p>
      <w:pPr>
        <w:spacing w:before="240" w:after="120"/>
      </w:pPr>
      <w:r>
        <w:rPr>
          <w:b/>
          <w:color w:val="1F8049"/>
          <w:sz w:val="26"/>
        </w:rPr>
        <w:t>8.1  Open-Meteo</w:t>
      </w:r>
    </w:p>
    <w:p>
      <w:pPr>
        <w:spacing w:after="80"/>
      </w:pPr>
      <w:r>
        <w:rPr>
          <w:sz w:val="21"/>
        </w:rPr>
        <w:t>Open-Meteo is explicitly free for non-commercial use with no API key required. A barangay student competition pitch is non-commercial by definition. The only binding obligation is attribution. The system's weather panel footer must display 'Powered by Open-Meteo' (or equivalent) on every page that renders weather data. No other restriction applies.</w:t>
      </w:r>
    </w:p>
    <w:p>
      <w:pPr>
        <w:spacing w:before="240" w:after="120"/>
      </w:pPr>
      <w:r>
        <w:rPr>
          <w:b/>
          <w:color w:val="1F8049"/>
          <w:sz w:val="26"/>
        </w:rPr>
        <w:t>8.2  PAGASA FFWS</w:t>
      </w:r>
    </w:p>
    <w:p>
      <w:pPr>
        <w:spacing w:after="80"/>
      </w:pPr>
      <w:r>
        <w:rPr>
          <w:sz w:val="21"/>
        </w:rPr>
        <w:t>The PAGASA Flood Forecasting and Warning System river-level endpoint is a Philippine government public-information service. There is no explicit open-data licence, but government data in the Philippines is generally freely usable for public interest purposes. The system already respects PAGASA's implied usage expectations: polling at a 15-minute interval (≥ the recommended minimum), using a descriptive user agent, and backing off on errors. No commercial restriction applies to a barangay pitch.</w:t>
      </w:r>
    </w:p>
    <w:p>
      <w:pPr>
        <w:spacing w:before="240" w:after="120"/>
      </w:pPr>
      <w:r>
        <w:rPr>
          <w:b/>
          <w:color w:val="1F8049"/>
          <w:sz w:val="26"/>
        </w:rPr>
        <w:t>8.3  Project NOAH (ODC-ODbL)</w:t>
      </w:r>
    </w:p>
    <w:p>
      <w:pPr>
        <w:spacing w:after="80"/>
      </w:pPr>
      <w:r>
        <w:rPr>
          <w:sz w:val="21"/>
        </w:rPr>
        <w:t>Project NOAH / BetterGov distributes the flood hazard shapefiles under the ODC Open Database License version 1.0. ODbL is a copyleft licence for databases. Key obligations:</w:t>
      </w:r>
    </w:p>
    <w:p>
      <w:pPr>
        <w:pStyle w:val="ListBullet"/>
        <w:spacing w:after="60"/>
        <w:ind w:left="360"/>
      </w:pPr>
      <w:r>
        <w:rPr>
          <w:sz w:val="21"/>
        </w:rPr>
        <w:t>Attribution is legally mandatory — not just a recommendation. The credit 'Project NOAH / DOST-DREAM' (or 'UP DREAM / Phil-LiDAR') must appear in every map view and in the About section of the application.</w:t>
      </w:r>
    </w:p>
    <w:p>
      <w:pPr>
        <w:pStyle w:val="ListBullet"/>
        <w:spacing w:after="60"/>
        <w:ind w:left="360"/>
      </w:pPr>
      <w:r>
        <w:rPr>
          <w:sz w:val="21"/>
        </w:rPr>
        <w:t>Any derivative dataset distributed publicly — including the clipped GeoJSON committed to this repository — must carry the same ODbL licence. The dataset/derived/ files and any public download of them must state this.</w:t>
      </w:r>
    </w:p>
    <w:p>
      <w:pPr>
        <w:pStyle w:val="ListBullet"/>
        <w:spacing w:after="60"/>
        <w:ind w:left="360"/>
      </w:pPr>
      <w:r>
        <w:rPr>
          <w:sz w:val="21"/>
        </w:rPr>
        <w:t>The licence does not restrict non-commercial vs commercial use. It allows both, as long as attribution and share-alike are maintained.</w:t>
      </w:r>
    </w:p>
    <w:p>
      <w:pPr>
        <w:pStyle w:val="ListBullet"/>
        <w:spacing w:after="60"/>
        <w:ind w:left="360"/>
      </w:pPr>
      <w:r>
        <w:rPr>
          <w:sz w:val="21"/>
        </w:rPr>
        <w:t>Serving the GeoJSON as a static asset inside the application (not as a standalone download) is permitted.</w:t>
      </w:r>
    </w:p>
    <w:p>
      <w:pPr>
        <w:spacing w:after="80"/>
      </w:pPr>
      <w:r>
        <w:rPr>
          <w:sz w:val="21"/>
        </w:rPr>
        <w:t>For the barangay pitch context, the risk is low — the data is used for a civic good purpose entirely consistent with DOST-DREAM's mission. The attribution obligation is what must be confirmed in the UI before presenting.</w:t>
      </w:r>
    </w:p>
    <w:p>
      <w:pPr>
        <w:spacing w:before="240" w:after="120"/>
      </w:pPr>
      <w:r>
        <w:rPr>
          <w:b/>
          <w:color w:val="1F8049"/>
          <w:sz w:val="26"/>
        </w:rPr>
        <w:t>8.4  OpenStreetMap (OSM Tile Policy)</w:t>
      </w:r>
    </w:p>
    <w:p>
      <w:pPr>
        <w:spacing w:after="80"/>
      </w:pPr>
      <w:r>
        <w:rPr>
          <w:sz w:val="21"/>
        </w:rPr>
        <w:t>OpenStreetMap tiles are subject to the OSM Foundation's Tile Usage Policy (https://operations.osmfoundation.org/policies/tiles/). The policy prohibits heavy automated bulk use of the free CDN, targets applications with large audiences, and requires attribution. Key points for this project:</w:t>
      </w:r>
    </w:p>
    <w:p>
      <w:pPr>
        <w:pStyle w:val="ListBullet"/>
        <w:spacing w:after="60"/>
        <w:ind w:left="360"/>
      </w:pPr>
      <w:r>
        <w:rPr>
          <w:sz w:val="21"/>
        </w:rPr>
        <w:t>A barangay student competition demo with a handful of concurrent users is far below the scale the policy is designed to address. No violation at demo scale.</w:t>
      </w:r>
    </w:p>
    <w:p>
      <w:pPr>
        <w:pStyle w:val="ListBullet"/>
        <w:spacing w:after="60"/>
        <w:ind w:left="360"/>
      </w:pPr>
      <w:r>
        <w:rPr>
          <w:sz w:val="21"/>
        </w:rPr>
        <w:t>Attribution '© OpenStreetMap contributors' must be visible on every map view. This is tracked as NFR-LGL-002.</w:t>
      </w:r>
    </w:p>
    <w:p>
      <w:pPr>
        <w:pStyle w:val="ListBullet"/>
        <w:spacing w:after="60"/>
        <w:ind w:left="360"/>
      </w:pPr>
      <w:r>
        <w:rPr>
          <w:sz w:val="21"/>
        </w:rPr>
        <w:t>If the system were ever deployed at scale (thousands of concurrent users), the free OSM tile CDN would need to be replaced with an alternative (Carto, Stadia, or a self-hosted tile server). This is a one-URL change.</w:t>
      </w:r>
    </w:p>
    <w:p>
      <w:pPr>
        <w:spacing w:before="240" w:after="120"/>
      </w:pPr>
      <w:r>
        <w:rPr>
          <w:b/>
          <w:color w:val="1F8049"/>
          <w:sz w:val="26"/>
        </w:rPr>
        <w:t>8.5  PSGC and Internal Data</w:t>
      </w:r>
    </w:p>
    <w:p>
      <w:pPr>
        <w:spacing w:after="80"/>
      </w:pPr>
      <w:r>
        <w:rPr>
          <w:sz w:val="21"/>
        </w:rPr>
        <w:t>PSGC data is published by the Philippine Statistics Authority as open public data with no licence restrictions. Internal data (household registrations, safety check-ins, incident reports) is generated by the system's own users and subject to the platform's data privacy obligations under the Philippine Data Privacy Act (Republic Act 10173), not to any external data-source policy.</w:t>
      </w:r>
    </w:p>
    <w:p>
      <w:pPr>
        <w:spacing w:before="240" w:after="120"/>
      </w:pPr>
      <w:r>
        <w:rPr>
          <w:b/>
          <w:color w:val="1F8049"/>
          <w:sz w:val="26"/>
        </w:rPr>
        <w:t>8.6  Pre-Pitch Checklist — Attribution</w:t>
      </w:r>
    </w:p>
    <w:p>
      <w:pPr>
        <w:spacing w:after="80"/>
      </w:pPr>
      <w:r>
        <w:rPr>
          <w:sz w:val="21"/>
        </w:rPr>
        <w:t>Before presenting, confirm these attribution strings are visible in the live UI:</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1F8049"/>
          </w:tcPr>
          <w:p>
            <w:pPr>
              <w:spacing w:after="40" w:before="40"/>
            </w:pPr>
            <w:r>
              <w:rPr>
                <w:b/>
                <w:color w:val="FFFFFF"/>
                <w:sz w:val="20"/>
              </w:rPr>
              <w:t>Item</w:t>
            </w:r>
          </w:p>
        </w:tc>
        <w:tc>
          <w:tcPr>
            <w:tcW w:type="dxa" w:w="2880"/>
            <w:shd w:val="clear" w:color="auto" w:fill="1F8049"/>
          </w:tcPr>
          <w:p>
            <w:pPr>
              <w:spacing w:after="40" w:before="40"/>
            </w:pPr>
            <w:r>
              <w:rPr>
                <w:b/>
                <w:color w:val="FFFFFF"/>
                <w:sz w:val="20"/>
              </w:rPr>
              <w:t>Required Text</w:t>
            </w:r>
          </w:p>
        </w:tc>
        <w:tc>
          <w:tcPr>
            <w:tcW w:type="dxa" w:w="3168"/>
            <w:shd w:val="clear" w:color="auto" w:fill="1F8049"/>
          </w:tcPr>
          <w:p>
            <w:pPr>
              <w:spacing w:after="40" w:before="40"/>
            </w:pPr>
            <w:r>
              <w:rPr>
                <w:b/>
                <w:color w:val="FFFFFF"/>
                <w:sz w:val="20"/>
              </w:rPr>
              <w:t>Location in UI</w:t>
            </w:r>
          </w:p>
        </w:tc>
        <w:tc>
          <w:tcPr>
            <w:tcW w:type="dxa" w:w="1584"/>
            <w:shd w:val="clear" w:color="auto" w:fill="1F8049"/>
          </w:tcPr>
          <w:p>
            <w:pPr>
              <w:spacing w:after="40" w:before="40"/>
            </w:pPr>
            <w:r>
              <w:rPr>
                <w:b/>
                <w:color w:val="FFFFFF"/>
                <w:sz w:val="20"/>
              </w:rPr>
              <w:t>Status</w:t>
            </w:r>
          </w:p>
        </w:tc>
      </w:tr>
      <w:tr>
        <w:tc>
          <w:tcPr>
            <w:tcW w:type="dxa" w:w="2304"/>
            <w:shd w:val="clear" w:color="auto" w:fill="F3F4F6"/>
          </w:tcPr>
          <w:p>
            <w:pPr>
              <w:spacing w:after="40" w:before="40"/>
            </w:pPr>
            <w:r>
              <w:rPr>
                <w:sz w:val="20"/>
              </w:rPr>
              <w:t>Open-Meteo credit</w:t>
            </w:r>
          </w:p>
        </w:tc>
        <w:tc>
          <w:tcPr>
            <w:tcW w:type="dxa" w:w="2880"/>
            <w:shd w:val="clear" w:color="auto" w:fill="F3F4F6"/>
          </w:tcPr>
          <w:p>
            <w:pPr>
              <w:spacing w:after="40" w:before="40"/>
            </w:pPr>
            <w:r>
              <w:rPr>
                <w:sz w:val="20"/>
              </w:rPr>
              <w:t>'Powered by Open-Meteo'</w:t>
            </w:r>
          </w:p>
        </w:tc>
        <w:tc>
          <w:tcPr>
            <w:tcW w:type="dxa" w:w="3168"/>
            <w:shd w:val="clear" w:color="auto" w:fill="F3F4F6"/>
          </w:tcPr>
          <w:p>
            <w:pPr>
              <w:spacing w:after="40" w:before="40"/>
            </w:pPr>
            <w:r>
              <w:rPr>
                <w:sz w:val="20"/>
              </w:rPr>
              <w:t>Weather panel footer</w:t>
            </w:r>
          </w:p>
        </w:tc>
        <w:tc>
          <w:tcPr>
            <w:tcW w:type="dxa" w:w="1584"/>
            <w:shd w:val="clear" w:color="auto" w:fill="F3F4F6"/>
          </w:tcPr>
          <w:p>
            <w:pPr>
              <w:spacing w:after="40" w:before="40"/>
            </w:pPr>
            <w:r>
              <w:rPr>
                <w:sz w:val="20"/>
              </w:rPr>
              <w:t>Confirm before pitch</w:t>
            </w:r>
          </w:p>
        </w:tc>
      </w:tr>
      <w:tr>
        <w:tc>
          <w:tcPr>
            <w:tcW w:type="dxa" w:w="2304"/>
            <w:shd w:val="clear" w:color="auto" w:fill="FFFFFF"/>
          </w:tcPr>
          <w:p>
            <w:pPr>
              <w:spacing w:after="40" w:before="40"/>
            </w:pPr>
            <w:r>
              <w:rPr>
                <w:sz w:val="20"/>
              </w:rPr>
              <w:t>PAGASA credit</w:t>
            </w:r>
          </w:p>
        </w:tc>
        <w:tc>
          <w:tcPr>
            <w:tcW w:type="dxa" w:w="2880"/>
            <w:shd w:val="clear" w:color="auto" w:fill="FFFFFF"/>
          </w:tcPr>
          <w:p>
            <w:pPr>
              <w:spacing w:after="40" w:before="40"/>
            </w:pPr>
            <w:r>
              <w:rPr>
                <w:sz w:val="20"/>
              </w:rPr>
              <w:t>'Source: PAGASA FFWS'</w:t>
            </w:r>
          </w:p>
        </w:tc>
        <w:tc>
          <w:tcPr>
            <w:tcW w:type="dxa" w:w="3168"/>
            <w:shd w:val="clear" w:color="auto" w:fill="FFFFFF"/>
          </w:tcPr>
          <w:p>
            <w:pPr>
              <w:spacing w:after="40" w:before="40"/>
            </w:pPr>
            <w:r>
              <w:rPr>
                <w:sz w:val="20"/>
              </w:rPr>
              <w:t>River-level widget label</w:t>
            </w:r>
          </w:p>
        </w:tc>
        <w:tc>
          <w:tcPr>
            <w:tcW w:type="dxa" w:w="1584"/>
            <w:shd w:val="clear" w:color="auto" w:fill="FFFFFF"/>
          </w:tcPr>
          <w:p>
            <w:pPr>
              <w:spacing w:after="40" w:before="40"/>
            </w:pPr>
            <w:r>
              <w:rPr>
                <w:sz w:val="20"/>
              </w:rPr>
              <w:t>Confirm before pitch</w:t>
            </w:r>
          </w:p>
        </w:tc>
      </w:tr>
      <w:tr>
        <w:tc>
          <w:tcPr>
            <w:tcW w:type="dxa" w:w="2304"/>
            <w:shd w:val="clear" w:color="auto" w:fill="F3F4F6"/>
          </w:tcPr>
          <w:p>
            <w:pPr>
              <w:spacing w:after="40" w:before="40"/>
            </w:pPr>
            <w:r>
              <w:rPr>
                <w:sz w:val="20"/>
              </w:rPr>
              <w:t>Project NOAH credit</w:t>
            </w:r>
          </w:p>
        </w:tc>
        <w:tc>
          <w:tcPr>
            <w:tcW w:type="dxa" w:w="2880"/>
            <w:shd w:val="clear" w:color="auto" w:fill="F3F4F6"/>
          </w:tcPr>
          <w:p>
            <w:pPr>
              <w:spacing w:after="40" w:before="40"/>
            </w:pPr>
            <w:r>
              <w:rPr>
                <w:sz w:val="20"/>
              </w:rPr>
              <w:t>'Project NOAH / DOST-DREAM'</w:t>
            </w:r>
          </w:p>
        </w:tc>
        <w:tc>
          <w:tcPr>
            <w:tcW w:type="dxa" w:w="3168"/>
            <w:shd w:val="clear" w:color="auto" w:fill="F3F4F6"/>
          </w:tcPr>
          <w:p>
            <w:pPr>
              <w:spacing w:after="40" w:before="40"/>
            </w:pPr>
            <w:r>
              <w:rPr>
                <w:sz w:val="20"/>
              </w:rPr>
              <w:t>Hazard map footer and About page</w:t>
            </w:r>
          </w:p>
        </w:tc>
        <w:tc>
          <w:tcPr>
            <w:tcW w:type="dxa" w:w="1584"/>
            <w:shd w:val="clear" w:color="auto" w:fill="F3F4F6"/>
          </w:tcPr>
          <w:p>
            <w:pPr>
              <w:spacing w:after="40" w:before="40"/>
            </w:pPr>
            <w:r>
              <w:rPr>
                <w:sz w:val="20"/>
              </w:rPr>
              <w:t>Confirm before pitch — legally binding</w:t>
            </w:r>
          </w:p>
        </w:tc>
      </w:tr>
      <w:tr>
        <w:tc>
          <w:tcPr>
            <w:tcW w:type="dxa" w:w="2304"/>
            <w:shd w:val="clear" w:color="auto" w:fill="FFFFFF"/>
          </w:tcPr>
          <w:p>
            <w:pPr>
              <w:spacing w:after="40" w:before="40"/>
            </w:pPr>
            <w:r>
              <w:rPr>
                <w:sz w:val="20"/>
              </w:rPr>
              <w:t>OSM credit</w:t>
            </w:r>
          </w:p>
        </w:tc>
        <w:tc>
          <w:tcPr>
            <w:tcW w:type="dxa" w:w="2880"/>
            <w:shd w:val="clear" w:color="auto" w:fill="FFFFFF"/>
          </w:tcPr>
          <w:p>
            <w:pPr>
              <w:spacing w:after="40" w:before="40"/>
            </w:pPr>
            <w:r>
              <w:rPr>
                <w:sz w:val="20"/>
              </w:rPr>
              <w:t>'© OpenStreetMap contributors'</w:t>
            </w:r>
          </w:p>
        </w:tc>
        <w:tc>
          <w:tcPr>
            <w:tcW w:type="dxa" w:w="3168"/>
            <w:shd w:val="clear" w:color="auto" w:fill="FFFFFF"/>
          </w:tcPr>
          <w:p>
            <w:pPr>
              <w:spacing w:after="40" w:before="40"/>
            </w:pPr>
            <w:r>
              <w:rPr>
                <w:sz w:val="20"/>
              </w:rPr>
              <w:t>Leaflet attribution control (bottom-right of map)</w:t>
            </w:r>
          </w:p>
        </w:tc>
        <w:tc>
          <w:tcPr>
            <w:tcW w:type="dxa" w:w="1584"/>
            <w:shd w:val="clear" w:color="auto" w:fill="FFFFFF"/>
          </w:tcPr>
          <w:p>
            <w:pPr>
              <w:spacing w:after="40" w:before="40"/>
            </w:pPr>
            <w:r>
              <w:rPr>
                <w:sz w:val="20"/>
              </w:rPr>
              <w:t>Confirm before pitch — legally binding</w:t>
            </w:r>
          </w:p>
        </w:tc>
      </w:tr>
    </w:tbl>
    <w:p/>
    <w:p>
      <w:pPr>
        <w:spacing w:after="80"/>
      </w:pPr>
      <w:r>
        <w:rPr>
          <w:sz w:val="21"/>
        </w:rPr>
        <w:t>The two legally binding attributions are Project NOAH (ODbL) and OpenStreetMap (ODbL). The Leaflet attribution control renders '© OpenStreetMap contributors' automatically when the tile URL is configured correctly. The NOAH credit must be added explicitly to the map footer component.</w:t>
      </w:r>
    </w:p>
    <w:p/>
    <w:p>
      <w:pPr>
        <w:spacing w:before="240" w:after="40"/>
      </w:pPr>
      <w:r>
        <w:rPr>
          <w:i/>
          <w:color w:val="4B5563"/>
          <w:sz w:val="18"/>
        </w:rPr>
        <w:t>References: docs/tech_stack.md §6–7, docs/architecture.md §2 §8 §11, docs/frs_nfrs.md FR-WX-003/007/008–011, FR-REG-003/043, FR-SYS-012/013, NFR-LGL-001/002, NFR-DAT-005/007, dataset/README.md  |  External: ODC-ODbL 1.0 · OSM Tile Usage Policy · Open-Meteo Terms · RA 10173 (Data Privacy 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