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jc w:val="lef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firstLine="0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0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Acta de constitución - Proyecto</w:t>
        <w:br w:type="textWrapping"/>
        <w:t xml:space="preserve">“FinaWise”</w:t>
      </w: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360" w:firstLine="0"/>
        <w:jc w:val="right"/>
        <w:rPr>
          <w:b w:val="1"/>
          <w:i w:val="1"/>
          <w:color w:val="4bacc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Fecha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: </w:t>
      </w:r>
      <w:r w:rsidDel="00000000" w:rsidR="00000000" w:rsidRPr="00000000">
        <w:rPr>
          <w:b w:val="1"/>
          <w:i w:val="1"/>
          <w:color w:val="4bacc6"/>
          <w:sz w:val="36"/>
          <w:szCs w:val="36"/>
          <w:rtl w:val="0"/>
        </w:rPr>
        <w:t xml:space="preserve">28/08/2024</w:t>
      </w:r>
    </w:p>
    <w:p w:rsidR="00000000" w:rsidDel="00000000" w:rsidP="00000000" w:rsidRDefault="00000000" w:rsidRPr="00000000" w14:paraId="0000000A">
      <w:pPr>
        <w:spacing w:after="0" w:line="240" w:lineRule="auto"/>
        <w:ind w:firstLine="0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Nombres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Miguel Jara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Matias Muñoz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Cristián Rodríguez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Joanna Mellado</w:t>
      </w:r>
    </w:p>
    <w:p w:rsidR="00000000" w:rsidDel="00000000" w:rsidP="00000000" w:rsidRDefault="00000000" w:rsidRPr="00000000" w14:paraId="00000015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Ingeniería en Informática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Jhon Paul Barril Arenas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0" w:hanging="2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ind w:left="0" w:hanging="2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FinaWise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(Desarrollo de una aplicación web de gestión financiera)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ind w:left="0" w:hanging="2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ind w:left="0" w:hanging="2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Usuarios interesados en la gestión de finanzas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26">
            <w:pPr>
              <w:ind w:hanging="2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Patrocinador/a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Miguel Jara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Matias Muñoz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Cristián Rodríguez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Joanna Mellado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ind w:left="0" w:hanging="2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Gerentes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Miguel Jara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Matias Muñoz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Cristián Rodríguez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Joanna Mellado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1257.890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proyecto busca aumentar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 probabilidad de que las familias puedan financiar sus gastos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dado que en la última Encuesta de Presupuestos Familiares (EPF) realizado por el INE para el periodo 2022-2023 sobre ingresos y gastos de los chilenos, se ha visto que en promedio los hogares gastan más de lo que ganan. </w:t>
            </w:r>
          </w:p>
          <w:p w:rsidR="00000000" w:rsidDel="00000000" w:rsidP="00000000" w:rsidRDefault="00000000" w:rsidRPr="00000000" w14:paraId="00000032">
            <w:pPr>
              <w:ind w:hanging="2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280" w:before="280" w:line="240" w:lineRule="auto"/>
        <w:ind w:left="-1.9999999999999998" w:firstLine="0"/>
        <w:rPr>
          <w:b w:val="1"/>
          <w:color w:val="005693"/>
          <w:sz w:val="32"/>
          <w:szCs w:val="32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color w:val="005693"/>
          <w:sz w:val="32"/>
          <w:szCs w:val="32"/>
          <w:rtl w:val="0"/>
        </w:rPr>
        <w:t xml:space="preserve">Estrategia del proyecto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5">
            <w:pPr>
              <w:ind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lograrlo,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recolectaremos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 manera sistemática los datos de ingresos y gastos de los usuarios, solicitándoles que ingresen esta información periódicamente. Presentando estos datos de manera clara y visual, utilizando gráficos sencillos que permitirán a los usuarios comprender fácilmente su balance financiero.</w:t>
            </w:r>
          </w:p>
          <w:p w:rsidR="00000000" w:rsidDel="00000000" w:rsidP="00000000" w:rsidRDefault="00000000" w:rsidRPr="00000000" w14:paraId="00000036">
            <w:pPr>
              <w:ind w:hanging="2"/>
              <w:rPr>
                <w:color w:val="ea999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7hs2bx8b150n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</w:t>
      </w:r>
    </w:p>
    <w:tbl>
      <w:tblPr>
        <w:tblStyle w:val="Table4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5"/>
        <w:gridCol w:w="6315"/>
        <w:tblGridChange w:id="0">
          <w:tblGrid>
            <w:gridCol w:w="2535"/>
            <w:gridCol w:w="6315"/>
          </w:tblGrid>
        </w:tblGridChange>
      </w:tblGrid>
      <w:tr>
        <w:trPr>
          <w:cantSplit w:val="0"/>
          <w:trHeight w:val="1410" w:hRule="atLeast"/>
          <w:tblHeader w:val="1"/>
        </w:trPr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FinaWise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 una plataforma web de gestión financiera diseñada para ayudar a los usuarios a controlar sus finanzas personales de manera eficiente y efectiva. La aplicación permitirá a los usuarios registrar y monitorear sus ingresos y gastos, categorizar transacciones, gestionar presupuestos, y generar reportes financieros personalizados. El objetivo principal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FinaWise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 proporcionar una herramienta integral que permita a los usuarios tomar decisiones financieras informadas, mejorar su salud financiera y alcanzar sus objetivos económicos a largo plazo.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003f6c" w:val="clear"/>
          </w:tcPr>
          <w:p w:rsidR="00000000" w:rsidDel="00000000" w:rsidP="00000000" w:rsidRDefault="00000000" w:rsidRPr="00000000" w14:paraId="0000003C">
            <w:pPr>
              <w:ind w:hanging="2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Entregables: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003f6c" w:val="clear"/>
          </w:tcPr>
          <w:p w:rsidR="00000000" w:rsidDel="00000000" w:rsidP="00000000" w:rsidRDefault="00000000" w:rsidRPr="00000000" w14:paraId="0000003E">
            <w:pPr>
              <w:ind w:hanging="2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Acta de constitución</w:t>
              <w:br w:type="textWrapping"/>
              <w:t xml:space="preserve">Product backlog</w:t>
            </w:r>
          </w:p>
          <w:p w:rsidR="00000000" w:rsidDel="00000000" w:rsidP="00000000" w:rsidRDefault="00000000" w:rsidRPr="00000000" w14:paraId="0000003F">
            <w:pPr>
              <w:ind w:hanging="2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Product backlog priorizado</w:t>
            </w:r>
          </w:p>
          <w:p w:rsidR="00000000" w:rsidDel="00000000" w:rsidP="00000000" w:rsidRDefault="00000000" w:rsidRPr="00000000" w14:paraId="00000040">
            <w:pPr>
              <w:ind w:hanging="2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Historias de usuario</w:t>
            </w:r>
          </w:p>
          <w:p w:rsidR="00000000" w:rsidDel="00000000" w:rsidP="00000000" w:rsidRDefault="00000000" w:rsidRPr="00000000" w14:paraId="00000041">
            <w:pPr>
              <w:ind w:hanging="2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Sprint Planning</w:t>
            </w:r>
          </w:p>
          <w:p w:rsidR="00000000" w:rsidDel="00000000" w:rsidP="00000000" w:rsidRDefault="00000000" w:rsidRPr="00000000" w14:paraId="00000042">
            <w:pPr>
              <w:ind w:hanging="2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Diagrama de Arquitectura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/>
      </w:pPr>
      <w:bookmarkStart w:colFirst="0" w:colLast="0" w:name="_heading=h.u2xnwir3ottz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32.5"/>
        <w:gridCol w:w="4432.5"/>
        <w:tblGridChange w:id="0">
          <w:tblGrid>
            <w:gridCol w:w="4432.5"/>
            <w:gridCol w:w="4432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ffe599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ind w:hanging="2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Proyecto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hanging="2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Desarrollo de una aplicación web de gestión financiera</w:t>
            </w:r>
          </w:p>
        </w:tc>
      </w:tr>
      <w:tr>
        <w:trPr>
          <w:cantSplit w:val="0"/>
          <w:trHeight w:val="280.95703125" w:hRule="atLeast"/>
          <w:tblHeader w:val="0"/>
        </w:trPr>
        <w:tc>
          <w:tcPr>
            <w:tcBorders>
              <w:top w:color="ffe599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9daf8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9daf8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 de éxito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ind w:hanging="2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Proporcionar una plataforma integral para el orden y la gestión financiera personal, que sea intuitiva, accesible y eficiente.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ind w:hanging="2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espera que al menos el 90% de los usuarios que utilicen la plataforma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reportan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una mejora en la gestión de sus finanzas personales dentro de los primeros seis meses de uso.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32.5"/>
        <w:gridCol w:w="4432.5"/>
        <w:tblGridChange w:id="0">
          <w:tblGrid>
            <w:gridCol w:w="4432.5"/>
            <w:gridCol w:w="4432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ffe599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ind w:hanging="2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Proyecto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ind w:hanging="2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Infraestructura Cloud</w:t>
            </w:r>
          </w:p>
        </w:tc>
      </w:tr>
      <w:tr>
        <w:trPr>
          <w:cantSplit w:val="0"/>
          <w:trHeight w:val="280.95703125" w:hRule="atLeast"/>
          <w:tblHeader w:val="0"/>
        </w:trPr>
        <w:tc>
          <w:tcPr>
            <w:tcBorders>
              <w:top w:color="ffe599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9daf8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9daf8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 de éxito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ind w:hanging="2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Generar una mejora en la gestión monetaria de las personas (a través de informes mensuales)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3">
            <w:pPr>
              <w:ind w:hanging="2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espera que las personas logren una mejora de al menos un 5% de aumento en sus ahorros en base al uso de la app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32.5"/>
        <w:gridCol w:w="4432.5"/>
        <w:tblGridChange w:id="0">
          <w:tblGrid>
            <w:gridCol w:w="4432.5"/>
            <w:gridCol w:w="4432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ffe599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5">
            <w:pPr>
              <w:ind w:hanging="2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Proyecto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6">
            <w:pPr>
              <w:ind w:hanging="2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Infraestructura Cloud</w:t>
            </w:r>
          </w:p>
        </w:tc>
      </w:tr>
      <w:tr>
        <w:trPr>
          <w:cantSplit w:val="0"/>
          <w:trHeight w:val="280.95703125" w:hRule="atLeast"/>
          <w:tblHeader w:val="0"/>
        </w:trPr>
        <w:tc>
          <w:tcPr>
            <w:tcBorders>
              <w:top w:color="ffe599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9daf8" w:val="clear"/>
          </w:tcPr>
          <w:p w:rsidR="00000000" w:rsidDel="00000000" w:rsidP="00000000" w:rsidRDefault="00000000" w:rsidRPr="00000000" w14:paraId="00000057">
            <w:pPr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9daf8" w:val="clear"/>
          </w:tcPr>
          <w:p w:rsidR="00000000" w:rsidDel="00000000" w:rsidP="00000000" w:rsidRDefault="00000000" w:rsidRPr="00000000" w14:paraId="00000058">
            <w:pPr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 de éxito</w:t>
            </w:r>
          </w:p>
          <w:p w:rsidR="00000000" w:rsidDel="00000000" w:rsidP="00000000" w:rsidRDefault="00000000" w:rsidRPr="00000000" w14:paraId="00000059">
            <w:pPr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A">
            <w:pPr>
              <w:ind w:hanging="2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Generar un ahorro controlado del usuario que no afecte de gran manera en su sueldo mensual y sus demás gastos.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B">
            <w:pPr>
              <w:ind w:hanging="2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espera que las metas/ahorros que el usuario cree se cumplan en un 90% de los casos.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8"/>
            <w:tblW w:w="886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4432.5"/>
            <w:gridCol w:w="4432.5"/>
            <w:tblGridChange w:id="0">
              <w:tblGrid>
                <w:gridCol w:w="4432.5"/>
                <w:gridCol w:w="4432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3f6c" w:space="0" w:sz="4" w:val="single"/>
                  <w:left w:color="003f6c" w:space="0" w:sz="4" w:val="single"/>
                  <w:bottom w:color="ffe599" w:space="0" w:sz="4" w:val="single"/>
                  <w:right w:color="003f6c" w:space="0" w:sz="4" w:val="single"/>
                </w:tcBorders>
                <w:shd w:fill="003f6c" w:val="clear"/>
              </w:tcPr>
              <w:p w:rsidR="00000000" w:rsidDel="00000000" w:rsidP="00000000" w:rsidRDefault="00000000" w:rsidRPr="00000000" w14:paraId="0000005D">
                <w:pPr>
                  <w:ind w:hanging="2"/>
                  <w:jc w:val="center"/>
                  <w:rPr>
                    <w:b w:val="1"/>
                    <w:color w:val="ffffff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6"/>
                    <w:szCs w:val="26"/>
                    <w:rtl w:val="0"/>
                  </w:rPr>
                  <w:t xml:space="preserve">Proyecto</w:t>
                </w:r>
              </w:p>
            </w:tc>
            <w:tc>
              <w:tcPr>
                <w:tcBorders>
                  <w:top w:color="003f6c" w:space="0" w:sz="4" w:val="single"/>
                  <w:left w:color="003f6c" w:space="0" w:sz="4" w:val="single"/>
                  <w:bottom w:color="003f6c" w:space="0" w:sz="4" w:val="single"/>
                  <w:right w:color="003f6c" w:space="0" w:sz="4" w:val="single"/>
                </w:tcBorders>
                <w:shd w:fill="003f6c" w:val="clear"/>
              </w:tcPr>
              <w:p w:rsidR="00000000" w:rsidDel="00000000" w:rsidP="00000000" w:rsidRDefault="00000000" w:rsidRPr="00000000" w14:paraId="0000005E">
                <w:pPr>
                  <w:ind w:hanging="2"/>
                  <w:jc w:val="center"/>
                  <w:rPr>
                    <w:b w:val="1"/>
                    <w:color w:val="ffffff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6"/>
                    <w:szCs w:val="26"/>
                    <w:rtl w:val="0"/>
                  </w:rPr>
                  <w:t xml:space="preserve">Finawise</w:t>
                </w:r>
              </w:p>
            </w:tc>
          </w:tr>
          <w:tr>
            <w:trPr>
              <w:cantSplit w:val="0"/>
              <w:trHeight w:val="280.95703125" w:hRule="atLeast"/>
              <w:tblHeader w:val="0"/>
            </w:trPr>
            <w:tc>
              <w:tcPr>
                <w:tcBorders>
                  <w:top w:color="ffe599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  <w:shd w:fill="c9daf8" w:val="clear"/>
              </w:tcPr>
              <w:p w:rsidR="00000000" w:rsidDel="00000000" w:rsidP="00000000" w:rsidRDefault="00000000" w:rsidRPr="00000000" w14:paraId="0000005F">
                <w:pPr>
                  <w:ind w:hanging="2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tcBorders>
                  <w:top w:color="003f6c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  <w:shd w:fill="c9daf8" w:val="clear"/>
              </w:tcPr>
              <w:p w:rsidR="00000000" w:rsidDel="00000000" w:rsidP="00000000" w:rsidRDefault="00000000" w:rsidRPr="00000000" w14:paraId="00000060">
                <w:pPr>
                  <w:ind w:hanging="2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Indicador de éxito</w:t>
                </w:r>
              </w:p>
              <w:p w:rsidR="00000000" w:rsidDel="00000000" w:rsidP="00000000" w:rsidRDefault="00000000" w:rsidRPr="00000000" w14:paraId="00000061">
                <w:pPr>
                  <w:ind w:hanging="2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62">
                <w:pPr>
                  <w:ind w:hanging="2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Ayudar en la identificación de “ventanas de ahorro” gracias a la clasificación de gastos e ingresos según un determinado periodo de tiempo, permitiendo a los usuarios tomar decisiones informadas respecto a cómo abordan sus gastos.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63">
                <w:pPr>
                  <w:ind w:hanging="2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espera que los usuarios puedan identificar aquellos gastos que pueden ser descartables, logrando un ahorro desde el 1% al 50% con respecto a un periodo de tiempo anterior.</w:t>
                </w:r>
              </w:p>
            </w:tc>
          </w:tr>
        </w:tbl>
      </w:sdtContent>
    </w:sdt>
    <w:p w:rsidR="00000000" w:rsidDel="00000000" w:rsidP="00000000" w:rsidRDefault="00000000" w:rsidRPr="00000000" w14:paraId="00000064">
      <w:pPr>
        <w:rPr>
          <w:b w:val="1"/>
          <w:color w:val="00569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985.0" w:type="dxa"/>
        <w:jc w:val="left"/>
        <w:tblInd w:w="-1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5"/>
        <w:gridCol w:w="6030"/>
        <w:tblGridChange w:id="0">
          <w:tblGrid>
            <w:gridCol w:w="5955"/>
            <w:gridCol w:w="60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3f6c" w:val="clea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Iteración 1: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Semanas 1-2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8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Elaboración de documentación y presentación del proyecto.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Iteración 2: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Semanas 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B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Análisis y diseño del sistema.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Iteración 3: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Semanas 5-6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F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la estructura básica y módulos principales.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Iteración 4: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Semanas 7-8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1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 funcionalidades avanzadas.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3">
            <w:pPr>
              <w:ind w:hanging="2"/>
              <w:rPr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Iteración 5: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Semanas 9-10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4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Pruebas y ajustes finales.</w:t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3f6c" w:val="clea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                                                                                  Costo por sueldo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(sueldo proporcional por 2 semanas)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2.841796875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7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Elaboración de documentación y presentación del proyecto.</w:t>
            </w:r>
          </w:p>
          <w:p w:rsidR="00000000" w:rsidDel="00000000" w:rsidP="00000000" w:rsidRDefault="00000000" w:rsidRPr="00000000" w14:paraId="00000078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9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Miguel: $1,000,000 CLP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Matías: $900,000 CLP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Cristián: $750,000 CLP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Joanna: $850,000 CLP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Jhon Paul: $1,250,000 CLP</w:t>
            </w:r>
          </w:p>
          <w:p w:rsidR="00000000" w:rsidDel="00000000" w:rsidP="00000000" w:rsidRDefault="00000000" w:rsidRPr="00000000" w14:paraId="0000007F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 Total: $4,750,000 CLP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.957031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1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Análisis y diseño del sistema.</w:t>
            </w:r>
          </w:p>
          <w:p w:rsidR="00000000" w:rsidDel="00000000" w:rsidP="00000000" w:rsidRDefault="00000000" w:rsidRPr="00000000" w14:paraId="00000082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3">
            <w:pPr>
              <w:ind w:hanging="2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Miguel: $1,000,000 CLP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Matías: $900,000 CLP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Cristián: $750,000 CLP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Joanna: $850,000 CLP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Jhon Paul: $1,250,000 CLP</w:t>
            </w:r>
          </w:p>
          <w:p w:rsidR="00000000" w:rsidDel="00000000" w:rsidP="00000000" w:rsidRDefault="00000000" w:rsidRPr="00000000" w14:paraId="00000089">
            <w:pPr>
              <w:ind w:hanging="2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Costo Total: $4,750,000 CLP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.957031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B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la estructura básica y módulos principales.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C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Miguel: $1,000,000 CLP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Matías: $900,000 CLP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Cristián: $750,000 CLP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Joanna: $850,000 CLP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Jhon Paul: $1,250,000 CLP</w:t>
            </w:r>
          </w:p>
          <w:p w:rsidR="00000000" w:rsidDel="00000000" w:rsidP="00000000" w:rsidRDefault="00000000" w:rsidRPr="00000000" w14:paraId="00000091">
            <w:pPr>
              <w:ind w:hanging="2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Costo Total: $4,750,000 CLP</w:t>
            </w:r>
          </w:p>
        </w:tc>
      </w:tr>
      <w:tr>
        <w:trPr>
          <w:cantSplit w:val="0"/>
          <w:trHeight w:val="205.957031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2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 funcionalidades avanzadas.</w:t>
            </w:r>
          </w:p>
          <w:p w:rsidR="00000000" w:rsidDel="00000000" w:rsidP="00000000" w:rsidRDefault="00000000" w:rsidRPr="00000000" w14:paraId="00000093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4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Miguel: $1,000,000 CLP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Matías: $900,000 CLP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Cristián: $750,000 CLP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Joanna: $850,000 CLP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Jhon Paul: $1,250,000 CLP</w:t>
            </w:r>
          </w:p>
          <w:p w:rsidR="00000000" w:rsidDel="00000000" w:rsidP="00000000" w:rsidRDefault="00000000" w:rsidRPr="00000000" w14:paraId="00000099">
            <w:pPr>
              <w:ind w:hanging="2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Costo Total: $4,750,000 CLP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A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Pruebas y ajustes finales.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B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Miguel: $1,000,000 CLP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Matías: $900,000 CLP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Cristián: $750,000 CLP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Joanna: $850,000 CLP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Jhon Paul: $1,250,000 CLP</w:t>
            </w:r>
          </w:p>
          <w:p w:rsidR="00000000" w:rsidDel="00000000" w:rsidP="00000000" w:rsidRDefault="00000000" w:rsidRPr="00000000" w14:paraId="000000A0">
            <w:pPr>
              <w:ind w:hanging="2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Costo Total: $4,750,000 CLP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1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$23,750,000 CLP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3f6c" w:val="clea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005693" w:val="clea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FinaWise</w:t>
            </w: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: 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6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Mantenibilidad: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será diseñada para ser mantenible, permitiendo actualizaciones y cambios sin interrupciones significativas en el servicio. Se establecerán procesos de mantenimiento regulares para asegurar que la plataforma permanezca actualizada con las últimas tecnologías y necesidades de los usuarios.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Disponibilidad: 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FinaWise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estará disponible en todo momento, con un tiempo de inactividad planificado mínimo para tareas de mantenimiento. Se garantizará un tiempo de disponibilidad superior al 90%, asegurando que los usuarios puedan acceder a la aplicación cuando lo necesiten.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Confiabilidad: 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funcionará de manera constante y se espera que esté libre de errores durante largos periodos. Se implementarán pruebas exhaustivas para asegurar la robustez del sistema bajo diversas condiciones de uso, y se contará con mecanismos de recuperación en caso de fallos.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Integridad: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datos financieros serán seguros y protegidos contra alteraciones o eliminaciones no autorizadas.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Seguridad: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implementarán medidas avanzadas como autenticación de 2 pasos para proteger la información sensible.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Funcionalidad: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Cumplirá con todos los requisitos de los usuarios, incluyendo la gestión de finanzas y generación de reportes.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b w:val="1"/>
          <w:color w:val="005693"/>
          <w:sz w:val="32"/>
          <w:szCs w:val="32"/>
        </w:rPr>
      </w:pPr>
      <w:bookmarkStart w:colFirst="0" w:colLast="0" w:name="_heading=h.feongr5ewpw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xl2bkyyil928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br w:type="textWrapping"/>
        <w:t xml:space="preserve">Riesgos iniciales de alto nivel</w:t>
      </w:r>
    </w:p>
    <w:tbl>
      <w:tblPr>
        <w:tblStyle w:val="Table10"/>
        <w:tblW w:w="8852.727195976195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6.363614373956"/>
        <w:gridCol w:w="6316.363581602238"/>
        <w:tblGridChange w:id="0">
          <w:tblGrid>
            <w:gridCol w:w="2536.363614373956"/>
            <w:gridCol w:w="6316.363581602238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 manera general un riesgo sería el Incumplimiento de Plazos ya que existe la posibilidad de que los plazos del proyecto no se cumplan debido a problemas en la planificación, desarrollo o pruebas, lo que podría retrasar la implementación de las nuevas plataformas y afectar la estrategia de expansión.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003f6c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ind w:hanging="2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Proyecto:</w:t>
            </w:r>
          </w:p>
        </w:tc>
      </w:tr>
      <w:tr>
        <w:trPr>
          <w:cantSplit w:val="0"/>
          <w:trHeight w:val="63.24462890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005693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ind w:hanging="2"/>
              <w:jc w:val="both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FinaWise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2">
            <w:pPr>
              <w:ind w:left="72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Incumplimiento de Plazos:</w:t>
              <w:br w:type="textWrapping"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Posibilidad de retrasos en el cronograma debido a problemas en la planificación, desarrollo o pruebas.</w:t>
            </w:r>
          </w:p>
          <w:p w:rsidR="00000000" w:rsidDel="00000000" w:rsidP="00000000" w:rsidRDefault="00000000" w:rsidRPr="00000000" w14:paraId="000000C3">
            <w:pPr>
              <w:ind w:left="72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Escalabilidad Inadecuada de la Infraestructura:</w:t>
              <w:br w:type="textWrapping"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Riesgo de que la infraestructura en la nube no soporte un aumento repentino en la carga de trabajo, afectando el rendimiento del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e5j9ugcld3ky" w:id="8"/>
      <w:bookmarkEnd w:id="8"/>
      <w:r w:rsidDel="00000000" w:rsidR="00000000" w:rsidRPr="00000000">
        <w:rPr>
          <w:b w:val="1"/>
          <w:color w:val="005693"/>
          <w:sz w:val="28"/>
          <w:szCs w:val="28"/>
          <w:rtl w:val="0"/>
        </w:rPr>
        <w:t xml:space="preserve">FinaWise</w:t>
      </w:r>
      <w:r w:rsidDel="00000000" w:rsidR="00000000" w:rsidRPr="00000000">
        <w:rPr>
          <w:rtl w:val="0"/>
        </w:rPr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ind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ind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8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Elaboración de documentación y presentación del proyecto.</w:t>
            </w:r>
          </w:p>
          <w:p w:rsidR="00000000" w:rsidDel="00000000" w:rsidP="00000000" w:rsidRDefault="00000000" w:rsidRPr="00000000" w14:paraId="000000C9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ind w:hanging="2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semanas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B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Análisis y diseño del sistema.</w:t>
            </w:r>
          </w:p>
          <w:p w:rsidR="00000000" w:rsidDel="00000000" w:rsidP="00000000" w:rsidRDefault="00000000" w:rsidRPr="00000000" w14:paraId="000000CC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ind w:hanging="2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semanas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E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la estructura básica y módulos principales.</w:t>
            </w:r>
          </w:p>
          <w:p w:rsidR="00000000" w:rsidDel="00000000" w:rsidP="00000000" w:rsidRDefault="00000000" w:rsidRPr="00000000" w14:paraId="000000CF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ind w:hanging="2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semanas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1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 funcionalidades avanzadas.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2">
            <w:pPr>
              <w:ind w:hanging="2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semanas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ind w:hanging="2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4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Pruebas y ajustes finales.</w:t>
            </w:r>
          </w:p>
          <w:p w:rsidR="00000000" w:rsidDel="00000000" w:rsidP="00000000" w:rsidRDefault="00000000" w:rsidRPr="00000000" w14:paraId="000000D5">
            <w:pPr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6">
            <w:pPr>
              <w:ind w:hanging="2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semanas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ind w:hanging="2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b w:val="1"/>
          <w:color w:val="005693"/>
          <w:sz w:val="28"/>
          <w:szCs w:val="28"/>
        </w:rPr>
      </w:pPr>
      <w:bookmarkStart w:colFirst="0" w:colLast="0" w:name="_heading=h.oyecdu6x620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Presupuesto inicial asignado</w:t>
      </w:r>
      <w:r w:rsidDel="00000000" w:rsidR="00000000" w:rsidRPr="00000000">
        <w:rPr>
          <w:rtl w:val="0"/>
        </w:rPr>
      </w:r>
    </w:p>
    <w:tbl>
      <w:tblPr>
        <w:tblStyle w:val="Table12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5"/>
        <w:gridCol w:w="6315"/>
        <w:tblGridChange w:id="0">
          <w:tblGrid>
            <w:gridCol w:w="2535"/>
            <w:gridCol w:w="631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003f6c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ind w:hanging="2"/>
              <w:jc w:val="both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Presupuesto de los módulos:</w:t>
            </w:r>
          </w:p>
        </w:tc>
      </w:tr>
      <w:tr>
        <w:trPr>
          <w:cantSplit w:val="0"/>
          <w:trHeight w:val="63.24462890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005693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ind w:hanging="2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FinaWise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D">
            <w:pPr>
              <w:pStyle w:val="Heading3"/>
              <w:keepNext w:val="0"/>
              <w:spacing w:after="80" w:before="28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foc1s1jo2inv" w:id="11"/>
            <w:bookmarkEnd w:id="1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Costo por Fase (duración de 2 semanas por fase):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Elaboración de documentación y presentación del proyecto:</w:t>
            </w:r>
          </w:p>
          <w:p w:rsidR="00000000" w:rsidDel="00000000" w:rsidP="00000000" w:rsidRDefault="00000000" w:rsidRPr="00000000" w14:paraId="000000DF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 Total: $4,750,000 CLP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Análisis y diseño del sistema:</w:t>
            </w:r>
          </w:p>
          <w:p w:rsidR="00000000" w:rsidDel="00000000" w:rsidP="00000000" w:rsidRDefault="00000000" w:rsidRPr="00000000" w14:paraId="000000E1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 Total: $4,750,000 CLP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la estructura básica y módulos principales:</w:t>
            </w:r>
          </w:p>
          <w:p w:rsidR="00000000" w:rsidDel="00000000" w:rsidP="00000000" w:rsidRDefault="00000000" w:rsidRPr="00000000" w14:paraId="000000E3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 Total: $4,750,000 CLP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 funcionalidades avanzadas:</w:t>
            </w:r>
          </w:p>
          <w:p w:rsidR="00000000" w:rsidDel="00000000" w:rsidP="00000000" w:rsidRDefault="00000000" w:rsidRPr="00000000" w14:paraId="000000E5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 Total: $4,750,000 CLP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Pruebas y ajustes finales:</w:t>
            </w:r>
          </w:p>
          <w:p w:rsidR="00000000" w:rsidDel="00000000" w:rsidP="00000000" w:rsidRDefault="00000000" w:rsidRPr="00000000" w14:paraId="000000E7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 Total: $4,750,000 CLP</w:t>
            </w:r>
          </w:p>
          <w:p w:rsidR="00000000" w:rsidDel="00000000" w:rsidP="00000000" w:rsidRDefault="00000000" w:rsidRPr="00000000" w14:paraId="000000E8">
            <w:pPr>
              <w:pStyle w:val="Heading3"/>
              <w:keepNext w:val="0"/>
              <w:spacing w:after="80" w:before="28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unpvlvs531hm" w:id="12"/>
            <w:bookmarkEnd w:id="12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Costo Total del Proyecto: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Suma de todas las fases: $4,750,000 CLP * 5 = $23,750,000 CLP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Lista de Interesados (stakeholders)</w:t>
      </w: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-5.999999999999659" w:tblpY="0"/>
        <w:tblW w:w="88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5"/>
        <w:gridCol w:w="2565"/>
        <w:gridCol w:w="3435"/>
        <w:tblGridChange w:id="0">
          <w:tblGrid>
            <w:gridCol w:w="2805"/>
            <w:gridCol w:w="2565"/>
            <w:gridCol w:w="343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ind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ind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ind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Proyectos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Miguel Jara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Estudiante de informática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FinaWise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Matías Muñoz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Estudiante de informática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FinaWise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Cristian Rodriguez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Estudiante de informática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FinaWise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Joanna Mellado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Estudiante de informática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FinaWise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after="0" w:line="240" w:lineRule="auto"/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Jhon Paul Barril Arenas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Profesor de informática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Asesor en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FinaWise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Asignación del gerente de proyecto y nivel de autoridad</w:t>
      </w:r>
      <w:r w:rsidDel="00000000" w:rsidR="00000000" w:rsidRPr="00000000">
        <w:rPr>
          <w:rtl w:val="0"/>
        </w:rPr>
      </w:r>
    </w:p>
    <w:tbl>
      <w:tblPr>
        <w:tblStyle w:val="Table14"/>
        <w:tblW w:w="87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2415"/>
        <w:gridCol w:w="3420"/>
        <w:tblGridChange w:id="0">
          <w:tblGrid>
            <w:gridCol w:w="2910"/>
            <w:gridCol w:w="2415"/>
            <w:gridCol w:w="3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Proyectos</w:t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1">
            <w:pPr>
              <w:spacing w:after="0" w:line="240" w:lineRule="auto"/>
              <w:ind w:left="0"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Miguel Jara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Estudiante de informática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3">
            <w:pPr>
              <w:spacing w:after="0" w:line="240" w:lineRule="auto"/>
              <w:ind w:left="0"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FinaWise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4">
            <w:pPr>
              <w:spacing w:after="0" w:line="240" w:lineRule="auto"/>
              <w:ind w:left="0"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Matias Muñoz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ind w:left="0"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Estudiante de informática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7">
            <w:pPr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FinaWise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8">
            <w:pPr>
              <w:spacing w:after="0" w:line="240" w:lineRule="auto"/>
              <w:ind w:left="0"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Cristian Rodriguez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ind w:left="0"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Estudiante de informática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B">
            <w:pPr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FinaWise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0" w:line="240" w:lineRule="auto"/>
              <w:ind w:left="0"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Johana Mellado</w:t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ind w:left="0"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Estudiante de informática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F">
            <w:pPr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FinaWise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0">
            <w:pPr>
              <w:spacing w:after="0" w:line="240" w:lineRule="auto"/>
              <w:ind w:left="0"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Jhon Paul Barril Arenas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1">
            <w:pPr>
              <w:ind w:hanging="2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Profesor de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2">
            <w:pPr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FinaWise</w:t>
            </w:r>
          </w:p>
        </w:tc>
      </w:tr>
    </w:tbl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Personal y recursos pre asignados</w:t>
      </w:r>
    </w:p>
    <w:tbl>
      <w:tblPr>
        <w:tblStyle w:val="Table15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6">
            <w:pPr>
              <w:spacing w:after="0" w:line="240" w:lineRule="auto"/>
              <w:ind w:left="0"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FinaWise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7">
            <w:pPr>
              <w:spacing w:after="0" w:line="240" w:lineRule="auto"/>
              <w:ind w:left="0"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Miguel Jara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8">
            <w:pPr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FinaWise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9">
            <w:pPr>
              <w:spacing w:after="0" w:line="240" w:lineRule="auto"/>
              <w:ind w:left="0"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Cristian Rodriguez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A">
            <w:pPr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FinaWise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B">
            <w:pPr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Matias Muñoz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C">
            <w:pPr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FinaWise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D">
            <w:pPr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Joanna Mellado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E">
            <w:pPr>
              <w:ind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FinaWise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F">
            <w:pPr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Jhon Paul Barril Arenas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Usuario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rHeight w:val="380.95703125" w:hRule="atLeast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5">
            <w:pPr>
              <w:ind w:hanging="2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Miguel Jara / Matias Muñoz / Cristian Rodriguez / Joanna mellado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26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/08/202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57031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8">
            <w:pPr>
              <w:ind w:hanging="2"/>
              <w:jc w:val="center"/>
              <w:rPr>
                <w:b w:val="0"/>
                <w:color w:val="e0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e06666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46nv4vqwys2c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e0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B">
            <w:pPr>
              <w:ind w:hanging="2"/>
              <w:jc w:val="center"/>
              <w:rPr>
                <w:b w:val="0"/>
                <w:color w:val="e0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e06666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aq2tyqk0udr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e0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Anexos</w:t>
      </w:r>
    </w:p>
    <w:p w:rsidR="00000000" w:rsidDel="00000000" w:rsidP="00000000" w:rsidRDefault="00000000" w:rsidRPr="00000000" w14:paraId="00000130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https://www.ine.gob.cl/estadisticas/sociales/ingresos-y-gastos/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1">
    <w:pPr>
      <w:spacing w:after="0" w:lineRule="auto"/>
      <w:ind w:firstLine="0"/>
      <w:jc w:val="right"/>
      <w:rPr>
        <w:rFonts w:ascii="Calibri" w:cs="Calibri" w:eastAsia="Calibri" w:hAnsi="Calibri"/>
        <w:b w:val="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sz w:val="22"/>
        <w:szCs w:val="22"/>
        <w:rtl w:val="0"/>
      </w:rPr>
      <w:t xml:space="preserve">Instituto Profesional Duoc UC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-95246</wp:posOffset>
          </wp:positionV>
          <wp:extent cx="2433638" cy="597736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3638" cy="59773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2">
    <w:pPr>
      <w:spacing w:after="0" w:lineRule="auto"/>
      <w:ind w:firstLine="0"/>
      <w:jc w:val="right"/>
      <w:rPr>
        <w:rFonts w:ascii="Calibri" w:cs="Calibri" w:eastAsia="Calibri" w:hAnsi="Calibri"/>
        <w:b w:val="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sz w:val="22"/>
        <w:szCs w:val="22"/>
        <w:rtl w:val="0"/>
      </w:rPr>
      <w:t xml:space="preserve">Sede San Bernardo</w:t>
    </w:r>
  </w:p>
  <w:p w:rsidR="00000000" w:rsidDel="00000000" w:rsidP="00000000" w:rsidRDefault="00000000" w:rsidRPr="00000000" w14:paraId="00000133">
    <w:pPr>
      <w:spacing w:after="0" w:lineRule="auto"/>
      <w:ind w:firstLine="0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b w:val="1"/>
        <w:sz w:val="22"/>
        <w:szCs w:val="22"/>
        <w:rtl w:val="0"/>
      </w:rPr>
      <w:t xml:space="preserve">Escuela de Informática y Telecomunicaciones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4">
    <w:pPr>
      <w:spacing w:after="0" w:lineRule="auto"/>
      <w:ind w:firstLine="0"/>
      <w:rPr>
        <w:rFonts w:ascii="Times New Roman" w:cs="Times New Roman" w:eastAsia="Times New Roman" w:hAnsi="Times New Roman"/>
        <w:sz w:val="22"/>
        <w:szCs w:val="2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next w:val="Table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0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table" w:styleId="a7" w:customStyle="1">
    <w:basedOn w:val="TableNormal0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</w:tblPr>
  </w:style>
  <w:style w:type="table" w:styleId="a9" w:customStyle="1">
    <w:basedOn w:val="TableNormal0"/>
    <w:tblPr>
      <w:tblStyleRowBandSize w:val="1"/>
      <w:tblStyleColBandSize w:val="1"/>
    </w:tblPr>
  </w:style>
  <w:style w:type="table" w:styleId="aa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Ve7gH5pyoOQ8QbSFPWdc5Lbsg==">CgMxLjAaHwoBMBIaChgICVIUChJ0YWJsZS53dHM4aGxpZ3JuZHMyCWguMzBqMHpsbDIJaC4xZm9iOXRlMgloLjFmb2I5dGUyCWguM3pueXNoNzIOaC43aHMyYng4YjE1MG4yDmgudTJ4bndpcjNvdHR6Mg5oLmZlb25ncjVld3B3djIOaC54bDJia3l5aWw5MjgyCWguM2R5NnZrbTIOaC5lNWo5dWdjbGQza3kyDmgub3llY2R1Nng2MjA5MgloLjF0M2g1c2YyDmguZm9jMXMxam8yaW52Mg5oLnVucHZsdnM1MzFobTIJaC4yczhleW8xMghoLnR5amN3dDIOaC40Nm52NHZxd3lzMmMyDWguYXEydHlxazB1ZHI4AHIhMXhMWFZNMnduY2RRMkR6cG1qZHd4elZYbGs4TWsxZ0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2022-05-15T01:17:00Z</dcterms:created>
  <dc:creator>admin</dc:creator>
</cp:coreProperties>
</file>