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752"/>
          <w:sz w:val="44"/>
        </w:rPr>
        <w:t>AVENANT AU CAHIER DES CHARGES</w:t>
      </w:r>
    </w:p>
    <w:p>
      <w:pPr>
        <w:jc w:val="center"/>
      </w:pPr>
      <w:r>
        <w:rPr>
          <w:b/>
          <w:sz w:val="26"/>
        </w:rPr>
        <w:t>Authentification · Autorisations · Régimes de scolarité · Achats · Patrimoine</w:t>
      </w:r>
    </w:p>
    <w:p>
      <w:r>
        <w:t>EPC BETHEL ASSEMBLÉES DE DIEU JEAN FOLLY — Complément à la spécification technique v1.0</w:t>
      </w:r>
    </w:p>
    <w:p>
      <w:pPr>
        <w:pStyle w:val="Heading1"/>
      </w:pPr>
      <w:r>
        <w:t>1. Authentification et comptes utilisateurs</w:t>
      </w:r>
    </w:p>
    <w:p>
      <w:r>
        <w:t>L'application comporte deux parcours distincts : l'inscription scolaire d'un élève et la création d'un compte utilisateur du logiciel. Ils ne doivent jamais être confondus.</w:t>
      </w:r>
    </w:p>
    <w:p>
      <w:pPr>
        <w:pStyle w:val="Heading2"/>
      </w:pPr>
      <w:r>
        <w:t>1.1 Page de connexion</w:t>
      </w:r>
    </w:p>
    <w:p>
      <w:pPr>
        <w:pStyle w:val="ListBullet"/>
      </w:pPr>
      <w:r>
        <w:t>Champs e-mail et mot de passe, bouton afficher/masquer, état de chargement et messages d'erreur non révélateurs.</w:t>
      </w:r>
    </w:p>
    <w:p>
      <w:pPr>
        <w:pStyle w:val="ListBullet"/>
      </w:pPr>
      <w:r>
        <w:t>Lien de réinitialisation du mot de passe avec jeton à durée limitée ; confirmation de changement.</w:t>
      </w:r>
    </w:p>
    <w:p>
      <w:pPr>
        <w:pStyle w:val="ListBullet"/>
      </w:pPr>
      <w:r>
        <w:t>Redirection vers le tableau de bord autorisé selon le rôle et les permissions effectives.</w:t>
      </w:r>
    </w:p>
    <w:p>
      <w:pPr>
        <w:pStyle w:val="ListBullet"/>
      </w:pPr>
      <w:r>
        <w:t>Gestion des sessions expirées, déconnexion et révocation des sessions par l'administrateur lorsque possible.</w:t>
      </w:r>
    </w:p>
    <w:p>
      <w:pPr>
        <w:pStyle w:val="ListBullet"/>
      </w:pPr>
      <w:r>
        <w:t>Interface responsive, accessible au clavier et compatible téléphone, tablette et ordinateur.</w:t>
      </w:r>
    </w:p>
    <w:p>
      <w:pPr>
        <w:pStyle w:val="Heading2"/>
      </w:pPr>
      <w:r>
        <w:t>1.2 Création et administration des comptes</w:t>
      </w:r>
    </w:p>
    <w:p>
      <w:pPr>
        <w:pStyle w:val="ListBullet"/>
      </w:pPr>
      <w:r>
        <w:t>Désactiver l'inscription publique libre aux comptes internes. L'administrateur initial est créé par une procédure sécurisée documentée.</w:t>
      </w:r>
    </w:p>
    <w:p>
      <w:pPr>
        <w:pStyle w:val="ListBullet"/>
      </w:pPr>
      <w:r>
        <w:t>Les utilisateurs sont créés ou invités par un administrateur autorisé ; attribution du rôle initial minimal.</w:t>
      </w:r>
    </w:p>
    <w:p>
      <w:pPr>
        <w:pStyle w:val="ListBullet"/>
      </w:pPr>
      <w:r>
        <w:t>Ne jamais accepter un rôle envoyé depuis un formulaire public. Le rôle est fixé côté serveur et protégé par RLS.</w:t>
      </w:r>
    </w:p>
    <w:p>
      <w:pPr>
        <w:pStyle w:val="ListBullet"/>
      </w:pPr>
      <w:r>
        <w:t>Un compte désactivé ne peut plus lire ni modifier les données ; conserver ses traces d'audit.</w:t>
      </w:r>
    </w:p>
    <w:p>
      <w:pPr>
        <w:pStyle w:val="ListBullet"/>
      </w:pPr>
      <w:r>
        <w:t>Prévoir une procédure de récupération d'accès et une procédure de remplacement de l'administrateur principal.</w:t>
      </w:r>
    </w:p>
    <w:p>
      <w:pPr>
        <w:pStyle w:val="Heading1"/>
      </w:pPr>
      <w:r>
        <w:t>2. Matrice de rôles et permissions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D9E5F2"/>
          </w:tcPr>
          <w:p>
            <w:r>
              <w:rPr>
                <w:b/>
              </w:rPr>
              <w:t>Domaine</w:t>
            </w:r>
          </w:p>
        </w:tc>
        <w:tc>
          <w:tcPr>
            <w:tcW w:type="dxa" w:w="1987"/>
            <w:shd w:fill="D9E5F2"/>
          </w:tcPr>
          <w:p>
            <w:r>
              <w:rPr>
                <w:b/>
              </w:rPr>
              <w:t>Administrateur</w:t>
            </w:r>
          </w:p>
        </w:tc>
        <w:tc>
          <w:tcPr>
            <w:tcW w:type="dxa" w:w="1987"/>
            <w:shd w:fill="D9E5F2"/>
          </w:tcPr>
          <w:p>
            <w:r>
              <w:rPr>
                <w:b/>
              </w:rPr>
              <w:t>Direction</w:t>
            </w:r>
          </w:p>
        </w:tc>
        <w:tc>
          <w:tcPr>
            <w:tcW w:type="dxa" w:w="1987"/>
            <w:shd w:fill="D9E5F2"/>
          </w:tcPr>
          <w:p>
            <w:r>
              <w:rPr>
                <w:b/>
              </w:rPr>
              <w:t>Secrétariat</w:t>
            </w:r>
          </w:p>
        </w:tc>
        <w:tc>
          <w:tcPr>
            <w:tcW w:type="dxa" w:w="1987"/>
            <w:shd w:fill="D9E5F2"/>
          </w:tcPr>
          <w:p>
            <w:r>
              <w:rPr>
                <w:b/>
              </w:rPr>
              <w:t>Comptabilité</w:t>
            </w:r>
          </w:p>
        </w:tc>
      </w:tr>
      <w:tr>
        <w:tc>
          <w:tcPr>
            <w:tcW w:type="dxa" w:w="1987"/>
          </w:tcPr>
          <w:p>
            <w:r>
              <w:t>Comptes et rôles</w:t>
            </w:r>
          </w:p>
        </w:tc>
        <w:tc>
          <w:tcPr>
            <w:tcW w:type="dxa" w:w="1987"/>
          </w:tcPr>
          <w:p>
            <w:r>
              <w:t>Gérer</w:t>
            </w:r>
          </w:p>
        </w:tc>
        <w:tc>
          <w:tcPr>
            <w:tcW w:type="dxa" w:w="1987"/>
          </w:tcPr>
          <w:p>
            <w:r>
              <w:t>Consulter / demander</w:t>
            </w:r>
          </w:p>
        </w:tc>
        <w:tc>
          <w:tcPr>
            <w:tcW w:type="dxa" w:w="1987"/>
          </w:tcPr>
          <w:p>
            <w:r>
              <w:t>Aucun</w:t>
            </w:r>
          </w:p>
        </w:tc>
        <w:tc>
          <w:tcPr>
            <w:tcW w:type="dxa" w:w="1987"/>
          </w:tcPr>
          <w:p>
            <w:r>
              <w:t>Aucun</w:t>
            </w:r>
          </w:p>
        </w:tc>
      </w:tr>
      <w:tr>
        <w:tc>
          <w:tcPr>
            <w:tcW w:type="dxa" w:w="1987"/>
          </w:tcPr>
          <w:p>
            <w:r>
              <w:t>Élèves / inscriptions</w:t>
            </w:r>
          </w:p>
        </w:tc>
        <w:tc>
          <w:tcPr>
            <w:tcW w:type="dxa" w:w="1987"/>
          </w:tcPr>
          <w:p>
            <w:r>
              <w:t>Contrôle</w:t>
            </w:r>
          </w:p>
        </w:tc>
        <w:tc>
          <w:tcPr>
            <w:tcW w:type="dxa" w:w="1987"/>
          </w:tcPr>
          <w:p>
            <w:r>
              <w:t>Consulter / valider les exceptions</w:t>
            </w:r>
          </w:p>
        </w:tc>
        <w:tc>
          <w:tcPr>
            <w:tcW w:type="dxa" w:w="1987"/>
          </w:tcPr>
          <w:p>
            <w:r>
              <w:t>Créer / modifier</w:t>
            </w:r>
          </w:p>
        </w:tc>
        <w:tc>
          <w:tcPr>
            <w:tcW w:type="dxa" w:w="1987"/>
          </w:tcPr>
          <w:p>
            <w:r>
              <w:t>Consulter le nécessaire</w:t>
            </w:r>
          </w:p>
        </w:tc>
      </w:tr>
      <w:tr>
        <w:tc>
          <w:tcPr>
            <w:tcW w:type="dxa" w:w="1987"/>
          </w:tcPr>
          <w:p>
            <w:r>
              <w:t>Concessions scolaires</w:t>
            </w:r>
          </w:p>
        </w:tc>
        <w:tc>
          <w:tcPr>
            <w:tcW w:type="dxa" w:w="1987"/>
          </w:tcPr>
          <w:p>
            <w:r>
              <w:t>Configurer les droits</w:t>
            </w:r>
          </w:p>
        </w:tc>
        <w:tc>
          <w:tcPr>
            <w:tcW w:type="dxa" w:w="1987"/>
          </w:tcPr>
          <w:p>
            <w:r>
              <w:t>Approuver / révoquer</w:t>
            </w:r>
          </w:p>
        </w:tc>
        <w:tc>
          <w:tcPr>
            <w:tcW w:type="dxa" w:w="1987"/>
          </w:tcPr>
          <w:p>
            <w:r>
              <w:t>Créer une demande</w:t>
            </w:r>
          </w:p>
        </w:tc>
        <w:tc>
          <w:tcPr>
            <w:tcW w:type="dxa" w:w="1987"/>
          </w:tcPr>
          <w:p>
            <w:r>
              <w:t>Consulter l'effet financier</w:t>
            </w:r>
          </w:p>
        </w:tc>
      </w:tr>
      <w:tr>
        <w:tc>
          <w:tcPr>
            <w:tcW w:type="dxa" w:w="1987"/>
          </w:tcPr>
          <w:p>
            <w:r>
              <w:t>Encaissements</w:t>
            </w:r>
          </w:p>
        </w:tc>
        <w:tc>
          <w:tcPr>
            <w:tcW w:type="dxa" w:w="1987"/>
          </w:tcPr>
          <w:p>
            <w:r>
              <w:t>Accès exceptionnel audité</w:t>
            </w:r>
          </w:p>
        </w:tc>
        <w:tc>
          <w:tcPr>
            <w:tcW w:type="dxa" w:w="1987"/>
          </w:tcPr>
          <w:p>
            <w:r>
              <w:t>Superviser / annuler selon politique</w:t>
            </w:r>
          </w:p>
        </w:tc>
        <w:tc>
          <w:tcPr>
            <w:tcW w:type="dxa" w:w="1987"/>
          </w:tcPr>
          <w:p>
            <w:r>
              <w:t>Aucun par défaut</w:t>
            </w:r>
          </w:p>
        </w:tc>
        <w:tc>
          <w:tcPr>
            <w:tcW w:type="dxa" w:w="1987"/>
          </w:tcPr>
          <w:p>
            <w:r>
              <w:t>Créer / valider selon séparation des tâches</w:t>
            </w:r>
          </w:p>
        </w:tc>
      </w:tr>
      <w:tr>
        <w:tc>
          <w:tcPr>
            <w:tcW w:type="dxa" w:w="1987"/>
          </w:tcPr>
          <w:p>
            <w:r>
              <w:t>Achats</w:t>
            </w:r>
          </w:p>
        </w:tc>
        <w:tc>
          <w:tcPr>
            <w:tcW w:type="dxa" w:w="1987"/>
          </w:tcPr>
          <w:p>
            <w:r>
              <w:t>Contrôle</w:t>
            </w:r>
          </w:p>
        </w:tc>
        <w:tc>
          <w:tcPr>
            <w:tcW w:type="dxa" w:w="1987"/>
          </w:tcPr>
          <w:p>
            <w:r>
              <w:t>Approuver selon seuil</w:t>
            </w:r>
          </w:p>
        </w:tc>
        <w:tc>
          <w:tcPr>
            <w:tcW w:type="dxa" w:w="1987"/>
          </w:tcPr>
          <w:p>
            <w:r>
              <w:t>Demande d'achat</w:t>
            </w:r>
          </w:p>
        </w:tc>
        <w:tc>
          <w:tcPr>
            <w:tcW w:type="dxa" w:w="1987"/>
          </w:tcPr>
          <w:p>
            <w:r>
              <w:t>Contrôle budgétaire / règlement</w:t>
            </w:r>
          </w:p>
        </w:tc>
      </w:tr>
      <w:tr>
        <w:tc>
          <w:tcPr>
            <w:tcW w:type="dxa" w:w="1987"/>
          </w:tcPr>
          <w:p>
            <w:r>
              <w:t>Patrimoine</w:t>
            </w:r>
          </w:p>
        </w:tc>
        <w:tc>
          <w:tcPr>
            <w:tcW w:type="dxa" w:w="1987"/>
          </w:tcPr>
          <w:p>
            <w:r>
              <w:t>Configurer</w:t>
            </w:r>
          </w:p>
        </w:tc>
        <w:tc>
          <w:tcPr>
            <w:tcW w:type="dxa" w:w="1987"/>
          </w:tcPr>
          <w:p>
            <w:r>
              <w:t>Consulter / valider sorties</w:t>
            </w:r>
          </w:p>
        </w:tc>
        <w:tc>
          <w:tcPr>
            <w:tcW w:type="dxa" w:w="1987"/>
          </w:tcPr>
          <w:p>
            <w:r>
              <w:t>Consulter selon besoin</w:t>
            </w:r>
          </w:p>
        </w:tc>
        <w:tc>
          <w:tcPr>
            <w:tcW w:type="dxa" w:w="1987"/>
          </w:tcPr>
          <w:p>
            <w:r>
              <w:t>Valeur d'acquisition et pièces</w:t>
            </w:r>
          </w:p>
        </w:tc>
      </w:tr>
      <w:tr>
        <w:tc>
          <w:tcPr>
            <w:tcW w:type="dxa" w:w="1987"/>
          </w:tcPr>
          <w:p>
            <w:r>
              <w:t>Rapports</w:t>
            </w:r>
          </w:p>
        </w:tc>
        <w:tc>
          <w:tcPr>
            <w:tcW w:type="dxa" w:w="1987"/>
          </w:tcPr>
          <w:p>
            <w:r>
              <w:t>Technique limité</w:t>
            </w:r>
          </w:p>
        </w:tc>
        <w:tc>
          <w:tcPr>
            <w:tcW w:type="dxa" w:w="1987"/>
          </w:tcPr>
          <w:p>
            <w:r>
              <w:t>Tous les rapports de gestion</w:t>
            </w:r>
          </w:p>
        </w:tc>
        <w:tc>
          <w:tcPr>
            <w:tcW w:type="dxa" w:w="1987"/>
          </w:tcPr>
          <w:p>
            <w:r>
              <w:t>Rapports administratifs</w:t>
            </w:r>
          </w:p>
        </w:tc>
        <w:tc>
          <w:tcPr>
            <w:tcW w:type="dxa" w:w="1987"/>
          </w:tcPr>
          <w:p>
            <w:r>
              <w:t>Rapports financiers</w:t>
            </w:r>
          </w:p>
        </w:tc>
      </w:tr>
      <w:tr>
        <w:tc>
          <w:tcPr>
            <w:tcW w:type="dxa" w:w="1987"/>
          </w:tcPr>
          <w:p>
            <w:r>
              <w:t>Audit</w:t>
            </w:r>
          </w:p>
        </w:tc>
        <w:tc>
          <w:tcPr>
            <w:tcW w:type="dxa" w:w="1987"/>
          </w:tcPr>
          <w:p>
            <w:r>
              <w:t>Administration technique limitée</w:t>
            </w:r>
          </w:p>
        </w:tc>
        <w:tc>
          <w:tcPr>
            <w:tcW w:type="dxa" w:w="1987"/>
          </w:tcPr>
          <w:p>
            <w:r>
              <w:t>Lecture des événements de gestion</w:t>
            </w:r>
          </w:p>
        </w:tc>
        <w:tc>
          <w:tcPr>
            <w:tcW w:type="dxa" w:w="1987"/>
          </w:tcPr>
          <w:p>
            <w:r>
              <w:t>Aucun</w:t>
            </w:r>
          </w:p>
        </w:tc>
        <w:tc>
          <w:tcPr>
            <w:tcW w:type="dxa" w:w="1987"/>
          </w:tcPr>
          <w:p>
            <w:r>
              <w:t>Lecture du périmètre financier</w:t>
            </w:r>
          </w:p>
        </w:tc>
      </w:tr>
    </w:tbl>
    <w:p/>
    <w:p>
      <w:r>
        <w:t>Les permissions doivent être granulaires : par exemple students.create, enrollments.update, concessions.request, concessions.approve, payments.create, payments.cancel, expenses.validate, purchases.approve, assets.dispose, reports.finance.view. Le rôle regroupe des permissions, mais les vérifications doivent porter sur les actions réelles.</w:t>
      </w:r>
    </w:p>
    <w:p>
      <w:pPr>
        <w:pStyle w:val="Heading1"/>
      </w:pPr>
      <w:r>
        <w:t>3. Inscriptions à régime particulier et prise en charge</w:t>
      </w:r>
    </w:p>
    <w:p>
      <w:r>
        <w:t>Le traitement particulier est une décision financière formelle attachée à une inscription annuelle. Il ne doit pas être une simple observation en texte libre ni un tarif modifié sans historique.</w:t>
      </w:r>
    </w:p>
    <w:p>
      <w:pPr>
        <w:pStyle w:val="Heading1"/>
      </w:pPr>
      <w:r>
        <w:t>3.1 Régimes à prendre en charge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5F2"/>
          </w:tcPr>
          <w:p>
            <w:r>
              <w:rPr>
                <w:b/>
              </w:rPr>
              <w:t>Régime</w:t>
            </w:r>
          </w:p>
        </w:tc>
        <w:tc>
          <w:tcPr>
            <w:tcW w:type="dxa" w:w="4968"/>
            <w:shd w:fill="D9E5F2"/>
          </w:tcPr>
          <w:p>
            <w:r>
              <w:rPr>
                <w:b/>
              </w:rPr>
              <w:t>Effet sur la scolarité</w:t>
            </w:r>
          </w:p>
        </w:tc>
      </w:tr>
      <w:tr>
        <w:tc>
          <w:tcPr>
            <w:tcW w:type="dxa" w:w="4968"/>
          </w:tcPr>
          <w:p>
            <w:r>
              <w:t>Standard</w:t>
            </w:r>
          </w:p>
        </w:tc>
        <w:tc>
          <w:tcPr>
            <w:tcW w:type="dxa" w:w="4968"/>
          </w:tcPr>
          <w:p>
            <w:r>
              <w:t>Aucune réduction : 100 % du tarif individuel exigible.</w:t>
            </w:r>
          </w:p>
        </w:tc>
      </w:tr>
      <w:tr>
        <w:tc>
          <w:tcPr>
            <w:tcW w:type="dxa" w:w="4968"/>
          </w:tcPr>
          <w:p>
            <w:r>
              <w:t>Prise en charge totale</w:t>
            </w:r>
          </w:p>
        </w:tc>
        <w:tc>
          <w:tcPr>
            <w:tcW w:type="dxa" w:w="4968"/>
          </w:tcPr>
          <w:p>
            <w:r>
              <w:t>Réduction de 100 % de la charge de scolarité éligible ; reste dû nul pour cette charge.</w:t>
            </w:r>
          </w:p>
        </w:tc>
      </w:tr>
      <w:tr>
        <w:tc>
          <w:tcPr>
            <w:tcW w:type="dxa" w:w="4968"/>
          </w:tcPr>
          <w:p>
            <w:r>
              <w:t>Prise en charge partielle 50 %</w:t>
            </w:r>
          </w:p>
        </w:tc>
        <w:tc>
          <w:tcPr>
            <w:tcW w:type="dxa" w:w="4968"/>
          </w:tcPr>
          <w:p>
            <w:r>
              <w:t>Réduction de 50 % de la charge de scolarité éligible ; l'élève/la famille reste redevable de l'autre moitié.</w:t>
            </w:r>
          </w:p>
        </w:tc>
      </w:tr>
      <w:tr>
        <w:tc>
          <w:tcPr>
            <w:tcW w:type="dxa" w:w="4968"/>
          </w:tcPr>
          <w:p>
            <w:r>
              <w:t>Pourcentage personnalisé</w:t>
            </w:r>
          </w:p>
        </w:tc>
        <w:tc>
          <w:tcPr>
            <w:tcW w:type="dxa" w:w="4968"/>
          </w:tcPr>
          <w:p>
            <w:r>
              <w:t>Pourcentage autorisé par la direction, borné entre 0 et 100 %, avec motif et approbation.</w:t>
            </w:r>
          </w:p>
        </w:tc>
      </w:tr>
      <w:tr>
        <w:tc>
          <w:tcPr>
            <w:tcW w:type="dxa" w:w="4968"/>
          </w:tcPr>
          <w:p>
            <w:r>
              <w:t>Montant fixe</w:t>
            </w:r>
          </w:p>
        </w:tc>
        <w:tc>
          <w:tcPr>
            <w:tcW w:type="dxa" w:w="4968"/>
          </w:tcPr>
          <w:p>
            <w:r>
              <w:t>Réduction en FCFA plafonnée au montant brut de la charge ; approbation obligatoire.</w:t>
            </w:r>
          </w:p>
        </w:tc>
      </w:tr>
    </w:tbl>
    <w:p/>
    <w:p>
      <w:pPr>
        <w:pStyle w:val="ListBullet"/>
      </w:pPr>
      <w:r>
        <w:t>Motifs configurables : enfant de pasteur, décision sociale, bourse, personnel, fratrie ou autre motif validé par la direction.</w:t>
      </w:r>
    </w:p>
    <w:p>
      <w:pPr>
        <w:pStyle w:val="ListBullet"/>
      </w:pPr>
      <w:r>
        <w:t>Le motif ne doit pas être supposé automatiquement à partir du nom, de la famille ou de la classe : un utilisateur autorisé le choisit et le documente.</w:t>
      </w:r>
    </w:p>
    <w:p>
      <w:pPr>
        <w:pStyle w:val="ListBullet"/>
      </w:pPr>
      <w:r>
        <w:t>La concession est limitée à l'année scolaire et à la scolarité, sauf extension explicitement autorisée aux frais annexes.</w:t>
      </w:r>
    </w:p>
    <w:p>
      <w:pPr>
        <w:pStyle w:val="ListBullet"/>
      </w:pPr>
      <w:r>
        <w:t>Conserver le tarif brut, le taux ou montant de réduction, le montant net exigible, le motif, le demandeur, l'approbateur, les dates de validité et la pièce justificative éventuelle.</w:t>
      </w:r>
    </w:p>
    <w:p>
      <w:pPr>
        <w:pStyle w:val="ListBullet"/>
      </w:pPr>
      <w:r>
        <w:t>Les six échéances sont générées à partir du montant net après concession. Leurs montants et dates restent configurables et leur somme doit égaler le net de scolarité.</w:t>
      </w:r>
    </w:p>
    <w:p>
      <w:pPr>
        <w:pStyle w:val="ListBullet"/>
      </w:pPr>
      <w:r>
        <w:t>Une concession approuvée après paiement déclenche une régularisation documentée : crédit non affecté ou remboursement approuvé, jamais suppression d'un encaissement antérieur.</w:t>
      </w:r>
    </w:p>
    <w:p>
      <w:pPr>
        <w:pStyle w:val="ListBullet"/>
      </w:pPr>
      <w:r>
        <w:t>Une concession modifiée ou révoquée ne réécrit pas silencieusement l'historique : une nouvelle version et un ajustement validé sont nécessaires.</w:t>
      </w:r>
    </w:p>
    <w:p>
      <w:pPr>
        <w:pStyle w:val="Heading2"/>
      </w:pPr>
      <w:r>
        <w:t>3.2 Exemple de calcul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D9E5F2"/>
          </w:tcPr>
          <w:p>
            <w:r>
              <w:rPr>
                <w:b/>
              </w:rPr>
              <w:t>Élément</w:t>
            </w:r>
          </w:p>
        </w:tc>
        <w:tc>
          <w:tcPr>
            <w:tcW w:type="dxa" w:w="2484"/>
            <w:shd w:fill="D9E5F2"/>
          </w:tcPr>
          <w:p>
            <w:r>
              <w:rPr>
                <w:b/>
              </w:rPr>
              <w:t>Tarif standard</w:t>
            </w:r>
          </w:p>
        </w:tc>
        <w:tc>
          <w:tcPr>
            <w:tcW w:type="dxa" w:w="2484"/>
            <w:shd w:fill="D9E5F2"/>
          </w:tcPr>
          <w:p>
            <w:r>
              <w:rPr>
                <w:b/>
              </w:rPr>
              <w:t>Prise en charge 50 %</w:t>
            </w:r>
          </w:p>
        </w:tc>
        <w:tc>
          <w:tcPr>
            <w:tcW w:type="dxa" w:w="2484"/>
            <w:shd w:fill="D9E5F2"/>
          </w:tcPr>
          <w:p>
            <w:r>
              <w:rPr>
                <w:b/>
              </w:rPr>
              <w:t>Prise en charge 100 %</w:t>
            </w:r>
          </w:p>
        </w:tc>
      </w:tr>
      <w:tr>
        <w:tc>
          <w:tcPr>
            <w:tcW w:type="dxa" w:w="2484"/>
          </w:tcPr>
          <w:p>
            <w:r>
              <w:t>Scolarité brute</w:t>
            </w:r>
          </w:p>
        </w:tc>
        <w:tc>
          <w:tcPr>
            <w:tcW w:type="dxa" w:w="2484"/>
          </w:tcPr>
          <w:p>
            <w:r>
              <w:t>300 000 FCFA</w:t>
            </w:r>
          </w:p>
        </w:tc>
        <w:tc>
          <w:tcPr>
            <w:tcW w:type="dxa" w:w="2484"/>
          </w:tcPr>
          <w:p>
            <w:r>
              <w:t>300 000 FCFA</w:t>
            </w:r>
          </w:p>
        </w:tc>
        <w:tc>
          <w:tcPr>
            <w:tcW w:type="dxa" w:w="2484"/>
          </w:tcPr>
          <w:p>
            <w:r>
              <w:t>300 000 FCFA</w:t>
            </w:r>
          </w:p>
        </w:tc>
      </w:tr>
      <w:tr>
        <w:tc>
          <w:tcPr>
            <w:tcW w:type="dxa" w:w="2484"/>
          </w:tcPr>
          <w:p>
            <w:r>
              <w:t>Réduction</w:t>
            </w:r>
          </w:p>
        </w:tc>
        <w:tc>
          <w:tcPr>
            <w:tcW w:type="dxa" w:w="2484"/>
          </w:tcPr>
          <w:p>
            <w:r>
              <w:t>0 FCFA</w:t>
            </w:r>
          </w:p>
        </w:tc>
        <w:tc>
          <w:tcPr>
            <w:tcW w:type="dxa" w:w="2484"/>
          </w:tcPr>
          <w:p>
            <w:r>
              <w:t>150 000 FCFA</w:t>
            </w:r>
          </w:p>
        </w:tc>
        <w:tc>
          <w:tcPr>
            <w:tcW w:type="dxa" w:w="2484"/>
          </w:tcPr>
          <w:p>
            <w:r>
              <w:t>300 000 FCFA</w:t>
            </w:r>
          </w:p>
        </w:tc>
      </w:tr>
      <w:tr>
        <w:tc>
          <w:tcPr>
            <w:tcW w:type="dxa" w:w="2484"/>
          </w:tcPr>
          <w:p>
            <w:r>
              <w:t>Scolarité nette exigible</w:t>
            </w:r>
          </w:p>
        </w:tc>
        <w:tc>
          <w:tcPr>
            <w:tcW w:type="dxa" w:w="2484"/>
          </w:tcPr>
          <w:p>
            <w:r>
              <w:t>300 000 FCFA</w:t>
            </w:r>
          </w:p>
        </w:tc>
        <w:tc>
          <w:tcPr>
            <w:tcW w:type="dxa" w:w="2484"/>
          </w:tcPr>
          <w:p>
            <w:r>
              <w:t>150 000 FCFA</w:t>
            </w:r>
          </w:p>
        </w:tc>
        <w:tc>
          <w:tcPr>
            <w:tcW w:type="dxa" w:w="2484"/>
          </w:tcPr>
          <w:p>
            <w:r>
              <w:t>0 FCFA</w:t>
            </w:r>
          </w:p>
        </w:tc>
      </w:tr>
      <w:tr>
        <w:tc>
          <w:tcPr>
            <w:tcW w:type="dxa" w:w="2484"/>
          </w:tcPr>
          <w:p>
            <w:r>
              <w:t>Échéances</w:t>
            </w:r>
          </w:p>
        </w:tc>
        <w:tc>
          <w:tcPr>
            <w:tcW w:type="dxa" w:w="2484"/>
          </w:tcPr>
          <w:p>
            <w:r>
              <w:t>6 configurables</w:t>
            </w:r>
          </w:p>
        </w:tc>
        <w:tc>
          <w:tcPr>
            <w:tcW w:type="dxa" w:w="2484"/>
          </w:tcPr>
          <w:p>
            <w:r>
              <w:t>6 configurables sur 150 000</w:t>
            </w:r>
          </w:p>
        </w:tc>
        <w:tc>
          <w:tcPr>
            <w:tcW w:type="dxa" w:w="2484"/>
          </w:tcPr>
          <w:p>
            <w:r>
              <w:t>6 échéances à zéro ou échéancier neutralisé</w:t>
            </w:r>
          </w:p>
        </w:tc>
      </w:tr>
    </w:tbl>
    <w:p/>
    <w:p>
      <w:r>
        <w:t>Exemple illustratif seulement. Les montants réels sont ceux définis par l'établissement. Pour une prise en charge totale, le système doit éviter d'afficher l'élève comme impayé au titre de la scolarité ; les frais d'inscription ou annexes restent dus s'ils ne sont pas couverts par la décision.</w:t>
      </w:r>
    </w:p>
    <w:p>
      <w:pPr>
        <w:pStyle w:val="Heading1"/>
      </w:pPr>
      <w:r>
        <w:t>4. Achats et fournisseurs</w:t>
      </w:r>
    </w:p>
    <w:p>
      <w:pPr>
        <w:pStyle w:val="ListBullet"/>
      </w:pPr>
      <w:r>
        <w:t>Référentiel fournisseurs : nom, contacts, identifiants administratifs facultatifs, conditions, statut actif/inactif.</w:t>
      </w:r>
    </w:p>
    <w:p>
      <w:pPr>
        <w:pStyle w:val="ListBullet"/>
      </w:pPr>
      <w:r>
        <w:t>Demande d'achat : demandeur, motif, catégorie, lignes d'articles, quantités, prix estimés, centre de coût et pièces jointes.</w:t>
      </w:r>
    </w:p>
    <w:p>
      <w:pPr>
        <w:pStyle w:val="ListBullet"/>
      </w:pPr>
      <w:r>
        <w:t>Workflow : brouillon → soumise → approuvée/rejetée → commandée → partiellement reçue/reçue → clôturée/annulée.</w:t>
      </w:r>
    </w:p>
    <w:p>
      <w:pPr>
        <w:pStyle w:val="ListBullet"/>
      </w:pPr>
      <w:r>
        <w:t>Seuils d'approbation configurables ; la personne qui demande ne doit pas approuver sa propre demande au-delà du seuil défini.</w:t>
      </w:r>
    </w:p>
    <w:p>
      <w:pPr>
        <w:pStyle w:val="ListBullet"/>
      </w:pPr>
      <w:r>
        <w:t>Bon de commande imprimable avec fournisseur, lignes, quantités, prix, taxes si utilisées, total, livraison et signatures.</w:t>
      </w:r>
    </w:p>
    <w:p>
      <w:pPr>
        <w:pStyle w:val="ListBullet"/>
      </w:pPr>
      <w:r>
        <w:t>Réception des biens : quantités reçues, date, état, référence de livraison et lien avec la commande.</w:t>
      </w:r>
    </w:p>
    <w:p>
      <w:pPr>
        <w:pStyle w:val="ListBullet"/>
      </w:pPr>
      <w:r>
        <w:t>Le paiement fournisseur doit être enregistré dans le module financier existant. Ne pas créer une seconde sortie de trésorerie en validant l'achat et la dépense.</w:t>
      </w:r>
    </w:p>
    <w:p>
      <w:pPr>
        <w:pStyle w:val="ListBullet"/>
      </w:pPr>
      <w:r>
        <w:t>Une dépense validée reste la source du mouvement de trésorerie ; l'achat la référence pour assurer la traçabilité.</w:t>
      </w:r>
    </w:p>
    <w:p>
      <w:pPr>
        <w:pStyle w:val="Heading1"/>
      </w:pPr>
      <w:r>
        <w:t>5. Gestion du patrimoine et des biens</w:t>
      </w:r>
    </w:p>
    <w:p>
      <w:r>
        <w:t>Le patrimoine concerne les biens durables acquis par l'école. Il est distinct du stock de consommables, même si les deux peuvent être liés à une réception d'achat.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5F2"/>
          </w:tcPr>
          <w:p>
            <w:r>
              <w:rPr>
                <w:b/>
              </w:rPr>
              <w:t>Fonction</w:t>
            </w:r>
          </w:p>
        </w:tc>
        <w:tc>
          <w:tcPr>
            <w:tcW w:type="dxa" w:w="4968"/>
            <w:shd w:fill="D9E5F2"/>
          </w:tcPr>
          <w:p>
            <w:r>
              <w:rPr>
                <w:b/>
              </w:rPr>
              <w:t>Exigences</w:t>
            </w:r>
          </w:p>
        </w:tc>
      </w:tr>
      <w:tr>
        <w:tc>
          <w:tcPr>
            <w:tcW w:type="dxa" w:w="4968"/>
          </w:tcPr>
          <w:p>
            <w:r>
              <w:t>Fiche du bien</w:t>
            </w:r>
          </w:p>
        </w:tc>
        <w:tc>
          <w:tcPr>
            <w:tcW w:type="dxa" w:w="4968"/>
          </w:tcPr>
          <w:p>
            <w:r>
              <w:t>Code patrimonial unique, désignation, catégorie, marque/modèle, numéro de série, date d'acquisition, coût, fournisseur, facture, emplacement, responsable et état.</w:t>
            </w:r>
          </w:p>
        </w:tc>
      </w:tr>
      <w:tr>
        <w:tc>
          <w:tcPr>
            <w:tcW w:type="dxa" w:w="4968"/>
          </w:tcPr>
          <w:p>
            <w:r>
              <w:t>Étiquetage</w:t>
            </w:r>
          </w:p>
        </w:tc>
        <w:tc>
          <w:tcPr>
            <w:tcW w:type="dxa" w:w="4968"/>
          </w:tcPr>
          <w:p>
            <w:r>
              <w:t>Générer un code/QR ou code-barres imprimable si l'établissement souhaite inventorier les biens par scan.</w:t>
            </w:r>
          </w:p>
        </w:tc>
      </w:tr>
      <w:tr>
        <w:tc>
          <w:tcPr>
            <w:tcW w:type="dxa" w:w="4968"/>
          </w:tcPr>
          <w:p>
            <w:r>
              <w:t>Mouvements</w:t>
            </w:r>
          </w:p>
        </w:tc>
        <w:tc>
          <w:tcPr>
            <w:tcW w:type="dxa" w:w="4968"/>
          </w:tcPr>
          <w:p>
            <w:r>
              <w:t>Affectation à une classe/bureau, transfert d'emplacement, changement de responsable, maintenance, perte, casse, sortie et réforme.</w:t>
            </w:r>
          </w:p>
        </w:tc>
      </w:tr>
      <w:tr>
        <w:tc>
          <w:tcPr>
            <w:tcW w:type="dxa" w:w="4968"/>
          </w:tcPr>
          <w:p>
            <w:r>
              <w:t>Inventaire physique</w:t>
            </w:r>
          </w:p>
        </w:tc>
        <w:tc>
          <w:tcPr>
            <w:tcW w:type="dxa" w:w="4968"/>
          </w:tcPr>
          <w:p>
            <w:r>
              <w:t>Campagne d'inventaire, biens attendus, biens vus, écarts, commentaires, validation et rapport imprimable.</w:t>
            </w:r>
          </w:p>
        </w:tc>
      </w:tr>
      <w:tr>
        <w:tc>
          <w:tcPr>
            <w:tcW w:type="dxa" w:w="4968"/>
          </w:tcPr>
          <w:p>
            <w:r>
              <w:t>Maintenance</w:t>
            </w:r>
          </w:p>
        </w:tc>
        <w:tc>
          <w:tcPr>
            <w:tcW w:type="dxa" w:w="4968"/>
          </w:tcPr>
          <w:p>
            <w:r>
              <w:t>Date, description, fournisseur, coût, pièce justificative et lien vers la dépense associée.</w:t>
            </w:r>
          </w:p>
        </w:tc>
      </w:tr>
      <w:tr>
        <w:tc>
          <w:tcPr>
            <w:tcW w:type="dxa" w:w="4968"/>
          </w:tcPr>
          <w:p>
            <w:r>
              <w:t>Sortie du patrimoine</w:t>
            </w:r>
          </w:p>
        </w:tc>
        <w:tc>
          <w:tcPr>
            <w:tcW w:type="dxa" w:w="4968"/>
          </w:tcPr>
          <w:p>
            <w:r>
              <w:t>Motif obligatoire, approbation direction, date d'effet, état final et audit ; aucune suppression physique de l'historique.</w:t>
            </w:r>
          </w:p>
        </w:tc>
      </w:tr>
      <w:tr>
        <w:tc>
          <w:tcPr>
            <w:tcW w:type="dxa" w:w="4968"/>
          </w:tcPr>
          <w:p>
            <w:r>
              <w:t>Rapports</w:t>
            </w:r>
          </w:p>
        </w:tc>
        <w:tc>
          <w:tcPr>
            <w:tcW w:type="dxa" w:w="4968"/>
          </w:tcPr>
          <w:p>
            <w:r>
              <w:t>Registre du patrimoine, acquisitions par année, biens par lieu/catégorie/état, maintenance, pertes et sorties.</w:t>
            </w:r>
          </w:p>
        </w:tc>
      </w:tr>
    </w:tbl>
    <w:p/>
    <w:p>
      <w:pPr>
        <w:pStyle w:val="Heading1"/>
      </w:pPr>
      <w:r>
        <w:t>6. Extension du modèle de données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5F2"/>
          </w:tcPr>
          <w:p>
            <w:r>
              <w:rPr>
                <w:b/>
              </w:rPr>
              <w:t>Table</w:t>
            </w:r>
          </w:p>
        </w:tc>
        <w:tc>
          <w:tcPr>
            <w:tcW w:type="dxa" w:w="4968"/>
            <w:shd w:fill="D9E5F2"/>
          </w:tcPr>
          <w:p>
            <w:r>
              <w:rPr>
                <w:b/>
              </w:rPr>
              <w:t>Colonnes principales / rôle</w:t>
            </w:r>
          </w:p>
        </w:tc>
      </w:tr>
      <w:tr>
        <w:tc>
          <w:tcPr>
            <w:tcW w:type="dxa" w:w="4968"/>
          </w:tcPr>
          <w:p>
            <w:r>
              <w:t>permissions</w:t>
            </w:r>
          </w:p>
        </w:tc>
        <w:tc>
          <w:tcPr>
            <w:tcW w:type="dxa" w:w="4968"/>
          </w:tcPr>
          <w:p>
            <w:r>
              <w:t>code unique, libellé, domaine.</w:t>
            </w:r>
          </w:p>
        </w:tc>
      </w:tr>
      <w:tr>
        <w:tc>
          <w:tcPr>
            <w:tcW w:type="dxa" w:w="4968"/>
          </w:tcPr>
          <w:p>
            <w:r>
              <w:t>role_permissions</w:t>
            </w:r>
          </w:p>
        </w:tc>
        <w:tc>
          <w:tcPr>
            <w:tcW w:type="dxa" w:w="4968"/>
          </w:tcPr>
          <w:p>
            <w:r>
              <w:t>role + permission ; association des permissions à un rôle.</w:t>
            </w:r>
          </w:p>
        </w:tc>
      </w:tr>
      <w:tr>
        <w:tc>
          <w:tcPr>
            <w:tcW w:type="dxa" w:w="4968"/>
          </w:tcPr>
          <w:p>
            <w:r>
              <w:t>enrollment_concessions</w:t>
            </w:r>
          </w:p>
        </w:tc>
        <w:tc>
          <w:tcPr>
            <w:tcW w:type="dxa" w:w="4968"/>
          </w:tcPr>
          <w:p>
            <w:r>
              <w:t>enrollment_id, scope, kind, percentage, fixed_amount, reason_code, reason_detail, status, requested_by, approved_by, dates, attachment_path.</w:t>
            </w:r>
          </w:p>
        </w:tc>
      </w:tr>
      <w:tr>
        <w:tc>
          <w:tcPr>
            <w:tcW w:type="dxa" w:w="4968"/>
          </w:tcPr>
          <w:p>
            <w:r>
              <w:t>concession_events</w:t>
            </w:r>
          </w:p>
        </w:tc>
        <w:tc>
          <w:tcPr>
            <w:tcW w:type="dxa" w:w="4968"/>
          </w:tcPr>
          <w:p>
            <w:r>
              <w:t>Historique immuable des approbations, modifications, révocations et régularisations.</w:t>
            </w:r>
          </w:p>
        </w:tc>
      </w:tr>
      <w:tr>
        <w:tc>
          <w:tcPr>
            <w:tcW w:type="dxa" w:w="4968"/>
          </w:tcPr>
          <w:p>
            <w:r>
              <w:t>suppliers</w:t>
            </w:r>
          </w:p>
        </w:tc>
        <w:tc>
          <w:tcPr>
            <w:tcW w:type="dxa" w:w="4968"/>
          </w:tcPr>
          <w:p>
            <w:r>
              <w:t>Fournisseurs et coordonnées.</w:t>
            </w:r>
          </w:p>
        </w:tc>
      </w:tr>
      <w:tr>
        <w:tc>
          <w:tcPr>
            <w:tcW w:type="dxa" w:w="4968"/>
          </w:tcPr>
          <w:p>
            <w:r>
              <w:t>purchase_requests</w:t>
            </w:r>
          </w:p>
        </w:tc>
        <w:tc>
          <w:tcPr>
            <w:tcW w:type="dxa" w:w="4968"/>
          </w:tcPr>
          <w:p>
            <w:r>
              <w:t>Numéro, demandeur, date, statut, motif, centre de coût, approbateur.</w:t>
            </w:r>
          </w:p>
        </w:tc>
      </w:tr>
      <w:tr>
        <w:tc>
          <w:tcPr>
            <w:tcW w:type="dxa" w:w="4968"/>
          </w:tcPr>
          <w:p>
            <w:r>
              <w:t>purchase_request_lines</w:t>
            </w:r>
          </w:p>
        </w:tc>
        <w:tc>
          <w:tcPr>
            <w:tcW w:type="dxa" w:w="4968"/>
          </w:tcPr>
          <w:p>
            <w:r>
              <w:t>Désignation, quantité, prix estimé, catégorie et type stock/bien/service.</w:t>
            </w:r>
          </w:p>
        </w:tc>
      </w:tr>
      <w:tr>
        <w:tc>
          <w:tcPr>
            <w:tcW w:type="dxa" w:w="4968"/>
          </w:tcPr>
          <w:p>
            <w:r>
              <w:t>purchase_orders</w:t>
            </w:r>
          </w:p>
        </w:tc>
        <w:tc>
          <w:tcPr>
            <w:tcW w:type="dxa" w:w="4968"/>
          </w:tcPr>
          <w:p>
            <w:r>
              <w:t>Numéro, fournisseur, demande source, dates, statut, total validé.</w:t>
            </w:r>
          </w:p>
        </w:tc>
      </w:tr>
      <w:tr>
        <w:tc>
          <w:tcPr>
            <w:tcW w:type="dxa" w:w="4968"/>
          </w:tcPr>
          <w:p>
            <w:r>
              <w:t>purchase_order_lines</w:t>
            </w:r>
          </w:p>
        </w:tc>
        <w:tc>
          <w:tcPr>
            <w:tcW w:type="dxa" w:w="4968"/>
          </w:tcPr>
          <w:p>
            <w:r>
              <w:t>Articles, quantités commandées, prix unitaire et quantités reçues.</w:t>
            </w:r>
          </w:p>
        </w:tc>
      </w:tr>
      <w:tr>
        <w:tc>
          <w:tcPr>
            <w:tcW w:type="dxa" w:w="4968"/>
          </w:tcPr>
          <w:p>
            <w:r>
              <w:t>goods_receipts</w:t>
            </w:r>
          </w:p>
        </w:tc>
        <w:tc>
          <w:tcPr>
            <w:tcW w:type="dxa" w:w="4968"/>
          </w:tcPr>
          <w:p>
            <w:r>
              <w:t>Réception liée à une commande, date, référence et utilisateur.</w:t>
            </w:r>
          </w:p>
        </w:tc>
      </w:tr>
      <w:tr>
        <w:tc>
          <w:tcPr>
            <w:tcW w:type="dxa" w:w="4968"/>
          </w:tcPr>
          <w:p>
            <w:r>
              <w:t>goods_receipt_lines</w:t>
            </w:r>
          </w:p>
        </w:tc>
        <w:tc>
          <w:tcPr>
            <w:tcW w:type="dxa" w:w="4968"/>
          </w:tcPr>
          <w:p>
            <w:r>
              <w:t>Quantité reçue, état, ligne de commande et création éventuelle d'un bien patrimonial.</w:t>
            </w:r>
          </w:p>
        </w:tc>
      </w:tr>
      <w:tr>
        <w:tc>
          <w:tcPr>
            <w:tcW w:type="dxa" w:w="4968"/>
          </w:tcPr>
          <w:p>
            <w:r>
              <w:t>asset_categories</w:t>
            </w:r>
          </w:p>
        </w:tc>
        <w:tc>
          <w:tcPr>
            <w:tcW w:type="dxa" w:w="4968"/>
          </w:tcPr>
          <w:p>
            <w:r>
              <w:t>Catégories : mobilier, informatique, équipement, immobilier/autre.</w:t>
            </w:r>
          </w:p>
        </w:tc>
      </w:tr>
      <w:tr>
        <w:tc>
          <w:tcPr>
            <w:tcW w:type="dxa" w:w="4968"/>
          </w:tcPr>
          <w:p>
            <w:r>
              <w:t>assets</w:t>
            </w:r>
          </w:p>
        </w:tc>
        <w:tc>
          <w:tcPr>
            <w:tcW w:type="dxa" w:w="4968"/>
          </w:tcPr>
          <w:p>
            <w:r>
              <w:t>Code unique, description, acquisition, coût, fournisseur, numéro de série, statut, emplacement, responsable.</w:t>
            </w:r>
          </w:p>
        </w:tc>
      </w:tr>
      <w:tr>
        <w:tc>
          <w:tcPr>
            <w:tcW w:type="dxa" w:w="4968"/>
          </w:tcPr>
          <w:p>
            <w:r>
              <w:t>asset_movements</w:t>
            </w:r>
          </w:p>
        </w:tc>
        <w:tc>
          <w:tcPr>
            <w:tcW w:type="dxa" w:w="4968"/>
          </w:tcPr>
          <w:p>
            <w:r>
              <w:t>Bien, type de mouvement, emplacement source/destination, responsable, date, motif, utilisateur.</w:t>
            </w:r>
          </w:p>
        </w:tc>
      </w:tr>
      <w:tr>
        <w:tc>
          <w:tcPr>
            <w:tcW w:type="dxa" w:w="4968"/>
          </w:tcPr>
          <w:p>
            <w:r>
              <w:t>asset_inventory_sessions</w:t>
            </w:r>
          </w:p>
        </w:tc>
        <w:tc>
          <w:tcPr>
            <w:tcW w:type="dxa" w:w="4968"/>
          </w:tcPr>
          <w:p>
            <w:r>
              <w:t>Campagne d'inventaire, date, statut, responsable.</w:t>
            </w:r>
          </w:p>
        </w:tc>
      </w:tr>
      <w:tr>
        <w:tc>
          <w:tcPr>
            <w:tcW w:type="dxa" w:w="4968"/>
          </w:tcPr>
          <w:p>
            <w:r>
              <w:t>asset_inventory_lines</w:t>
            </w:r>
          </w:p>
        </w:tc>
        <w:tc>
          <w:tcPr>
            <w:tcW w:type="dxa" w:w="4968"/>
          </w:tcPr>
          <w:p>
            <w:r>
              <w:t>Bien attendu, constat physique, écart, commentaire, validateur.</w:t>
            </w:r>
          </w:p>
        </w:tc>
      </w:tr>
      <w:tr>
        <w:tc>
          <w:tcPr>
            <w:tcW w:type="dxa" w:w="4968"/>
          </w:tcPr>
          <w:p>
            <w:r>
              <w:t>asset_maintenance</w:t>
            </w:r>
          </w:p>
        </w:tc>
        <w:tc>
          <w:tcPr>
            <w:tcW w:type="dxa" w:w="4968"/>
          </w:tcPr>
          <w:p>
            <w:r>
              <w:t>Bien, date, intervention, prestataire, coût et dépense liée.</w:t>
            </w:r>
          </w:p>
        </w:tc>
      </w:tr>
      <w:tr>
        <w:tc>
          <w:tcPr>
            <w:tcW w:type="dxa" w:w="4968"/>
          </w:tcPr>
          <w:p>
            <w:r>
              <w:t>purchase_expense_links</w:t>
            </w:r>
          </w:p>
        </w:tc>
        <w:tc>
          <w:tcPr>
            <w:tcW w:type="dxa" w:w="4968"/>
          </w:tcPr>
          <w:p>
            <w:r>
              <w:t>Lien entre commande/réception et expense existante, pour éviter le double paiement.</w:t>
            </w:r>
          </w:p>
        </w:tc>
      </w:tr>
    </w:tbl>
    <w:p/>
    <w:p>
      <w:pPr>
        <w:pStyle w:val="Heading1"/>
      </w:pPr>
      <w:r>
        <w:t>7. Règles de sécurité supplémentaires</w:t>
      </w:r>
    </w:p>
    <w:p>
      <w:pPr>
        <w:pStyle w:val="ListBullet"/>
      </w:pPr>
      <w:r>
        <w:t>Une concession de 50 % ou 100 % ne peut être approuvée que par la direction ou un rôle explicitement délégué ; le demandeur ne peut pas approuver sa propre demande si la séparation des tâches est activée.</w:t>
      </w:r>
    </w:p>
    <w:p>
      <w:pPr>
        <w:pStyle w:val="ListBullet"/>
      </w:pPr>
      <w:r>
        <w:t>La création d'un compte ne donne jamais implicitement des droits admin. Les changements de rôle sont journalisés.</w:t>
      </w:r>
    </w:p>
    <w:p>
      <w:pPr>
        <w:pStyle w:val="ListBullet"/>
      </w:pPr>
      <w:r>
        <w:t>Les mutations financières validées passent par des fonctions serveur transactionnelles et sont interdites en écriture directe aux clients.</w:t>
      </w:r>
    </w:p>
    <w:p>
      <w:pPr>
        <w:pStyle w:val="ListBullet"/>
      </w:pPr>
      <w:r>
        <w:t>Les pièces jointes de concessions, achats et patrimoine restent dans un bucket privé avec accès contrôlé.</w:t>
      </w:r>
    </w:p>
    <w:p>
      <w:pPr>
        <w:pStyle w:val="ListBullet"/>
      </w:pPr>
      <w:r>
        <w:t>Les données de motif social ou familial sont minimisées ; les rapports ordinaires affichent le régime financier nécessaire sans divulguer les détails sensibles à des utilisateurs non autorisés.</w:t>
      </w:r>
    </w:p>
    <w:p>
      <w:pPr>
        <w:pStyle w:val="ListBullet"/>
      </w:pPr>
      <w:r>
        <w:t>Les exports d'élèves et de concessions sont réservés aux profils qui en ont besoin et doivent être audités.</w:t>
      </w:r>
    </w:p>
    <w:p>
      <w:pPr>
        <w:pStyle w:val="Heading1"/>
      </w:pPr>
      <w:r>
        <w:t>8. Écrans à ajouter au plan de navigation</w:t>
      </w:r>
    </w:p>
    <w:p>
      <w:pPr>
        <w:pStyle w:val="ListBullet"/>
      </w:pPr>
      <w:r>
        <w:t xml:space="preserve"> /login : connexion et récupération d'accès.</w:t>
      </w:r>
    </w:p>
    <w:p>
      <w:pPr>
        <w:pStyle w:val="ListBullet"/>
      </w:pPr>
      <w:r>
        <w:t xml:space="preserve"> /admin/utilisateurs : comptes, rôles, permissions, activation/désactivation.</w:t>
      </w:r>
    </w:p>
    <w:p>
      <w:pPr>
        <w:pStyle w:val="ListBullet"/>
      </w:pPr>
      <w:r>
        <w:t xml:space="preserve"> /inscriptions/nouvelle : inscription standard ou régime particulier.</w:t>
      </w:r>
    </w:p>
    <w:p>
      <w:pPr>
        <w:pStyle w:val="ListBullet"/>
      </w:pPr>
      <w:r>
        <w:t xml:space="preserve"> /eleves/[id]/finances : tarif brut, concession, montant net, six échéances, paiements et reste dû.</w:t>
      </w:r>
    </w:p>
    <w:p>
      <w:pPr>
        <w:pStyle w:val="ListBullet"/>
      </w:pPr>
      <w:r>
        <w:t xml:space="preserve"> /concessions : demandes, approbations, historique et pièces.</w:t>
      </w:r>
    </w:p>
    <w:p>
      <w:pPr>
        <w:pStyle w:val="ListBullet"/>
      </w:pPr>
      <w:r>
        <w:t xml:space="preserve"> /achats/fournisseurs : annuaire fournisseurs.</w:t>
      </w:r>
    </w:p>
    <w:p>
      <w:pPr>
        <w:pStyle w:val="ListBullet"/>
      </w:pPr>
      <w:r>
        <w:t xml:space="preserve"> /achats/demandes : demandes, lignes et circuit d'approbation.</w:t>
      </w:r>
    </w:p>
    <w:p>
      <w:pPr>
        <w:pStyle w:val="ListBullet"/>
      </w:pPr>
      <w:r>
        <w:t xml:space="preserve"> /achats/commandes : bons de commande et réception.</w:t>
      </w:r>
    </w:p>
    <w:p>
      <w:pPr>
        <w:pStyle w:val="ListBullet"/>
      </w:pPr>
      <w:r>
        <w:t xml:space="preserve"> /patrimoine/biens : registre, recherche, filtre et fiche détaillée.</w:t>
      </w:r>
    </w:p>
    <w:p>
      <w:pPr>
        <w:pStyle w:val="ListBullet"/>
      </w:pPr>
      <w:r>
        <w:t xml:space="preserve"> /patrimoine/inventaires : campagnes et écarts.</w:t>
      </w:r>
    </w:p>
    <w:p>
      <w:pPr>
        <w:pStyle w:val="ListBullet"/>
      </w:pPr>
      <w:r>
        <w:t xml:space="preserve"> /patrimoine/maintenance : interventions et coûts.</w:t>
      </w:r>
    </w:p>
    <w:p>
      <w:pPr>
        <w:pStyle w:val="Heading1"/>
      </w:pPr>
      <w:r>
        <w:t>9. Tests de recette complémentaires</w:t>
      </w:r>
    </w:p>
    <w:p>
      <w:pPr>
        <w:pStyle w:val="ListBullet"/>
      </w:pPr>
      <w:r>
        <w:t>Inscription standard : le montant net égale le tarif individuel.</w:t>
      </w:r>
    </w:p>
    <w:p>
      <w:pPr>
        <w:pStyle w:val="ListBullet"/>
      </w:pPr>
      <w:r>
        <w:t>Prise en charge à 50 % : une scolarité brute de 300 000 FCFA crée une charge nette de 150 000 FCFA et un échéancier totalisant exactement 150 000 FCFA.</w:t>
      </w:r>
    </w:p>
    <w:p>
      <w:pPr>
        <w:pStyle w:val="ListBullet"/>
      </w:pPr>
      <w:r>
        <w:t>Prise en charge à 100 % : aucune dette de scolarité ne doit être affichée, mais les frais non couverts restent exigibles.</w:t>
      </w:r>
    </w:p>
    <w:p>
      <w:pPr>
        <w:pStyle w:val="ListBullet"/>
      </w:pPr>
      <w:r>
        <w:t>Concession non approuvée : elle ne modifie pas le montant exigible officiel.</w:t>
      </w:r>
    </w:p>
    <w:p>
      <w:pPr>
        <w:pStyle w:val="ListBullet"/>
      </w:pPr>
      <w:r>
        <w:t>Concession modifiée après encaissement : aucune suppression ni réécriture silencieuse ; régularisation tracée.</w:t>
      </w:r>
    </w:p>
    <w:p>
      <w:pPr>
        <w:pStyle w:val="ListBullet"/>
      </w:pPr>
      <w:r>
        <w:t>Utilisateur non autorisé : impossible de s'auto-attribuer le rôle admin ou d'approuver une concession sans permission.</w:t>
      </w:r>
    </w:p>
    <w:p>
      <w:pPr>
        <w:pStyle w:val="ListBullet"/>
      </w:pPr>
      <w:r>
        <w:t>Achat approuvé et réceptionné : les biens durables peuvent créer des fiches de patrimoine sans générer automatiquement un second paiement.</w:t>
      </w:r>
    </w:p>
    <w:p>
      <w:pPr>
        <w:pStyle w:val="ListBullet"/>
      </w:pPr>
      <w:r>
        <w:t>Dépense fournisseur : une seule sortie de trésorerie même si elle est liée à une commande.</w:t>
      </w:r>
    </w:p>
    <w:p>
      <w:pPr>
        <w:pStyle w:val="ListBullet"/>
      </w:pPr>
      <w:r>
        <w:t>Transfert de bien : historique source/destination conservé et registre actualisé.</w:t>
      </w:r>
    </w:p>
    <w:p>
      <w:pPr>
        <w:pStyle w:val="ListBullet"/>
      </w:pPr>
      <w:r>
        <w:t>Sortie/réforme d'un bien : bien conservé dans l'historique, absent des biens actifs.</w:t>
      </w:r>
    </w:p>
    <w:p>
      <w:pPr>
        <w:pStyle w:val="ListBullet"/>
      </w:pPr>
      <w:r>
        <w:t>Inventaire : les écarts attendus/observés figurent dans un rapport imprimable.</w:t>
      </w:r>
    </w:p>
    <w:p>
      <w:pPr>
        <w:pStyle w:val="Heading1"/>
      </w:pPr>
      <w:r>
        <w:t>10. Décision à intégrer dans la version du modèle</w:t>
      </w:r>
    </w:p>
    <w:p>
      <w:r>
        <w:t>La table student_charges doit conserver le montant brut, la réduction et le montant net exigible. Pour préserver la compatibilité avec la migration initiale, amount_due demeure le montant net de référence ; ajouter gross_amount, discount_amount et concession_id. Les nouvelles concessions sont approuvées avant génération ou recalcul contrôlé des charges. Les montants historiques ne sont pas recalculés automatiquement.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