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752"/>
          <w:sz w:val="48"/>
        </w:rPr>
        <w:t>SPÉCIFICATION TECHNIQUE DÉTAILLÉE</w:t>
      </w:r>
    </w:p>
    <w:p>
      <w:pPr>
        <w:jc w:val="center"/>
      </w:pPr>
      <w:r>
        <w:rPr>
          <w:b/>
          <w:sz w:val="30"/>
        </w:rPr>
        <w:t>Application de gestion scolaire et financière</w:t>
        <w:br/>
        <w:t>EPC BETHEL ASSEMBLÉES DE DIEU JEAN FOLLY</w:t>
      </w:r>
    </w:p>
    <w:p>
      <w:r>
        <w:t>Version 1.0 — Référentiel initial de conception et de développement</w:t>
      </w:r>
    </w:p>
    <w:p>
      <w:r>
        <w:t>Stack : Next.js + TypeScript · Supabase Auth · PostgreSQL · Supabase Storage · GitHub · Vercel</w:t>
      </w:r>
    </w:p>
    <w:p>
      <w:r>
        <w:t>Devise : FCFA · Année scolaire de lancement : à configurer · Données historiques : import Excel</w:t>
      </w:r>
    </w:p>
    <w:p>
      <w:r>
        <w:br w:type="page"/>
      </w:r>
    </w:p>
    <w:p>
      <w:pPr>
        <w:pStyle w:val="Heading1"/>
      </w:pPr>
      <w:r>
        <w:t>1. Objet et périmètre</w:t>
      </w:r>
    </w:p>
    <w:p>
      <w:r>
        <w:t>Ce document fixe les exigences fonctionnelles et techniques de l'application. Il sert de référence pour le développement, les tests, la recette et la maintenance. L'application doit gérer les élèves, les responsables légaux, les classes, les années scolaires, les inscriptions, les frais individuels, les six échéances de scolarité, les encaissements, les reçus, la caisse, la banque, les dépenses, les rapprochements, les exports et l'audit.</w:t>
      </w:r>
    </w:p>
    <w:p>
      <w:pPr>
        <w:pStyle w:val="ListBullet"/>
      </w:pPr>
      <w:r>
        <w:t>Tarification individuelle : les frais exigibles sont établis pour chaque élève et chaque inscription annuelle. Des modèles tarifaires facultatifs peuvent accélérer la saisie, sans remplacer le montant individuel enregistré.</w:t>
      </w:r>
    </w:p>
    <w:p>
      <w:pPr>
        <w:pStyle w:val="ListBullet"/>
      </w:pPr>
      <w:r>
        <w:t>Six échéances configurables : six lignes sont créées par défaut pour la scolarité. Les montants et dates sont définis lors de l'inscription ou par un échéancier validé.</w:t>
      </w:r>
    </w:p>
    <w:p>
      <w:pPr>
        <w:pStyle w:val="ListBullet"/>
      </w:pPr>
      <w:r>
        <w:t>Trésorerie initiale : une caisse et un compte bancaire, avec possibilité d'en ajouter d'autres par configuration.</w:t>
      </w:r>
    </w:p>
    <w:p>
      <w:pPr>
        <w:pStyle w:val="ListBullet"/>
      </w:pPr>
      <w:r>
        <w:t>Quatre rôles initiaux : administrateur, direction, secrétariat, comptabilité. Les droits effectifs sont appliqués côté serveur et dans PostgreSQL.</w:t>
      </w:r>
    </w:p>
    <w:p>
      <w:pPr>
        <w:pStyle w:val="ListBullet"/>
      </w:pPr>
      <w:r>
        <w:t>Import Excel : les fichiers sont d'abord chargés dans une zone de staging, validés et prévisualisés avant intégration.</w:t>
      </w:r>
    </w:p>
    <w:p>
      <w:pPr>
        <w:pStyle w:val="ListBullet"/>
      </w:pPr>
      <w:r>
        <w:t>Les modules notes, bulletins, présence, emploi du temps, stocks et portail parents sont prévus comme extensions, hors noyau financier de la version initiale.</w:t>
      </w:r>
    </w:p>
    <w:p>
      <w:pPr>
        <w:pStyle w:val="Heading1"/>
      </w:pPr>
      <w:r>
        <w:t>2. Architecture applicative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pPr>
              <w:spacing w:after="0"/>
            </w:pPr>
            <w:r/>
            <w:r>
              <w:rPr>
                <w:b/>
                <w:sz w:val="16"/>
              </w:rPr>
              <w:t>Couche</w:t>
            </w:r>
          </w:p>
        </w:tc>
        <w:tc>
          <w:tcPr>
            <w:tcW w:type="dxa" w:w="5040"/>
            <w:vAlign w:val="center"/>
            <w:shd w:fill="D9E5F2"/>
          </w:tcPr>
          <w:p>
            <w:pPr>
              <w:spacing w:after="0"/>
            </w:pPr>
            <w:r/>
            <w:r>
              <w:rPr>
                <w:b/>
                <w:sz w:val="16"/>
              </w:rPr>
              <w:t>Technologie / responsabilité</w:t>
            </w:r>
          </w:p>
        </w:tc>
      </w:tr>
      <w:tr>
        <w:tc>
          <w:tcPr>
            <w:tcW w:type="dxa" w:w="5040"/>
            <w:vAlign w:val="center"/>
          </w:tcPr>
          <w:p>
            <w:pPr>
              <w:spacing w:after="0"/>
            </w:pPr>
            <w:r/>
            <w:r>
              <w:rPr>
                <w:b w:val="0"/>
                <w:sz w:val="16"/>
              </w:rPr>
              <w:t>Interface</w:t>
            </w:r>
          </w:p>
        </w:tc>
        <w:tc>
          <w:tcPr>
            <w:tcW w:type="dxa" w:w="5040"/>
            <w:vAlign w:val="center"/>
          </w:tcPr>
          <w:p>
            <w:pPr>
              <w:spacing w:after="0"/>
            </w:pPr>
            <w:r/>
            <w:r>
              <w:rPr>
                <w:b w:val="0"/>
                <w:sz w:val="16"/>
              </w:rPr>
              <w:t>Next.js App Router, TypeScript, formulaires validés, interface responsive.</w:t>
            </w:r>
          </w:p>
        </w:tc>
      </w:tr>
      <w:tr>
        <w:tc>
          <w:tcPr>
            <w:tcW w:type="dxa" w:w="5040"/>
            <w:vAlign w:val="center"/>
          </w:tcPr>
          <w:p>
            <w:pPr>
              <w:spacing w:after="0"/>
            </w:pPr>
            <w:r/>
            <w:r>
              <w:rPr>
                <w:b w:val="0"/>
                <w:sz w:val="16"/>
              </w:rPr>
              <w:t>Logique serveur</w:t>
            </w:r>
          </w:p>
        </w:tc>
        <w:tc>
          <w:tcPr>
            <w:tcW w:type="dxa" w:w="5040"/>
            <w:vAlign w:val="center"/>
          </w:tcPr>
          <w:p>
            <w:pPr>
              <w:spacing w:after="0"/>
            </w:pPr>
            <w:r/>
            <w:r>
              <w:rPr>
                <w:b w:val="0"/>
                <w:sz w:val="16"/>
              </w:rPr>
              <w:t>Server Actions ou Route Handlers selon le cas ; validation Zod ; contrôle de session et de rôle.</w:t>
            </w:r>
          </w:p>
        </w:tc>
      </w:tr>
      <w:tr>
        <w:tc>
          <w:tcPr>
            <w:tcW w:type="dxa" w:w="5040"/>
            <w:vAlign w:val="center"/>
          </w:tcPr>
          <w:p>
            <w:pPr>
              <w:spacing w:after="0"/>
            </w:pPr>
            <w:r/>
            <w:r>
              <w:rPr>
                <w:b w:val="0"/>
                <w:sz w:val="16"/>
              </w:rPr>
              <w:t>Base de données</w:t>
            </w:r>
          </w:p>
        </w:tc>
        <w:tc>
          <w:tcPr>
            <w:tcW w:type="dxa" w:w="5040"/>
            <w:vAlign w:val="center"/>
          </w:tcPr>
          <w:p>
            <w:pPr>
              <w:spacing w:after="0"/>
            </w:pPr>
            <w:r/>
            <w:r>
              <w:rPr>
                <w:b w:val="0"/>
                <w:sz w:val="16"/>
              </w:rPr>
              <w:t>Supabase PostgreSQL ; contraintes, clés étrangères, index, fonctions SQL transactionnelles.</w:t>
            </w:r>
          </w:p>
        </w:tc>
      </w:tr>
      <w:tr>
        <w:tc>
          <w:tcPr>
            <w:tcW w:type="dxa" w:w="5040"/>
            <w:vAlign w:val="center"/>
          </w:tcPr>
          <w:p>
            <w:pPr>
              <w:spacing w:after="0"/>
            </w:pPr>
            <w:r/>
            <w:r>
              <w:rPr>
                <w:b w:val="0"/>
                <w:sz w:val="16"/>
              </w:rPr>
              <w:t>Identité</w:t>
            </w:r>
          </w:p>
        </w:tc>
        <w:tc>
          <w:tcPr>
            <w:tcW w:type="dxa" w:w="5040"/>
            <w:vAlign w:val="center"/>
          </w:tcPr>
          <w:p>
            <w:pPr>
              <w:spacing w:after="0"/>
            </w:pPr>
            <w:r/>
            <w:r>
              <w:rPr>
                <w:b w:val="0"/>
                <w:sz w:val="16"/>
              </w:rPr>
              <w:t>Supabase Auth ; profils applicatifs dans public.profiles, reliés à auth.users.</w:t>
            </w:r>
          </w:p>
        </w:tc>
      </w:tr>
      <w:tr>
        <w:tc>
          <w:tcPr>
            <w:tcW w:type="dxa" w:w="5040"/>
            <w:vAlign w:val="center"/>
          </w:tcPr>
          <w:p>
            <w:pPr>
              <w:spacing w:after="0"/>
            </w:pPr>
            <w:r/>
            <w:r>
              <w:rPr>
                <w:b w:val="0"/>
                <w:sz w:val="16"/>
              </w:rPr>
              <w:t>Autorisation des lignes</w:t>
            </w:r>
          </w:p>
        </w:tc>
        <w:tc>
          <w:tcPr>
            <w:tcW w:type="dxa" w:w="5040"/>
            <w:vAlign w:val="center"/>
          </w:tcPr>
          <w:p>
            <w:pPr>
              <w:spacing w:after="0"/>
            </w:pPr>
            <w:r/>
            <w:r>
              <w:rPr>
                <w:b w:val="0"/>
                <w:sz w:val="16"/>
              </w:rPr>
              <w:t>RLS activée sur toutes les tables applicatives ; politiques deny-by-default.</w:t>
            </w:r>
          </w:p>
        </w:tc>
      </w:tr>
      <w:tr>
        <w:tc>
          <w:tcPr>
            <w:tcW w:type="dxa" w:w="5040"/>
            <w:vAlign w:val="center"/>
          </w:tcPr>
          <w:p>
            <w:pPr>
              <w:spacing w:after="0"/>
            </w:pPr>
            <w:r/>
            <w:r>
              <w:rPr>
                <w:b w:val="0"/>
                <w:sz w:val="16"/>
              </w:rPr>
              <w:t>Fichiers</w:t>
            </w:r>
          </w:p>
        </w:tc>
        <w:tc>
          <w:tcPr>
            <w:tcW w:type="dxa" w:w="5040"/>
            <w:vAlign w:val="center"/>
          </w:tcPr>
          <w:p>
            <w:pPr>
              <w:spacing w:after="0"/>
            </w:pPr>
            <w:r/>
            <w:r>
              <w:rPr>
                <w:b w:val="0"/>
                <w:sz w:val="16"/>
              </w:rPr>
              <w:t>Supabase Storage avec bucket privé pour justificatifs et photos ; URL signée temporaire.</w:t>
            </w:r>
          </w:p>
        </w:tc>
      </w:tr>
      <w:tr>
        <w:tc>
          <w:tcPr>
            <w:tcW w:type="dxa" w:w="5040"/>
            <w:vAlign w:val="center"/>
          </w:tcPr>
          <w:p>
            <w:pPr>
              <w:spacing w:after="0"/>
            </w:pPr>
            <w:r/>
            <w:r>
              <w:rPr>
                <w:b w:val="0"/>
                <w:sz w:val="16"/>
              </w:rPr>
              <w:t>Versionnement</w:t>
            </w:r>
          </w:p>
        </w:tc>
        <w:tc>
          <w:tcPr>
            <w:tcW w:type="dxa" w:w="5040"/>
            <w:vAlign w:val="center"/>
          </w:tcPr>
          <w:p>
            <w:pPr>
              <w:spacing w:after="0"/>
            </w:pPr>
            <w:r/>
            <w:r>
              <w:rPr>
                <w:b w:val="0"/>
                <w:sz w:val="16"/>
              </w:rPr>
              <w:t>GitHub : code, migrations SQL, tests et documentation.</w:t>
            </w:r>
          </w:p>
        </w:tc>
      </w:tr>
      <w:tr>
        <w:tc>
          <w:tcPr>
            <w:tcW w:type="dxa" w:w="5040"/>
            <w:vAlign w:val="center"/>
          </w:tcPr>
          <w:p>
            <w:pPr>
              <w:spacing w:after="0"/>
            </w:pPr>
            <w:r/>
            <w:r>
              <w:rPr>
                <w:b w:val="0"/>
                <w:sz w:val="16"/>
              </w:rPr>
              <w:t>Déploiement</w:t>
            </w:r>
          </w:p>
        </w:tc>
        <w:tc>
          <w:tcPr>
            <w:tcW w:type="dxa" w:w="5040"/>
            <w:vAlign w:val="center"/>
          </w:tcPr>
          <w:p>
            <w:pPr>
              <w:spacing w:after="0"/>
            </w:pPr>
            <w:r/>
            <w:r>
              <w:rPr>
                <w:b w:val="0"/>
                <w:sz w:val="16"/>
              </w:rPr>
              <w:t>Vercel : preview deployments, production séparée, variables d'environnement protégées.</w:t>
            </w:r>
          </w:p>
        </w:tc>
      </w:tr>
    </w:tbl>
    <w:p>
      <w:pPr>
        <w:spacing w:after="20"/>
      </w:pPr>
    </w:p>
    <w:p>
      <w:r>
        <w:t>Les opérations financières critiques doivent passer par des fonctions SQL transactionnelles appelées côté serveur. Les composants client ne doivent jamais être autorisés à créer directement des écritures de trésorerie ou à valider un paiement sans cette couche de contrôle.</w:t>
      </w:r>
    </w:p>
    <w:p>
      <w:pPr>
        <w:pStyle w:val="Heading1"/>
      </w:pPr>
      <w:r>
        <w:t>3. Modules et parcours</w:t>
      </w:r>
    </w:p>
    <w:p>
      <w:pPr>
        <w:pStyle w:val="Heading2"/>
      </w:pPr>
      <w:r>
        <w:t>3.1. Élèves et inscriptions</w:t>
      </w:r>
    </w:p>
    <w:p>
      <w:pPr>
        <w:pStyle w:val="ListBullet"/>
      </w:pPr>
      <w:r>
        <w:t>Matricule unique et permanent par élève ; identité, date de naissance facultative, contacts et responsables légaux.</w:t>
      </w:r>
    </w:p>
    <w:p>
      <w:pPr>
        <w:pStyle w:val="ListBullet"/>
      </w:pPr>
      <w:r>
        <w:t>L'inscription relie un élève à une année scolaire et à une classe ; l'élève peut avoir plusieurs inscriptions historiques.</w:t>
      </w:r>
    </w:p>
    <w:p>
      <w:pPr>
        <w:pStyle w:val="ListBullet"/>
      </w:pPr>
      <w:r>
        <w:t>Une réinscription crée une nouvelle ligne d'inscription, sans dupliquer l'élève ni écraser l'historique.</w:t>
      </w:r>
    </w:p>
    <w:p>
      <w:pPr>
        <w:pStyle w:val="ListBullet"/>
      </w:pPr>
      <w:r>
        <w:t>Les 15 classes initiales sont MS, GSA, GSB, CP1 A/B, CP2 A/B, CE1 A/B, CE2 A/B, CM1 A/B et CM2 A/B.</w:t>
      </w:r>
    </w:p>
    <w:p>
      <w:pPr>
        <w:pStyle w:val="ListBullet"/>
      </w:pPr>
      <w:r>
        <w:t>Recherche par matricule, nom, classe, année, téléphone du responsable et statut.</w:t>
      </w:r>
    </w:p>
    <w:p>
      <w:pPr>
        <w:pStyle w:val="Heading2"/>
      </w:pPr>
      <w:r>
        <w:t>3.2. Frais et échéances</w:t>
      </w:r>
    </w:p>
    <w:p>
      <w:pPr>
        <w:pStyle w:val="ListBullet"/>
      </w:pPr>
      <w:r>
        <w:t>Chaque charge financière appartient à une inscription et possède une catégorie, un montant exigible, une date d'exigibilité et un statut.</w:t>
      </w:r>
    </w:p>
    <w:p>
      <w:pPr>
        <w:pStyle w:val="ListBullet"/>
      </w:pPr>
      <w:r>
        <w:t>La scolarité est modélisée par une charge parent et six échéances enfant ; le montant des échéances peut être inégal, et la somme des six doit égaler le montant de scolarité attendu.</w:t>
      </w:r>
    </w:p>
    <w:p>
      <w:pPr>
        <w:pStyle w:val="ListBullet"/>
      </w:pPr>
      <w:r>
        <w:t>Les frais d'inscription et annexes sont des charges distinctes de la scolarité.</w:t>
      </w:r>
    </w:p>
    <w:p>
      <w:pPr>
        <w:pStyle w:val="ListBullet"/>
      </w:pPr>
      <w:r>
        <w:t>Les tarifs futurs ne modifient jamais les charges déjà créées. Toute correction d'une charge validée doit être auditée.</w:t>
      </w:r>
    </w:p>
    <w:p>
      <w:pPr>
        <w:pStyle w:val="ListBullet"/>
      </w:pPr>
      <w:r>
        <w:t>Le reste dû est calculé à partir du montant de la charge moins les allocations de paiements valides, et non à partir d'un champ modifiable manuellement.</w:t>
      </w:r>
    </w:p>
    <w:p>
      <w:pPr>
        <w:pStyle w:val="Heading2"/>
      </w:pPr>
      <w:r>
        <w:t>3.3. Encaissements et reçus</w:t>
      </w:r>
    </w:p>
    <w:p>
      <w:pPr>
        <w:pStyle w:val="ListBullet"/>
      </w:pPr>
      <w:r>
        <w:t>Un paiement validé possède un numéro de reçu unique, une date, un mode de règlement, un compte de destination, un montant positif et un utilisateur créateur.</w:t>
      </w:r>
    </w:p>
    <w:p>
      <w:pPr>
        <w:pStyle w:val="ListBullet"/>
      </w:pPr>
      <w:r>
        <w:t>Un paiement peut être réparti sur plusieurs charges ou échéances via payment_allocations.</w:t>
      </w:r>
    </w:p>
    <w:p>
      <w:pPr>
        <w:pStyle w:val="ListBullet"/>
      </w:pPr>
      <w:r>
        <w:t>Le total des allocations ne peut pas dépasser le montant du paiement ; les allocations ne peuvent pas dépasser le solde dû d'une charge.</w:t>
      </w:r>
    </w:p>
    <w:p>
      <w:pPr>
        <w:pStyle w:val="ListBullet"/>
      </w:pPr>
      <w:r>
        <w:t>Le reçu est une représentation du paiement, pas un second enregistrement financier. Réimprimer ne crée jamais de paiement.</w:t>
      </w:r>
    </w:p>
    <w:p>
      <w:pPr>
        <w:pStyle w:val="ListBullet"/>
      </w:pPr>
      <w:r>
        <w:t>Une correction passe par annulation ou régularisation contrôlée ; pas de suppression définitive d'un paiement validé.</w:t>
      </w:r>
    </w:p>
    <w:p>
      <w:pPr>
        <w:pStyle w:val="Heading2"/>
      </w:pPr>
      <w:r>
        <w:t>3.4. Trésorerie et dépenses</w:t>
      </w:r>
    </w:p>
    <w:p>
      <w:pPr>
        <w:pStyle w:val="ListBullet"/>
      </w:pPr>
      <w:r>
        <w:t>Les encaissements et dépenses créent des mouvements de compte dans la même transaction SQL que l'opération métier.</w:t>
      </w:r>
    </w:p>
    <w:p>
      <w:pPr>
        <w:pStyle w:val="ListBullet"/>
      </w:pPr>
      <w:r>
        <w:t>Un transfert caisse → banque crée deux mouvements liés : sortie caisse et entrée banque. Il ne constitue pas une recette.</w:t>
      </w:r>
    </w:p>
    <w:p>
      <w:pPr>
        <w:pStyle w:val="ListBullet"/>
      </w:pPr>
      <w:r>
        <w:t>Les soldes sont calculés à partir du solde d'ouverture et des mouvements validés ; tout cache éventuel doit être recalculable.</w:t>
      </w:r>
    </w:p>
    <w:p>
      <w:pPr>
        <w:pStyle w:val="ListBullet"/>
      </w:pPr>
      <w:r>
        <w:t>Une clôture de caisse conserve le solde théorique, le montant compté, l'écart et sa justification.</w:t>
      </w:r>
    </w:p>
    <w:p>
      <w:pPr>
        <w:pStyle w:val="ListBullet"/>
      </w:pPr>
      <w:r>
        <w:t>Une dépense validée est associée à une catégorie, un compte, un bénéficiaire et une pièce justificative facultative ou exigée selon la politique.</w:t>
      </w:r>
    </w:p>
    <w:p>
      <w:pPr>
        <w:pStyle w:val="Heading2"/>
      </w:pPr>
      <w:r>
        <w:t>3.5. Rapprochement bancaire</w:t>
      </w:r>
    </w:p>
    <w:p>
      <w:pPr>
        <w:pStyle w:val="ListBullet"/>
      </w:pPr>
      <w:r>
        <w:t>Importer les lignes d'un relevé dans bank_statement_lines avec un identifiant de lot et une référence source.</w:t>
      </w:r>
    </w:p>
    <w:p>
      <w:pPr>
        <w:pStyle w:val="ListBullet"/>
      </w:pPr>
      <w:r>
        <w:t>Le rapprochement s'appuie sur date, montant, référence et libellé ; le montant seul ne suffit pas.</w:t>
      </w:r>
    </w:p>
    <w:p>
      <w:pPr>
        <w:pStyle w:val="ListBullet"/>
      </w:pPr>
      <w:r>
        <w:t>Les correspondances proposées restent non validées jusqu'à confirmation d'un utilisateur autorisé.</w:t>
      </w:r>
    </w:p>
    <w:p>
      <w:pPr>
        <w:pStyle w:val="ListBullet"/>
      </w:pPr>
      <w:r>
        <w:t>Les opérations non rapprochées et les frais bancaires doivent être visibles dans les rapports.</w:t>
      </w:r>
    </w:p>
    <w:p>
      <w:pPr>
        <w:pStyle w:val="ListBullet"/>
      </w:pPr>
      <w:r>
        <w:t>Les lignes importées ne deviennent pas automatiquement des encaissements scolaires.</w:t>
      </w:r>
    </w:p>
    <w:p>
      <w:pPr>
        <w:pStyle w:val="Heading1"/>
      </w:pPr>
      <w:r>
        <w:t>4. Modèle de données PostgreSQL</w:t>
      </w:r>
    </w:p>
    <w:p>
      <w:r>
        <w:t>Les montants sont stockés en BIGINT représentant des FCFA entiers. Les dates/heures sont en timestamptz ; les dates d'échéance et d'année scolaire utilisent DATE. Les tables financières conservent created_at, created_by, status et les références de rapprochement nécessaires.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pPr>
              <w:spacing w:after="0"/>
            </w:pPr>
            <w:r/>
            <w:r>
              <w:rPr>
                <w:b/>
                <w:sz w:val="16"/>
              </w:rPr>
              <w:t>Table</w:t>
            </w:r>
          </w:p>
        </w:tc>
        <w:tc>
          <w:tcPr>
            <w:tcW w:type="dxa" w:w="5040"/>
            <w:vAlign w:val="center"/>
            <w:shd w:fill="D9E5F2"/>
          </w:tcPr>
          <w:p>
            <w:pPr>
              <w:spacing w:after="0"/>
            </w:pPr>
            <w:r/>
            <w:r>
              <w:rPr>
                <w:b/>
                <w:sz w:val="16"/>
              </w:rPr>
              <w:t>Fonction et relations principales</w:t>
            </w:r>
          </w:p>
        </w:tc>
      </w:tr>
      <w:tr>
        <w:tc>
          <w:tcPr>
            <w:tcW w:type="dxa" w:w="5040"/>
            <w:vAlign w:val="center"/>
          </w:tcPr>
          <w:p>
            <w:pPr>
              <w:spacing w:after="0"/>
            </w:pPr>
            <w:r/>
            <w:r>
              <w:rPr>
                <w:b w:val="0"/>
                <w:sz w:val="16"/>
              </w:rPr>
              <w:t>profiles</w:t>
            </w:r>
          </w:p>
        </w:tc>
        <w:tc>
          <w:tcPr>
            <w:tcW w:type="dxa" w:w="5040"/>
            <w:vAlign w:val="center"/>
          </w:tcPr>
          <w:p>
            <w:pPr>
              <w:spacing w:after="0"/>
            </w:pPr>
            <w:r/>
            <w:r>
              <w:rPr>
                <w:b w:val="0"/>
                <w:sz w:val="16"/>
              </w:rPr>
              <w:t>Profil utilisateur relié à auth.users ; rôle applicatif.</w:t>
            </w:r>
          </w:p>
        </w:tc>
      </w:tr>
      <w:tr>
        <w:tc>
          <w:tcPr>
            <w:tcW w:type="dxa" w:w="5040"/>
            <w:vAlign w:val="center"/>
          </w:tcPr>
          <w:p>
            <w:pPr>
              <w:spacing w:after="0"/>
            </w:pPr>
            <w:r/>
            <w:r>
              <w:rPr>
                <w:b w:val="0"/>
                <w:sz w:val="16"/>
              </w:rPr>
              <w:t>school_settings</w:t>
            </w:r>
          </w:p>
        </w:tc>
        <w:tc>
          <w:tcPr>
            <w:tcW w:type="dxa" w:w="5040"/>
            <w:vAlign w:val="center"/>
          </w:tcPr>
          <w:p>
            <w:pPr>
              <w:spacing w:after="0"/>
            </w:pPr>
            <w:r/>
            <w:r>
              <w:rPr>
                <w:b w:val="0"/>
                <w:sz w:val="16"/>
              </w:rPr>
              <w:t>Identité, coordonnées et paramètres généraux de l'établissement.</w:t>
            </w:r>
          </w:p>
        </w:tc>
      </w:tr>
      <w:tr>
        <w:tc>
          <w:tcPr>
            <w:tcW w:type="dxa" w:w="5040"/>
            <w:vAlign w:val="center"/>
          </w:tcPr>
          <w:p>
            <w:pPr>
              <w:spacing w:after="0"/>
            </w:pPr>
            <w:r/>
            <w:r>
              <w:rPr>
                <w:b w:val="0"/>
                <w:sz w:val="16"/>
              </w:rPr>
              <w:t>school_years</w:t>
            </w:r>
          </w:p>
        </w:tc>
        <w:tc>
          <w:tcPr>
            <w:tcW w:type="dxa" w:w="5040"/>
            <w:vAlign w:val="center"/>
          </w:tcPr>
          <w:p>
            <w:pPr>
              <w:spacing w:after="0"/>
            </w:pPr>
            <w:r/>
            <w:r>
              <w:rPr>
                <w:b w:val="0"/>
                <w:sz w:val="16"/>
              </w:rPr>
              <w:t>Périodes scolaires ; contrainte d'unicité sur le libellé.</w:t>
            </w:r>
          </w:p>
        </w:tc>
      </w:tr>
      <w:tr>
        <w:tc>
          <w:tcPr>
            <w:tcW w:type="dxa" w:w="5040"/>
            <w:vAlign w:val="center"/>
          </w:tcPr>
          <w:p>
            <w:pPr>
              <w:spacing w:after="0"/>
            </w:pPr>
            <w:r/>
            <w:r>
              <w:rPr>
                <w:b w:val="0"/>
                <w:sz w:val="16"/>
              </w:rPr>
              <w:t>classes</w:t>
            </w:r>
          </w:p>
        </w:tc>
        <w:tc>
          <w:tcPr>
            <w:tcW w:type="dxa" w:w="5040"/>
            <w:vAlign w:val="center"/>
          </w:tcPr>
          <w:p>
            <w:pPr>
              <w:spacing w:after="0"/>
            </w:pPr>
            <w:r/>
            <w:r>
              <w:rPr>
                <w:b w:val="0"/>
                <w:sz w:val="16"/>
              </w:rPr>
              <w:t>Référentiel des classes et ordre pédagogique.</w:t>
            </w:r>
          </w:p>
        </w:tc>
      </w:tr>
      <w:tr>
        <w:tc>
          <w:tcPr>
            <w:tcW w:type="dxa" w:w="5040"/>
            <w:vAlign w:val="center"/>
          </w:tcPr>
          <w:p>
            <w:pPr>
              <w:spacing w:after="0"/>
            </w:pPr>
            <w:r/>
            <w:r>
              <w:rPr>
                <w:b w:val="0"/>
                <w:sz w:val="16"/>
              </w:rPr>
              <w:t>students</w:t>
            </w:r>
          </w:p>
        </w:tc>
        <w:tc>
          <w:tcPr>
            <w:tcW w:type="dxa" w:w="5040"/>
            <w:vAlign w:val="center"/>
          </w:tcPr>
          <w:p>
            <w:pPr>
              <w:spacing w:after="0"/>
            </w:pPr>
            <w:r/>
            <w:r>
              <w:rPr>
                <w:b w:val="0"/>
                <w:sz w:val="16"/>
              </w:rPr>
              <w:t>Dossier permanent et matricule unique.</w:t>
            </w:r>
          </w:p>
        </w:tc>
      </w:tr>
      <w:tr>
        <w:tc>
          <w:tcPr>
            <w:tcW w:type="dxa" w:w="5040"/>
            <w:vAlign w:val="center"/>
          </w:tcPr>
          <w:p>
            <w:pPr>
              <w:spacing w:after="0"/>
            </w:pPr>
            <w:r/>
            <w:r>
              <w:rPr>
                <w:b w:val="0"/>
                <w:sz w:val="16"/>
              </w:rPr>
              <w:t>guardians</w:t>
            </w:r>
          </w:p>
        </w:tc>
        <w:tc>
          <w:tcPr>
            <w:tcW w:type="dxa" w:w="5040"/>
            <w:vAlign w:val="center"/>
          </w:tcPr>
          <w:p>
            <w:pPr>
              <w:spacing w:after="0"/>
            </w:pPr>
            <w:r/>
            <w:r>
              <w:rPr>
                <w:b w:val="0"/>
                <w:sz w:val="16"/>
              </w:rPr>
              <w:t>Parents/tuteurs.</w:t>
            </w:r>
          </w:p>
        </w:tc>
      </w:tr>
      <w:tr>
        <w:tc>
          <w:tcPr>
            <w:tcW w:type="dxa" w:w="5040"/>
            <w:vAlign w:val="center"/>
          </w:tcPr>
          <w:p>
            <w:pPr>
              <w:spacing w:after="0"/>
            </w:pPr>
            <w:r/>
            <w:r>
              <w:rPr>
                <w:b w:val="0"/>
                <w:sz w:val="16"/>
              </w:rPr>
              <w:t>student_guardians</w:t>
            </w:r>
          </w:p>
        </w:tc>
        <w:tc>
          <w:tcPr>
            <w:tcW w:type="dxa" w:w="5040"/>
            <w:vAlign w:val="center"/>
          </w:tcPr>
          <w:p>
            <w:pPr>
              <w:spacing w:after="0"/>
            </w:pPr>
            <w:r/>
            <w:r>
              <w:rPr>
                <w:b w:val="0"/>
                <w:sz w:val="16"/>
              </w:rPr>
              <w:t>Relation N-N élèves / responsables, lien et contact principal.</w:t>
            </w:r>
          </w:p>
        </w:tc>
      </w:tr>
      <w:tr>
        <w:tc>
          <w:tcPr>
            <w:tcW w:type="dxa" w:w="5040"/>
            <w:vAlign w:val="center"/>
          </w:tcPr>
          <w:p>
            <w:pPr>
              <w:spacing w:after="0"/>
            </w:pPr>
            <w:r/>
            <w:r>
              <w:rPr>
                <w:b w:val="0"/>
                <w:sz w:val="16"/>
              </w:rPr>
              <w:t>enrollments</w:t>
            </w:r>
          </w:p>
        </w:tc>
        <w:tc>
          <w:tcPr>
            <w:tcW w:type="dxa" w:w="5040"/>
            <w:vAlign w:val="center"/>
          </w:tcPr>
          <w:p>
            <w:pPr>
              <w:spacing w:after="0"/>
            </w:pPr>
            <w:r/>
            <w:r>
              <w:rPr>
                <w:b w:val="0"/>
                <w:sz w:val="16"/>
              </w:rPr>
              <w:t>Élève + année + classe ; statut et date d'inscription.</w:t>
            </w:r>
          </w:p>
        </w:tc>
      </w:tr>
      <w:tr>
        <w:tc>
          <w:tcPr>
            <w:tcW w:type="dxa" w:w="5040"/>
            <w:vAlign w:val="center"/>
          </w:tcPr>
          <w:p>
            <w:pPr>
              <w:spacing w:after="0"/>
            </w:pPr>
            <w:r/>
            <w:r>
              <w:rPr>
                <w:b w:val="0"/>
                <w:sz w:val="16"/>
              </w:rPr>
              <w:t>fee_categories</w:t>
            </w:r>
          </w:p>
        </w:tc>
        <w:tc>
          <w:tcPr>
            <w:tcW w:type="dxa" w:w="5040"/>
            <w:vAlign w:val="center"/>
          </w:tcPr>
          <w:p>
            <w:pPr>
              <w:spacing w:after="0"/>
            </w:pPr>
            <w:r/>
            <w:r>
              <w:rPr>
                <w:b w:val="0"/>
                <w:sz w:val="16"/>
              </w:rPr>
              <w:t>Scolarité, inscription, assurance, fournitures, autres frais.</w:t>
            </w:r>
          </w:p>
        </w:tc>
      </w:tr>
      <w:tr>
        <w:tc>
          <w:tcPr>
            <w:tcW w:type="dxa" w:w="5040"/>
            <w:vAlign w:val="center"/>
          </w:tcPr>
          <w:p>
            <w:pPr>
              <w:spacing w:after="0"/>
            </w:pPr>
            <w:r/>
            <w:r>
              <w:rPr>
                <w:b w:val="0"/>
                <w:sz w:val="16"/>
              </w:rPr>
              <w:t>student_charges</w:t>
            </w:r>
          </w:p>
        </w:tc>
        <w:tc>
          <w:tcPr>
            <w:tcW w:type="dxa" w:w="5040"/>
            <w:vAlign w:val="center"/>
          </w:tcPr>
          <w:p>
            <w:pPr>
              <w:spacing w:after="0"/>
            </w:pPr>
            <w:r/>
            <w:r>
              <w:rPr>
                <w:b w:val="0"/>
                <w:sz w:val="16"/>
              </w:rPr>
              <w:t>Créance individuelle par inscription ; montant exigible et catégorie.</w:t>
            </w:r>
          </w:p>
        </w:tc>
      </w:tr>
      <w:tr>
        <w:tc>
          <w:tcPr>
            <w:tcW w:type="dxa" w:w="5040"/>
            <w:vAlign w:val="center"/>
          </w:tcPr>
          <w:p>
            <w:pPr>
              <w:spacing w:after="0"/>
            </w:pPr>
            <w:r/>
            <w:r>
              <w:rPr>
                <w:b w:val="0"/>
                <w:sz w:val="16"/>
              </w:rPr>
              <w:t>installments</w:t>
            </w:r>
          </w:p>
        </w:tc>
        <w:tc>
          <w:tcPr>
            <w:tcW w:type="dxa" w:w="5040"/>
            <w:vAlign w:val="center"/>
          </w:tcPr>
          <w:p>
            <w:pPr>
              <w:spacing w:after="0"/>
            </w:pPr>
            <w:r/>
            <w:r>
              <w:rPr>
                <w:b w:val="0"/>
                <w:sz w:val="16"/>
              </w:rPr>
              <w:t>Échéances d'une charge de scolarité ; rang 1 à 6, montant et date limite.</w:t>
            </w:r>
          </w:p>
        </w:tc>
      </w:tr>
      <w:tr>
        <w:tc>
          <w:tcPr>
            <w:tcW w:type="dxa" w:w="5040"/>
            <w:vAlign w:val="center"/>
          </w:tcPr>
          <w:p>
            <w:pPr>
              <w:spacing w:after="0"/>
            </w:pPr>
            <w:r/>
            <w:r>
              <w:rPr>
                <w:b w:val="0"/>
                <w:sz w:val="16"/>
              </w:rPr>
              <w:t>payments</w:t>
            </w:r>
          </w:p>
        </w:tc>
        <w:tc>
          <w:tcPr>
            <w:tcW w:type="dxa" w:w="5040"/>
            <w:vAlign w:val="center"/>
          </w:tcPr>
          <w:p>
            <w:pPr>
              <w:spacing w:after="0"/>
            </w:pPr>
            <w:r/>
            <w:r>
              <w:rPr>
                <w:b w:val="0"/>
                <w:sz w:val="16"/>
              </w:rPr>
              <w:t>Paiement encaissé, référence unique et numéro de reçu.</w:t>
            </w:r>
          </w:p>
        </w:tc>
      </w:tr>
      <w:tr>
        <w:tc>
          <w:tcPr>
            <w:tcW w:type="dxa" w:w="5040"/>
            <w:vAlign w:val="center"/>
          </w:tcPr>
          <w:p>
            <w:pPr>
              <w:spacing w:after="0"/>
            </w:pPr>
            <w:r/>
            <w:r>
              <w:rPr>
                <w:b w:val="0"/>
                <w:sz w:val="16"/>
              </w:rPr>
              <w:t>payment_allocations</w:t>
            </w:r>
          </w:p>
        </w:tc>
        <w:tc>
          <w:tcPr>
            <w:tcW w:type="dxa" w:w="5040"/>
            <w:vAlign w:val="center"/>
          </w:tcPr>
          <w:p>
            <w:pPr>
              <w:spacing w:after="0"/>
            </w:pPr>
            <w:r/>
            <w:r>
              <w:rPr>
                <w:b w:val="0"/>
                <w:sz w:val="16"/>
              </w:rPr>
              <w:t>Ventilation d'un paiement sur une ou plusieurs charges.</w:t>
            </w:r>
          </w:p>
        </w:tc>
      </w:tr>
      <w:tr>
        <w:tc>
          <w:tcPr>
            <w:tcW w:type="dxa" w:w="5040"/>
            <w:vAlign w:val="center"/>
          </w:tcPr>
          <w:p>
            <w:pPr>
              <w:spacing w:after="0"/>
            </w:pPr>
            <w:r/>
            <w:r>
              <w:rPr>
                <w:b w:val="0"/>
                <w:sz w:val="16"/>
              </w:rPr>
              <w:t>cash_accounts</w:t>
            </w:r>
          </w:p>
        </w:tc>
        <w:tc>
          <w:tcPr>
            <w:tcW w:type="dxa" w:w="5040"/>
            <w:vAlign w:val="center"/>
          </w:tcPr>
          <w:p>
            <w:pPr>
              <w:spacing w:after="0"/>
            </w:pPr>
            <w:r/>
            <w:r>
              <w:rPr>
                <w:b w:val="0"/>
                <w:sz w:val="16"/>
              </w:rPr>
              <w:t>Caisse ou compte bancaire ; compte actif/inactif.</w:t>
            </w:r>
          </w:p>
        </w:tc>
      </w:tr>
      <w:tr>
        <w:tc>
          <w:tcPr>
            <w:tcW w:type="dxa" w:w="5040"/>
            <w:vAlign w:val="center"/>
          </w:tcPr>
          <w:p>
            <w:pPr>
              <w:spacing w:after="0"/>
            </w:pPr>
            <w:r/>
            <w:r>
              <w:rPr>
                <w:b w:val="0"/>
                <w:sz w:val="16"/>
              </w:rPr>
              <w:t>cash_transactions</w:t>
            </w:r>
          </w:p>
        </w:tc>
        <w:tc>
          <w:tcPr>
            <w:tcW w:type="dxa" w:w="5040"/>
            <w:vAlign w:val="center"/>
          </w:tcPr>
          <w:p>
            <w:pPr>
              <w:spacing w:after="0"/>
            </w:pPr>
            <w:r/>
            <w:r>
              <w:rPr>
                <w:b w:val="0"/>
                <w:sz w:val="16"/>
              </w:rPr>
              <w:t>Mouvements de trésorerie associés aux paiements, dépenses ou transferts.</w:t>
            </w:r>
          </w:p>
        </w:tc>
      </w:tr>
      <w:tr>
        <w:tc>
          <w:tcPr>
            <w:tcW w:type="dxa" w:w="5040"/>
            <w:vAlign w:val="center"/>
          </w:tcPr>
          <w:p>
            <w:pPr>
              <w:spacing w:after="0"/>
            </w:pPr>
            <w:r/>
            <w:r>
              <w:rPr>
                <w:b w:val="0"/>
                <w:sz w:val="16"/>
              </w:rPr>
              <w:t>expense_categories</w:t>
            </w:r>
          </w:p>
        </w:tc>
        <w:tc>
          <w:tcPr>
            <w:tcW w:type="dxa" w:w="5040"/>
            <w:vAlign w:val="center"/>
          </w:tcPr>
          <w:p>
            <w:pPr>
              <w:spacing w:after="0"/>
            </w:pPr>
            <w:r/>
            <w:r>
              <w:rPr>
                <w:b w:val="0"/>
                <w:sz w:val="16"/>
              </w:rPr>
              <w:t>Référentiel des dépenses.</w:t>
            </w:r>
          </w:p>
        </w:tc>
      </w:tr>
      <w:tr>
        <w:tc>
          <w:tcPr>
            <w:tcW w:type="dxa" w:w="5040"/>
            <w:vAlign w:val="center"/>
          </w:tcPr>
          <w:p>
            <w:pPr>
              <w:spacing w:after="0"/>
            </w:pPr>
            <w:r/>
            <w:r>
              <w:rPr>
                <w:b w:val="0"/>
                <w:sz w:val="16"/>
              </w:rPr>
              <w:t>expenses</w:t>
            </w:r>
          </w:p>
        </w:tc>
        <w:tc>
          <w:tcPr>
            <w:tcW w:type="dxa" w:w="5040"/>
            <w:vAlign w:val="center"/>
          </w:tcPr>
          <w:p>
            <w:pPr>
              <w:spacing w:after="0"/>
            </w:pPr>
            <w:r/>
            <w:r>
              <w:rPr>
                <w:b w:val="0"/>
                <w:sz w:val="16"/>
              </w:rPr>
              <w:t>Dépense, bénéficiaire, justificatif, statut et compte utilisé.</w:t>
            </w:r>
          </w:p>
        </w:tc>
      </w:tr>
      <w:tr>
        <w:tc>
          <w:tcPr>
            <w:tcW w:type="dxa" w:w="5040"/>
            <w:vAlign w:val="center"/>
          </w:tcPr>
          <w:p>
            <w:pPr>
              <w:spacing w:after="0"/>
            </w:pPr>
            <w:r/>
            <w:r>
              <w:rPr>
                <w:b w:val="0"/>
                <w:sz w:val="16"/>
              </w:rPr>
              <w:t>bank_statement_imports</w:t>
            </w:r>
          </w:p>
        </w:tc>
        <w:tc>
          <w:tcPr>
            <w:tcW w:type="dxa" w:w="5040"/>
            <w:vAlign w:val="center"/>
          </w:tcPr>
          <w:p>
            <w:pPr>
              <w:spacing w:after="0"/>
            </w:pPr>
            <w:r/>
            <w:r>
              <w:rPr>
                <w:b w:val="0"/>
                <w:sz w:val="16"/>
              </w:rPr>
              <w:t>Lots de relevés importés.</w:t>
            </w:r>
          </w:p>
        </w:tc>
      </w:tr>
      <w:tr>
        <w:tc>
          <w:tcPr>
            <w:tcW w:type="dxa" w:w="5040"/>
            <w:vAlign w:val="center"/>
          </w:tcPr>
          <w:p>
            <w:pPr>
              <w:spacing w:after="0"/>
            </w:pPr>
            <w:r/>
            <w:r>
              <w:rPr>
                <w:b w:val="0"/>
                <w:sz w:val="16"/>
              </w:rPr>
              <w:t>bank_statement_lines</w:t>
            </w:r>
          </w:p>
        </w:tc>
        <w:tc>
          <w:tcPr>
            <w:tcW w:type="dxa" w:w="5040"/>
            <w:vAlign w:val="center"/>
          </w:tcPr>
          <w:p>
            <w:pPr>
              <w:spacing w:after="0"/>
            </w:pPr>
            <w:r/>
            <w:r>
              <w:rPr>
                <w:b w:val="0"/>
                <w:sz w:val="16"/>
              </w:rPr>
              <w:t>Lignes bancaires normalisées.</w:t>
            </w:r>
          </w:p>
        </w:tc>
      </w:tr>
      <w:tr>
        <w:tc>
          <w:tcPr>
            <w:tcW w:type="dxa" w:w="5040"/>
            <w:vAlign w:val="center"/>
          </w:tcPr>
          <w:p>
            <w:pPr>
              <w:spacing w:after="0"/>
            </w:pPr>
            <w:r/>
            <w:r>
              <w:rPr>
                <w:b w:val="0"/>
                <w:sz w:val="16"/>
              </w:rPr>
              <w:t>bank_reconciliations</w:t>
            </w:r>
          </w:p>
        </w:tc>
        <w:tc>
          <w:tcPr>
            <w:tcW w:type="dxa" w:w="5040"/>
            <w:vAlign w:val="center"/>
          </w:tcPr>
          <w:p>
            <w:pPr>
              <w:spacing w:after="0"/>
            </w:pPr>
            <w:r/>
            <w:r>
              <w:rPr>
                <w:b w:val="0"/>
                <w:sz w:val="16"/>
              </w:rPr>
              <w:t>Lien entre ligne bancaire et mouvement interne ; statut et validateur.</w:t>
            </w:r>
          </w:p>
        </w:tc>
      </w:tr>
      <w:tr>
        <w:tc>
          <w:tcPr>
            <w:tcW w:type="dxa" w:w="5040"/>
            <w:vAlign w:val="center"/>
          </w:tcPr>
          <w:p>
            <w:pPr>
              <w:spacing w:after="0"/>
            </w:pPr>
            <w:r/>
            <w:r>
              <w:rPr>
                <w:b w:val="0"/>
                <w:sz w:val="16"/>
              </w:rPr>
              <w:t>receipt_sequences</w:t>
            </w:r>
          </w:p>
        </w:tc>
        <w:tc>
          <w:tcPr>
            <w:tcW w:type="dxa" w:w="5040"/>
            <w:vAlign w:val="center"/>
          </w:tcPr>
          <w:p>
            <w:pPr>
              <w:spacing w:after="0"/>
            </w:pPr>
            <w:r/>
            <w:r>
              <w:rPr>
                <w:b w:val="0"/>
                <w:sz w:val="16"/>
              </w:rPr>
              <w:t>Séquence annuelle de numérotation des reçus, verrouillée lors de l'allocation.</w:t>
            </w:r>
          </w:p>
        </w:tc>
      </w:tr>
      <w:tr>
        <w:tc>
          <w:tcPr>
            <w:tcW w:type="dxa" w:w="5040"/>
            <w:vAlign w:val="center"/>
          </w:tcPr>
          <w:p>
            <w:pPr>
              <w:spacing w:after="0"/>
            </w:pPr>
            <w:r/>
            <w:r>
              <w:rPr>
                <w:b w:val="0"/>
                <w:sz w:val="16"/>
              </w:rPr>
              <w:t>audit_logs</w:t>
            </w:r>
          </w:p>
        </w:tc>
        <w:tc>
          <w:tcPr>
            <w:tcW w:type="dxa" w:w="5040"/>
            <w:vAlign w:val="center"/>
          </w:tcPr>
          <w:p>
            <w:pPr>
              <w:spacing w:after="0"/>
            </w:pPr>
            <w:r/>
            <w:r>
              <w:rPr>
                <w:b w:val="0"/>
                <w:sz w:val="16"/>
              </w:rPr>
              <w:t>Trace des actions sensibles, utilisateur, date, entité et détails non secrets.</w:t>
            </w:r>
          </w:p>
        </w:tc>
      </w:tr>
      <w:tr>
        <w:tc>
          <w:tcPr>
            <w:tcW w:type="dxa" w:w="5040"/>
            <w:vAlign w:val="center"/>
          </w:tcPr>
          <w:p>
            <w:pPr>
              <w:spacing w:after="0"/>
            </w:pPr>
            <w:r/>
            <w:r>
              <w:rPr>
                <w:b w:val="0"/>
                <w:sz w:val="16"/>
              </w:rPr>
              <w:t>import_batches / import_rows</w:t>
            </w:r>
          </w:p>
        </w:tc>
        <w:tc>
          <w:tcPr>
            <w:tcW w:type="dxa" w:w="5040"/>
            <w:vAlign w:val="center"/>
          </w:tcPr>
          <w:p>
            <w:pPr>
              <w:spacing w:after="0"/>
            </w:pPr>
            <w:r/>
            <w:r>
              <w:rPr>
                <w:b w:val="0"/>
                <w:sz w:val="16"/>
              </w:rPr>
              <w:t>Import Excel, ligne source, données normalisées, erreurs et état d'intégration.</w:t>
            </w:r>
          </w:p>
        </w:tc>
      </w:tr>
    </w:tbl>
    <w:p>
      <w:pPr>
        <w:spacing w:after="20"/>
      </w:pPr>
    </w:p>
    <w:p>
      <w:pPr>
        <w:pStyle w:val="Heading1"/>
      </w:pPr>
      <w:r>
        <w:t>4.1. Contraintes d'intégrité</w:t>
      </w:r>
    </w:p>
    <w:p>
      <w:pPr>
        <w:pStyle w:val="ListBullet"/>
      </w:pPr>
      <w:r>
        <w:t>students.student_number est unique et non nul.</w:t>
      </w:r>
    </w:p>
    <w:p>
      <w:pPr>
        <w:pStyle w:val="ListBullet"/>
      </w:pPr>
      <w:r>
        <w:t>Une inscription est unique pour le couple (student_id, school_year_id). Si les transferts internes nécessitent plusieurs affectations annuelles, utiliser un historique d'affectations séparé plutôt que dupliquer l'inscription.</w:t>
      </w:r>
    </w:p>
    <w:p>
      <w:pPr>
        <w:pStyle w:val="ListBullet"/>
      </w:pPr>
      <w:r>
        <w:t>Les montants de charges, échéances, paiements et mouvements ne peuvent être négatifs ; les corrections sont représentées par des écritures de régularisation contrôlées.</w:t>
      </w:r>
    </w:p>
    <w:p>
      <w:pPr>
        <w:pStyle w:val="ListBullet"/>
      </w:pPr>
      <w:r>
        <w:t>Une échéance appartient à une charge de type scolarité et possède un numéro unique de 1 à 6 pour cette charge.</w:t>
      </w:r>
    </w:p>
    <w:p>
      <w:pPr>
        <w:pStyle w:val="ListBullet"/>
      </w:pPr>
      <w:r>
        <w:t>Un reçu validé est unique ; les numéros sont générés sous verrou transactionnel pour éviter les doublons en concurrence.</w:t>
      </w:r>
    </w:p>
    <w:p>
      <w:pPr>
        <w:pStyle w:val="ListBullet"/>
      </w:pPr>
      <w:r>
        <w:t>Le total des allocations d'un paiement ne dépasse jamais le montant encaissé ; le total alloué à une charge ne dépasse jamais le montant exigible sans mécanisme explicite de crédit non affecté.</w:t>
      </w:r>
    </w:p>
    <w:p>
      <w:pPr>
        <w:pStyle w:val="ListBullet"/>
      </w:pPr>
      <w:r>
        <w:t>Les transferts ont une référence commune et deux mouvements opposés ; les transferts sont exclus des recettes et dépenses opérationnelles.</w:t>
      </w:r>
    </w:p>
    <w:p>
      <w:pPr>
        <w:pStyle w:val="ListBullet"/>
      </w:pPr>
      <w:r>
        <w:t>Les tables financières ne sont pas supprimées en cascade lorsqu'un élève ou un utilisateur est archivé.</w:t>
      </w:r>
    </w:p>
    <w:p>
      <w:pPr>
        <w:pStyle w:val="Heading1"/>
      </w:pPr>
      <w:r>
        <w:t>5. Rôles et autorisations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5F2"/>
          </w:tcPr>
          <w:p>
            <w:pPr>
              <w:spacing w:after="0"/>
            </w:pPr>
            <w:r/>
            <w:r>
              <w:rPr>
                <w:b/>
                <w:sz w:val="16"/>
              </w:rPr>
              <w:t>Action</w:t>
            </w:r>
          </w:p>
        </w:tc>
        <w:tc>
          <w:tcPr>
            <w:tcW w:type="dxa" w:w="2016"/>
            <w:vAlign w:val="center"/>
            <w:shd w:fill="D9E5F2"/>
          </w:tcPr>
          <w:p>
            <w:pPr>
              <w:spacing w:after="0"/>
            </w:pPr>
            <w:r/>
            <w:r>
              <w:rPr>
                <w:b/>
                <w:sz w:val="16"/>
              </w:rPr>
              <w:t>Administrateur</w:t>
            </w:r>
          </w:p>
        </w:tc>
        <w:tc>
          <w:tcPr>
            <w:tcW w:type="dxa" w:w="2016"/>
            <w:vAlign w:val="center"/>
            <w:shd w:fill="D9E5F2"/>
          </w:tcPr>
          <w:p>
            <w:pPr>
              <w:spacing w:after="0"/>
            </w:pPr>
            <w:r/>
            <w:r>
              <w:rPr>
                <w:b/>
                <w:sz w:val="16"/>
              </w:rPr>
              <w:t>Direction</w:t>
            </w:r>
          </w:p>
        </w:tc>
        <w:tc>
          <w:tcPr>
            <w:tcW w:type="dxa" w:w="2016"/>
            <w:vAlign w:val="center"/>
            <w:shd w:fill="D9E5F2"/>
          </w:tcPr>
          <w:p>
            <w:pPr>
              <w:spacing w:after="0"/>
            </w:pPr>
            <w:r/>
            <w:r>
              <w:rPr>
                <w:b/>
                <w:sz w:val="16"/>
              </w:rPr>
              <w:t>Secrétariat</w:t>
            </w:r>
          </w:p>
        </w:tc>
        <w:tc>
          <w:tcPr>
            <w:tcW w:type="dxa" w:w="2016"/>
            <w:vAlign w:val="center"/>
            <w:shd w:fill="D9E5F2"/>
          </w:tcPr>
          <w:p>
            <w:pPr>
              <w:spacing w:after="0"/>
            </w:pPr>
            <w:r/>
            <w:r>
              <w:rPr>
                <w:b/>
                <w:sz w:val="16"/>
              </w:rPr>
              <w:t>Comptabilité</w:t>
            </w:r>
          </w:p>
        </w:tc>
      </w:tr>
      <w:tr>
        <w:tc>
          <w:tcPr>
            <w:tcW w:type="dxa" w:w="2016"/>
            <w:vAlign w:val="center"/>
          </w:tcPr>
          <w:p>
            <w:pPr>
              <w:spacing w:after="0"/>
            </w:pPr>
            <w:r/>
            <w:r>
              <w:rPr>
                <w:b w:val="0"/>
                <w:sz w:val="16"/>
              </w:rPr>
              <w:t>Paramètres techniques / utilisateurs</w:t>
            </w:r>
          </w:p>
        </w:tc>
        <w:tc>
          <w:tcPr>
            <w:tcW w:type="dxa" w:w="2016"/>
            <w:vAlign w:val="center"/>
          </w:tcPr>
          <w:p>
            <w:pPr>
              <w:spacing w:after="0"/>
            </w:pPr>
            <w:r/>
            <w:r>
              <w:rPr>
                <w:b w:val="0"/>
                <w:sz w:val="16"/>
              </w:rPr>
              <w:t>Oui</w:t>
            </w:r>
          </w:p>
        </w:tc>
        <w:tc>
          <w:tcPr>
            <w:tcW w:type="dxa" w:w="2016"/>
            <w:vAlign w:val="center"/>
          </w:tcPr>
          <w:p>
            <w:pPr>
              <w:spacing w:after="0"/>
            </w:pPr>
            <w:r/>
            <w:r>
              <w:rPr>
                <w:b w:val="0"/>
                <w:sz w:val="16"/>
              </w:rPr>
              <w:t>Non</w:t>
            </w:r>
          </w:p>
        </w:tc>
        <w:tc>
          <w:tcPr>
            <w:tcW w:type="dxa" w:w="2016"/>
            <w:vAlign w:val="center"/>
          </w:tcPr>
          <w:p>
            <w:pPr>
              <w:spacing w:after="0"/>
            </w:pPr>
            <w:r/>
            <w:r>
              <w:rPr>
                <w:b w:val="0"/>
                <w:sz w:val="16"/>
              </w:rPr>
              <w:t>Non</w:t>
            </w:r>
          </w:p>
        </w:tc>
        <w:tc>
          <w:tcPr>
            <w:tcW w:type="dxa" w:w="2016"/>
            <w:vAlign w:val="center"/>
          </w:tcPr>
          <w:p>
            <w:pPr>
              <w:spacing w:after="0"/>
            </w:pPr>
            <w:r/>
            <w:r>
              <w:rPr>
                <w:b w:val="0"/>
                <w:sz w:val="16"/>
              </w:rPr>
              <w:t>Non</w:t>
            </w:r>
          </w:p>
        </w:tc>
      </w:tr>
      <w:tr>
        <w:tc>
          <w:tcPr>
            <w:tcW w:type="dxa" w:w="2016"/>
            <w:vAlign w:val="center"/>
          </w:tcPr>
          <w:p>
            <w:pPr>
              <w:spacing w:after="0"/>
            </w:pPr>
            <w:r/>
            <w:r>
              <w:rPr>
                <w:b w:val="0"/>
                <w:sz w:val="16"/>
              </w:rPr>
              <w:t>Élèves / inscriptions</w:t>
            </w:r>
          </w:p>
        </w:tc>
        <w:tc>
          <w:tcPr>
            <w:tcW w:type="dxa" w:w="2016"/>
            <w:vAlign w:val="center"/>
          </w:tcPr>
          <w:p>
            <w:pPr>
              <w:spacing w:after="0"/>
            </w:pPr>
            <w:r/>
            <w:r>
              <w:rPr>
                <w:b w:val="0"/>
                <w:sz w:val="16"/>
              </w:rPr>
              <w:t>Oui</w:t>
            </w:r>
          </w:p>
        </w:tc>
        <w:tc>
          <w:tcPr>
            <w:tcW w:type="dxa" w:w="2016"/>
            <w:vAlign w:val="center"/>
          </w:tcPr>
          <w:p>
            <w:pPr>
              <w:spacing w:after="0"/>
            </w:pPr>
            <w:r/>
            <w:r>
              <w:rPr>
                <w:b w:val="0"/>
                <w:sz w:val="16"/>
              </w:rPr>
              <w:t>Lecture/contrôle</w:t>
            </w:r>
          </w:p>
        </w:tc>
        <w:tc>
          <w:tcPr>
            <w:tcW w:type="dxa" w:w="2016"/>
            <w:vAlign w:val="center"/>
          </w:tcPr>
          <w:p>
            <w:pPr>
              <w:spacing w:after="0"/>
            </w:pPr>
            <w:r/>
            <w:r>
              <w:rPr>
                <w:b w:val="0"/>
                <w:sz w:val="16"/>
              </w:rPr>
              <w:t>Oui</w:t>
            </w:r>
          </w:p>
        </w:tc>
        <w:tc>
          <w:tcPr>
            <w:tcW w:type="dxa" w:w="2016"/>
            <w:vAlign w:val="center"/>
          </w:tcPr>
          <w:p>
            <w:pPr>
              <w:spacing w:after="0"/>
            </w:pPr>
            <w:r/>
            <w:r>
              <w:rPr>
                <w:b w:val="0"/>
                <w:sz w:val="16"/>
              </w:rPr>
              <w:t>Lecture limitée</w:t>
            </w:r>
          </w:p>
        </w:tc>
      </w:tr>
      <w:tr>
        <w:tc>
          <w:tcPr>
            <w:tcW w:type="dxa" w:w="2016"/>
            <w:vAlign w:val="center"/>
          </w:tcPr>
          <w:p>
            <w:pPr>
              <w:spacing w:after="0"/>
            </w:pPr>
            <w:r/>
            <w:r>
              <w:rPr>
                <w:b w:val="0"/>
                <w:sz w:val="16"/>
              </w:rPr>
              <w:t>Tarifs et charges</w:t>
            </w:r>
          </w:p>
        </w:tc>
        <w:tc>
          <w:tcPr>
            <w:tcW w:type="dxa" w:w="2016"/>
            <w:vAlign w:val="center"/>
          </w:tcPr>
          <w:p>
            <w:pPr>
              <w:spacing w:after="0"/>
            </w:pPr>
            <w:r/>
            <w:r>
              <w:rPr>
                <w:b w:val="0"/>
                <w:sz w:val="16"/>
              </w:rPr>
              <w:t>Oui</w:t>
            </w:r>
          </w:p>
        </w:tc>
        <w:tc>
          <w:tcPr>
            <w:tcW w:type="dxa" w:w="2016"/>
            <w:vAlign w:val="center"/>
          </w:tcPr>
          <w:p>
            <w:pPr>
              <w:spacing w:after="0"/>
            </w:pPr>
            <w:r/>
            <w:r>
              <w:rPr>
                <w:b w:val="0"/>
                <w:sz w:val="16"/>
              </w:rPr>
              <w:t>Oui</w:t>
            </w:r>
          </w:p>
        </w:tc>
        <w:tc>
          <w:tcPr>
            <w:tcW w:type="dxa" w:w="2016"/>
            <w:vAlign w:val="center"/>
          </w:tcPr>
          <w:p>
            <w:pPr>
              <w:spacing w:after="0"/>
            </w:pPr>
            <w:r/>
            <w:r>
              <w:rPr>
                <w:b w:val="0"/>
                <w:sz w:val="16"/>
              </w:rPr>
              <w:t>Selon autorisation</w:t>
            </w:r>
          </w:p>
        </w:tc>
        <w:tc>
          <w:tcPr>
            <w:tcW w:type="dxa" w:w="2016"/>
            <w:vAlign w:val="center"/>
          </w:tcPr>
          <w:p>
            <w:pPr>
              <w:spacing w:after="0"/>
            </w:pPr>
            <w:r/>
            <w:r>
              <w:rPr>
                <w:b w:val="0"/>
                <w:sz w:val="16"/>
              </w:rPr>
              <w:t>Lecture</w:t>
            </w:r>
          </w:p>
        </w:tc>
      </w:tr>
      <w:tr>
        <w:tc>
          <w:tcPr>
            <w:tcW w:type="dxa" w:w="2016"/>
            <w:vAlign w:val="center"/>
          </w:tcPr>
          <w:p>
            <w:pPr>
              <w:spacing w:after="0"/>
            </w:pPr>
            <w:r/>
            <w:r>
              <w:rPr>
                <w:b w:val="0"/>
                <w:sz w:val="16"/>
              </w:rPr>
              <w:t>Enregistrer paiement</w:t>
            </w:r>
          </w:p>
        </w:tc>
        <w:tc>
          <w:tcPr>
            <w:tcW w:type="dxa" w:w="2016"/>
            <w:vAlign w:val="center"/>
          </w:tcPr>
          <w:p>
            <w:pPr>
              <w:spacing w:after="0"/>
            </w:pPr>
            <w:r/>
            <w:r>
              <w:rPr>
                <w:b w:val="0"/>
                <w:sz w:val="16"/>
              </w:rPr>
              <w:t>Selon délégation</w:t>
            </w:r>
          </w:p>
        </w:tc>
        <w:tc>
          <w:tcPr>
            <w:tcW w:type="dxa" w:w="2016"/>
            <w:vAlign w:val="center"/>
          </w:tcPr>
          <w:p>
            <w:pPr>
              <w:spacing w:after="0"/>
            </w:pPr>
            <w:r/>
            <w:r>
              <w:rPr>
                <w:b w:val="0"/>
                <w:sz w:val="16"/>
              </w:rPr>
              <w:t>Selon délégation</w:t>
            </w:r>
          </w:p>
        </w:tc>
        <w:tc>
          <w:tcPr>
            <w:tcW w:type="dxa" w:w="2016"/>
            <w:vAlign w:val="center"/>
          </w:tcPr>
          <w:p>
            <w:pPr>
              <w:spacing w:after="0"/>
            </w:pPr>
            <w:r/>
            <w:r>
              <w:rPr>
                <w:b w:val="0"/>
                <w:sz w:val="16"/>
              </w:rPr>
              <w:t>Non par défaut</w:t>
            </w:r>
          </w:p>
        </w:tc>
        <w:tc>
          <w:tcPr>
            <w:tcW w:type="dxa" w:w="2016"/>
            <w:vAlign w:val="center"/>
          </w:tcPr>
          <w:p>
            <w:pPr>
              <w:spacing w:after="0"/>
            </w:pPr>
            <w:r/>
            <w:r>
              <w:rPr>
                <w:b w:val="0"/>
                <w:sz w:val="16"/>
              </w:rPr>
              <w:t>Oui</w:t>
            </w:r>
          </w:p>
        </w:tc>
      </w:tr>
      <w:tr>
        <w:tc>
          <w:tcPr>
            <w:tcW w:type="dxa" w:w="2016"/>
            <w:vAlign w:val="center"/>
          </w:tcPr>
          <w:p>
            <w:pPr>
              <w:spacing w:after="0"/>
            </w:pPr>
            <w:r/>
            <w:r>
              <w:rPr>
                <w:b w:val="0"/>
                <w:sz w:val="16"/>
              </w:rPr>
              <w:t>Annuler paiement validé</w:t>
            </w:r>
          </w:p>
        </w:tc>
        <w:tc>
          <w:tcPr>
            <w:tcW w:type="dxa" w:w="2016"/>
            <w:vAlign w:val="center"/>
          </w:tcPr>
          <w:p>
            <w:pPr>
              <w:spacing w:after="0"/>
            </w:pPr>
            <w:r/>
            <w:r>
              <w:rPr>
                <w:b w:val="0"/>
                <w:sz w:val="16"/>
              </w:rPr>
              <w:t>Contrôle exceptionnel</w:t>
            </w:r>
          </w:p>
        </w:tc>
        <w:tc>
          <w:tcPr>
            <w:tcW w:type="dxa" w:w="2016"/>
            <w:vAlign w:val="center"/>
          </w:tcPr>
          <w:p>
            <w:pPr>
              <w:spacing w:after="0"/>
            </w:pPr>
            <w:r/>
            <w:r>
              <w:rPr>
                <w:b w:val="0"/>
                <w:sz w:val="16"/>
              </w:rPr>
              <w:t>Approbation selon politique</w:t>
            </w:r>
          </w:p>
        </w:tc>
        <w:tc>
          <w:tcPr>
            <w:tcW w:type="dxa" w:w="2016"/>
            <w:vAlign w:val="center"/>
          </w:tcPr>
          <w:p>
            <w:pPr>
              <w:spacing w:after="0"/>
            </w:pPr>
            <w:r/>
            <w:r>
              <w:rPr>
                <w:b w:val="0"/>
                <w:sz w:val="16"/>
              </w:rPr>
              <w:t>Non</w:t>
            </w:r>
          </w:p>
        </w:tc>
        <w:tc>
          <w:tcPr>
            <w:tcW w:type="dxa" w:w="2016"/>
            <w:vAlign w:val="center"/>
          </w:tcPr>
          <w:p>
            <w:pPr>
              <w:spacing w:after="0"/>
            </w:pPr>
            <w:r/>
            <w:r>
              <w:rPr>
                <w:b w:val="0"/>
                <w:sz w:val="16"/>
              </w:rPr>
              <w:t>Demande uniquement</w:t>
            </w:r>
          </w:p>
        </w:tc>
      </w:tr>
      <w:tr>
        <w:tc>
          <w:tcPr>
            <w:tcW w:type="dxa" w:w="2016"/>
            <w:vAlign w:val="center"/>
          </w:tcPr>
          <w:p>
            <w:pPr>
              <w:spacing w:after="0"/>
            </w:pPr>
            <w:r/>
            <w:r>
              <w:rPr>
                <w:b w:val="0"/>
                <w:sz w:val="16"/>
              </w:rPr>
              <w:t>Dépenses</w:t>
            </w:r>
          </w:p>
        </w:tc>
        <w:tc>
          <w:tcPr>
            <w:tcW w:type="dxa" w:w="2016"/>
            <w:vAlign w:val="center"/>
          </w:tcPr>
          <w:p>
            <w:pPr>
              <w:spacing w:after="0"/>
            </w:pPr>
            <w:r/>
            <w:r>
              <w:rPr>
                <w:b w:val="0"/>
                <w:sz w:val="16"/>
              </w:rPr>
              <w:t>Contrôle</w:t>
            </w:r>
          </w:p>
        </w:tc>
        <w:tc>
          <w:tcPr>
            <w:tcW w:type="dxa" w:w="2016"/>
            <w:vAlign w:val="center"/>
          </w:tcPr>
          <w:p>
            <w:pPr>
              <w:spacing w:after="0"/>
            </w:pPr>
            <w:r/>
            <w:r>
              <w:rPr>
                <w:b w:val="0"/>
                <w:sz w:val="16"/>
              </w:rPr>
              <w:t>Validation</w:t>
            </w:r>
          </w:p>
        </w:tc>
        <w:tc>
          <w:tcPr>
            <w:tcW w:type="dxa" w:w="2016"/>
            <w:vAlign w:val="center"/>
          </w:tcPr>
          <w:p>
            <w:pPr>
              <w:spacing w:after="0"/>
            </w:pPr>
            <w:r/>
            <w:r>
              <w:rPr>
                <w:b w:val="0"/>
                <w:sz w:val="16"/>
              </w:rPr>
              <w:t>Non</w:t>
            </w:r>
          </w:p>
        </w:tc>
        <w:tc>
          <w:tcPr>
            <w:tcW w:type="dxa" w:w="2016"/>
            <w:vAlign w:val="center"/>
          </w:tcPr>
          <w:p>
            <w:pPr>
              <w:spacing w:after="0"/>
            </w:pPr>
            <w:r/>
            <w:r>
              <w:rPr>
                <w:b w:val="0"/>
                <w:sz w:val="16"/>
              </w:rPr>
              <w:t>Saisie selon autorisation</w:t>
            </w:r>
          </w:p>
        </w:tc>
      </w:tr>
      <w:tr>
        <w:tc>
          <w:tcPr>
            <w:tcW w:type="dxa" w:w="2016"/>
            <w:vAlign w:val="center"/>
          </w:tcPr>
          <w:p>
            <w:pPr>
              <w:spacing w:after="0"/>
            </w:pPr>
            <w:r/>
            <w:r>
              <w:rPr>
                <w:b w:val="0"/>
                <w:sz w:val="16"/>
              </w:rPr>
              <w:t>Caisse / banque / rapprochement</w:t>
            </w:r>
          </w:p>
        </w:tc>
        <w:tc>
          <w:tcPr>
            <w:tcW w:type="dxa" w:w="2016"/>
            <w:vAlign w:val="center"/>
          </w:tcPr>
          <w:p>
            <w:pPr>
              <w:spacing w:after="0"/>
            </w:pPr>
            <w:r/>
            <w:r>
              <w:rPr>
                <w:b w:val="0"/>
                <w:sz w:val="16"/>
              </w:rPr>
              <w:t>Contrôle</w:t>
            </w:r>
          </w:p>
        </w:tc>
        <w:tc>
          <w:tcPr>
            <w:tcW w:type="dxa" w:w="2016"/>
            <w:vAlign w:val="center"/>
          </w:tcPr>
          <w:p>
            <w:pPr>
              <w:spacing w:after="0"/>
            </w:pPr>
            <w:r/>
            <w:r>
              <w:rPr>
                <w:b w:val="0"/>
                <w:sz w:val="16"/>
              </w:rPr>
              <w:t>Lecture/validation</w:t>
            </w:r>
          </w:p>
        </w:tc>
        <w:tc>
          <w:tcPr>
            <w:tcW w:type="dxa" w:w="2016"/>
            <w:vAlign w:val="center"/>
          </w:tcPr>
          <w:p>
            <w:pPr>
              <w:spacing w:after="0"/>
            </w:pPr>
            <w:r/>
            <w:r>
              <w:rPr>
                <w:b w:val="0"/>
                <w:sz w:val="16"/>
              </w:rPr>
              <w:t>Non</w:t>
            </w:r>
          </w:p>
        </w:tc>
        <w:tc>
          <w:tcPr>
            <w:tcW w:type="dxa" w:w="2016"/>
            <w:vAlign w:val="center"/>
          </w:tcPr>
          <w:p>
            <w:pPr>
              <w:spacing w:after="0"/>
            </w:pPr>
            <w:r/>
            <w:r>
              <w:rPr>
                <w:b w:val="0"/>
                <w:sz w:val="16"/>
              </w:rPr>
              <w:t>Oui</w:t>
            </w:r>
          </w:p>
        </w:tc>
      </w:tr>
      <w:tr>
        <w:tc>
          <w:tcPr>
            <w:tcW w:type="dxa" w:w="2016"/>
            <w:vAlign w:val="center"/>
          </w:tcPr>
          <w:p>
            <w:pPr>
              <w:spacing w:after="0"/>
            </w:pPr>
            <w:r/>
            <w:r>
              <w:rPr>
                <w:b w:val="0"/>
                <w:sz w:val="16"/>
              </w:rPr>
              <w:t>Rapports globaux</w:t>
            </w:r>
          </w:p>
        </w:tc>
        <w:tc>
          <w:tcPr>
            <w:tcW w:type="dxa" w:w="2016"/>
            <w:vAlign w:val="center"/>
          </w:tcPr>
          <w:p>
            <w:pPr>
              <w:spacing w:after="0"/>
            </w:pPr>
            <w:r/>
            <w:r>
              <w:rPr>
                <w:b w:val="0"/>
                <w:sz w:val="16"/>
              </w:rPr>
              <w:t>Oui</w:t>
            </w:r>
          </w:p>
        </w:tc>
        <w:tc>
          <w:tcPr>
            <w:tcW w:type="dxa" w:w="2016"/>
            <w:vAlign w:val="center"/>
          </w:tcPr>
          <w:p>
            <w:pPr>
              <w:spacing w:after="0"/>
            </w:pPr>
            <w:r/>
            <w:r>
              <w:rPr>
                <w:b w:val="0"/>
                <w:sz w:val="16"/>
              </w:rPr>
              <w:t>Oui</w:t>
            </w:r>
          </w:p>
        </w:tc>
        <w:tc>
          <w:tcPr>
            <w:tcW w:type="dxa" w:w="2016"/>
            <w:vAlign w:val="center"/>
          </w:tcPr>
          <w:p>
            <w:pPr>
              <w:spacing w:after="0"/>
            </w:pPr>
            <w:r/>
            <w:r>
              <w:rPr>
                <w:b w:val="0"/>
                <w:sz w:val="16"/>
              </w:rPr>
              <w:t>Administratifs</w:t>
            </w:r>
          </w:p>
        </w:tc>
        <w:tc>
          <w:tcPr>
            <w:tcW w:type="dxa" w:w="2016"/>
            <w:vAlign w:val="center"/>
          </w:tcPr>
          <w:p>
            <w:pPr>
              <w:spacing w:after="0"/>
            </w:pPr>
            <w:r/>
            <w:r>
              <w:rPr>
                <w:b w:val="0"/>
                <w:sz w:val="16"/>
              </w:rPr>
              <w:t>Financiers</w:t>
            </w:r>
          </w:p>
        </w:tc>
      </w:tr>
      <w:tr>
        <w:tc>
          <w:tcPr>
            <w:tcW w:type="dxa" w:w="2016"/>
            <w:vAlign w:val="center"/>
          </w:tcPr>
          <w:p>
            <w:pPr>
              <w:spacing w:after="0"/>
            </w:pPr>
            <w:r/>
            <w:r>
              <w:rPr>
                <w:b w:val="0"/>
                <w:sz w:val="16"/>
              </w:rPr>
              <w:t>Journal d'audit</w:t>
            </w:r>
          </w:p>
        </w:tc>
        <w:tc>
          <w:tcPr>
            <w:tcW w:type="dxa" w:w="2016"/>
            <w:vAlign w:val="center"/>
          </w:tcPr>
          <w:p>
            <w:pPr>
              <w:spacing w:after="0"/>
            </w:pPr>
            <w:r/>
            <w:r>
              <w:rPr>
                <w:b w:val="0"/>
                <w:sz w:val="16"/>
              </w:rPr>
              <w:t>Technique limité</w:t>
            </w:r>
          </w:p>
        </w:tc>
        <w:tc>
          <w:tcPr>
            <w:tcW w:type="dxa" w:w="2016"/>
            <w:vAlign w:val="center"/>
          </w:tcPr>
          <w:p>
            <w:pPr>
              <w:spacing w:after="0"/>
            </w:pPr>
            <w:r/>
            <w:r>
              <w:rPr>
                <w:b w:val="0"/>
                <w:sz w:val="16"/>
              </w:rPr>
              <w:t>Lecture</w:t>
            </w:r>
          </w:p>
        </w:tc>
        <w:tc>
          <w:tcPr>
            <w:tcW w:type="dxa" w:w="2016"/>
            <w:vAlign w:val="center"/>
          </w:tcPr>
          <w:p>
            <w:pPr>
              <w:spacing w:after="0"/>
            </w:pPr>
            <w:r/>
            <w:r>
              <w:rPr>
                <w:b w:val="0"/>
                <w:sz w:val="16"/>
              </w:rPr>
              <w:t>Non</w:t>
            </w:r>
          </w:p>
        </w:tc>
        <w:tc>
          <w:tcPr>
            <w:tcW w:type="dxa" w:w="2016"/>
            <w:vAlign w:val="center"/>
          </w:tcPr>
          <w:p>
            <w:pPr>
              <w:spacing w:after="0"/>
            </w:pPr>
            <w:r/>
            <w:r>
              <w:rPr>
                <w:b w:val="0"/>
                <w:sz w:val="16"/>
              </w:rPr>
              <w:t>Financier limité</w:t>
            </w:r>
          </w:p>
        </w:tc>
      </w:tr>
    </w:tbl>
    <w:p>
      <w:pPr>
        <w:spacing w:after="20"/>
      </w:pPr>
    </w:p>
    <w:p>
      <w:r>
        <w:t>Les rôles sont un point de départ. Les opérations sensibles doivent pouvoir exiger une séparation entre saisie et validation. Le rôle administrateur technique ne doit pas automatiquement donner un droit métier de modifier des paiements validés.</w:t>
      </w:r>
    </w:p>
    <w:p>
      <w:pPr>
        <w:pStyle w:val="Heading1"/>
      </w:pPr>
      <w:r>
        <w:t>6. RLS, authentification et secrets</w:t>
      </w:r>
    </w:p>
    <w:p>
      <w:pPr>
        <w:pStyle w:val="ListBullet"/>
      </w:pPr>
      <w:r>
        <w:t>Activer RLS sur chaque table exposée via l'API Supabase.</w:t>
      </w:r>
    </w:p>
    <w:p>
      <w:pPr>
        <w:pStyle w:val="ListBullet"/>
      </w:pPr>
      <w:r>
        <w:t>Politique par défaut : refus. Accorder uniquement les opérations nécessaires aux rôles autorisés.</w:t>
      </w:r>
    </w:p>
    <w:p>
      <w:pPr>
        <w:pStyle w:val="ListBullet"/>
      </w:pPr>
      <w:r>
        <w:t>Créer des fonctions helper SECURITY DEFINER uniquement si nécessaires, avec search_path fixé et EXECUTE limité.</w:t>
      </w:r>
    </w:p>
    <w:p>
      <w:pPr>
        <w:pStyle w:val="ListBullet"/>
      </w:pPr>
      <w:r>
        <w:t>Ne jamais placer SUPABASE_SERVICE_ROLE_KEY dans une variable NEXT_PUBLIC_* ni dans le code client.</w:t>
      </w:r>
    </w:p>
    <w:p>
      <w:pPr>
        <w:pStyle w:val="ListBullet"/>
      </w:pPr>
      <w:r>
        <w:t>Le serveur vérifie la session et le rôle avant chaque mutation ; la RLS reste une défense supplémentaire, pas un remplacement du contrôle métier.</w:t>
      </w:r>
    </w:p>
    <w:p>
      <w:pPr>
        <w:pStyle w:val="ListBullet"/>
      </w:pPr>
      <w:r>
        <w:t>Les fichiers sont dans un bucket privé ; l'accès se fait par politiques Storage et URL signées à durée courte.</w:t>
      </w:r>
    </w:p>
    <w:p>
      <w:pPr>
        <w:pStyle w:val="ListBullet"/>
      </w:pPr>
      <w:r>
        <w:t>Les données personnelles des élèves ne sont pas exposées publiquement ; journaliser l'accès aux exports sensibles.</w:t>
      </w:r>
    </w:p>
    <w:p>
      <w:pPr>
        <w:pStyle w:val="Heading1"/>
      </w:pPr>
      <w:r>
        <w:t>7. Opérations financières transactionnelles</w:t>
      </w:r>
    </w:p>
    <w:p>
      <w:pPr>
        <w:pStyle w:val="Heading2"/>
      </w:pPr>
      <w:r>
        <w:t>7.1. Valider un encaissement</w:t>
      </w:r>
    </w:p>
    <w:p>
      <w:pPr>
        <w:pStyle w:val="ListBullet"/>
      </w:pPr>
      <w:r>
        <w:t>Vérifier la session, le rôle, le montant positif, le compte actif et le mode de paiement.</w:t>
      </w:r>
    </w:p>
    <w:p>
      <w:pPr>
        <w:pStyle w:val="ListBullet"/>
      </w:pPr>
      <w:r>
        <w:t>Verrouiller les charges/échéances concernées dans un ordre déterministe (SELECT ... FOR UPDATE).</w:t>
      </w:r>
    </w:p>
    <w:p>
      <w:pPr>
        <w:pStyle w:val="ListBullet"/>
      </w:pPr>
      <w:r>
        <w:t>Vérifier le montant total des allocations et le solde disponible de chaque charge.</w:t>
      </w:r>
    </w:p>
    <w:p>
      <w:pPr>
        <w:pStyle w:val="ListBullet"/>
      </w:pPr>
      <w:r>
        <w:t>Générer le numéro de reçu sous verrou transactionnel.</w:t>
      </w:r>
    </w:p>
    <w:p>
      <w:pPr>
        <w:pStyle w:val="ListBullet"/>
      </w:pPr>
      <w:r>
        <w:t>Insérer payment, payment_allocations et cash_transaction dans la même transaction.</w:t>
      </w:r>
    </w:p>
    <w:p>
      <w:pPr>
        <w:pStyle w:val="ListBullet"/>
      </w:pPr>
      <w:r>
        <w:t>Écrire l'événement d'audit puis valider la transaction ; en cas d'erreur, tout est annulé.</w:t>
      </w:r>
    </w:p>
    <w:p>
      <w:pPr>
        <w:pStyle w:val="Heading2"/>
      </w:pPr>
      <w:r>
        <w:t>7.2. Annuler ou régulariser</w:t>
      </w:r>
    </w:p>
    <w:p>
      <w:pPr>
        <w:pStyle w:val="ListBullet"/>
      </w:pPr>
      <w:r>
        <w:t>Ne pas supprimer physiquement le paiement d'origine.</w:t>
      </w:r>
    </w:p>
    <w:p>
      <w:pPr>
        <w:pStyle w:val="ListBullet"/>
      </w:pPr>
      <w:r>
        <w:t>Vérifier que l'utilisateur possède le droit de validation ou d'annulation.</w:t>
      </w:r>
    </w:p>
    <w:p>
      <w:pPr>
        <w:pStyle w:val="ListBullet"/>
      </w:pPr>
      <w:r>
        <w:t>Enregistrer le motif obligatoire et une référence vers l'opération d'origine.</w:t>
      </w:r>
    </w:p>
    <w:p>
      <w:pPr>
        <w:pStyle w:val="ListBullet"/>
      </w:pPr>
      <w:r>
        <w:t>Créer les écritures inverses liées et recalculer la situation des charges.</w:t>
      </w:r>
    </w:p>
    <w:p>
      <w:pPr>
        <w:pStyle w:val="ListBullet"/>
      </w:pPr>
      <w:r>
        <w:t>Conserver les deux reçus/opérations dans l'historique avec leurs statuts explicites.</w:t>
      </w:r>
    </w:p>
    <w:p>
      <w:pPr>
        <w:pStyle w:val="Heading2"/>
      </w:pPr>
      <w:r>
        <w:t>7.3. Transfert caisse / banque</w:t>
      </w:r>
    </w:p>
    <w:p>
      <w:pPr>
        <w:pStyle w:val="ListBullet"/>
      </w:pPr>
      <w:r>
        <w:t>Insérer une sortie du compte source et une entrée du compte destination avec un transfer_group_id commun.</w:t>
      </w:r>
    </w:p>
    <w:p>
      <w:pPr>
        <w:pStyle w:val="ListBullet"/>
      </w:pPr>
      <w:r>
        <w:t>Exiger deux comptes distincts et un montant positif.</w:t>
      </w:r>
    </w:p>
    <w:p>
      <w:pPr>
        <w:pStyle w:val="ListBullet"/>
      </w:pPr>
      <w:r>
        <w:t>Interdire de comptabiliser le transfert comme recette ou dépense d'exploitation.</w:t>
      </w:r>
    </w:p>
    <w:p>
      <w:pPr>
        <w:pStyle w:val="ListBullet"/>
      </w:pPr>
      <w:r>
        <w:t>Valider les deux mouvements dans une seule transaction.</w:t>
      </w:r>
    </w:p>
    <w:p>
      <w:pPr>
        <w:pStyle w:val="Heading1"/>
      </w:pPr>
      <w:r>
        <w:t>8. Importation Excel</w:t>
      </w:r>
    </w:p>
    <w:p>
      <w:pPr>
        <w:pStyle w:val="ListBullet"/>
      </w:pPr>
      <w:r>
        <w:t>Fichiers acceptés : .xlsx et .csv. Le traitement doit être effectué côté serveur avec limite de taille.</w:t>
      </w:r>
    </w:p>
    <w:p>
      <w:pPr>
        <w:pStyle w:val="ListBullet"/>
      </w:pPr>
      <w:r>
        <w:t>Créer un lot d'import et conserver le nom du fichier, l'utilisateur, la date, le nombre de lignes et le statut.</w:t>
      </w:r>
    </w:p>
    <w:p>
      <w:pPr>
        <w:pStyle w:val="ListBullet"/>
      </w:pPr>
      <w:r>
        <w:t>Étape 1 : lecture et mapping des colonnes ; étape 2 : normalisation ; étape 3 : détection des doublons ; étape 4 : prévisualisation ; étape 5 : validation et insertion transactionnelle par lot.</w:t>
      </w:r>
    </w:p>
    <w:p>
      <w:pPr>
        <w:pStyle w:val="ListBullet"/>
      </w:pPr>
      <w:r>
        <w:t>Ne jamais importer directement les paiements historiques dans la trésorerie de production sans règle de rapprochement et de contrôle.</w:t>
      </w:r>
    </w:p>
    <w:p>
      <w:pPr>
        <w:pStyle w:val="ListBullet"/>
      </w:pPr>
      <w:r>
        <w:t>Pour les paiements historiques, exiger date, élève/matricule, montant, nature, mode et référence si disponible. Les lignes ambiguës vont en erreur pour revue manuelle.</w:t>
      </w:r>
    </w:p>
    <w:p>
      <w:pPr>
        <w:pStyle w:val="ListBullet"/>
      </w:pPr>
      <w:r>
        <w:t>Produire un rapport avec lignes importées, ignorées, en doublon et rejetées, avec le motif exact.</w:t>
      </w:r>
    </w:p>
    <w:p>
      <w:pPr>
        <w:pStyle w:val="ListBullet"/>
      </w:pPr>
      <w:r>
        <w:t>Les données Excel ne remplacent pas les contraintes PostgreSQL : elles les traversent.</w:t>
      </w:r>
    </w:p>
    <w:p>
      <w:pPr>
        <w:pStyle w:val="Heading1"/>
      </w:pPr>
      <w:r>
        <w:t>9. Documents et exports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pPr>
              <w:spacing w:after="0"/>
            </w:pPr>
            <w:r/>
            <w:r>
              <w:rPr>
                <w:b/>
                <w:sz w:val="16"/>
              </w:rPr>
              <w:t>Document</w:t>
            </w:r>
          </w:p>
        </w:tc>
        <w:tc>
          <w:tcPr>
            <w:tcW w:type="dxa" w:w="5040"/>
            <w:vAlign w:val="center"/>
            <w:shd w:fill="D9E5F2"/>
          </w:tcPr>
          <w:p>
            <w:pPr>
              <w:spacing w:after="0"/>
            </w:pPr>
            <w:r/>
            <w:r>
              <w:rPr>
                <w:b/>
                <w:sz w:val="16"/>
              </w:rPr>
              <w:t>Contenu minimal</w:t>
            </w:r>
          </w:p>
        </w:tc>
      </w:tr>
      <w:tr>
        <w:tc>
          <w:tcPr>
            <w:tcW w:type="dxa" w:w="5040"/>
            <w:vAlign w:val="center"/>
          </w:tcPr>
          <w:p>
            <w:pPr>
              <w:spacing w:after="0"/>
            </w:pPr>
            <w:r/>
            <w:r>
              <w:rPr>
                <w:b w:val="0"/>
                <w:sz w:val="16"/>
              </w:rPr>
              <w:t>Reçu de paiement</w:t>
            </w:r>
          </w:p>
        </w:tc>
        <w:tc>
          <w:tcPr>
            <w:tcW w:type="dxa" w:w="5040"/>
            <w:vAlign w:val="center"/>
          </w:tcPr>
          <w:p>
            <w:pPr>
              <w:spacing w:after="0"/>
            </w:pPr>
            <w:r/>
            <w:r>
              <w:rPr>
                <w:b w:val="0"/>
                <w:sz w:val="16"/>
              </w:rPr>
              <w:t>Nom de l'école, numéro unique, date, élève, matricule, classe, nature, échéance(s), montant, mode, compte, agent.</w:t>
            </w:r>
          </w:p>
        </w:tc>
      </w:tr>
      <w:tr>
        <w:tc>
          <w:tcPr>
            <w:tcW w:type="dxa" w:w="5040"/>
            <w:vAlign w:val="center"/>
          </w:tcPr>
          <w:p>
            <w:pPr>
              <w:spacing w:after="0"/>
            </w:pPr>
            <w:r/>
            <w:r>
              <w:rPr>
                <w:b w:val="0"/>
                <w:sz w:val="16"/>
              </w:rPr>
              <w:t>Fiche élève</w:t>
            </w:r>
          </w:p>
        </w:tc>
        <w:tc>
          <w:tcPr>
            <w:tcW w:type="dxa" w:w="5040"/>
            <w:vAlign w:val="center"/>
          </w:tcPr>
          <w:p>
            <w:pPr>
              <w:spacing w:after="0"/>
            </w:pPr>
            <w:r/>
            <w:r>
              <w:rPr>
                <w:b w:val="0"/>
                <w:sz w:val="16"/>
              </w:rPr>
              <w:t>Identité, responsables, classe et année courantes, historique des inscriptions.</w:t>
            </w:r>
          </w:p>
        </w:tc>
      </w:tr>
      <w:tr>
        <w:tc>
          <w:tcPr>
            <w:tcW w:type="dxa" w:w="5040"/>
            <w:vAlign w:val="center"/>
          </w:tcPr>
          <w:p>
            <w:pPr>
              <w:spacing w:after="0"/>
            </w:pPr>
            <w:r/>
            <w:r>
              <w:rPr>
                <w:b w:val="0"/>
                <w:sz w:val="16"/>
              </w:rPr>
              <w:t>Échéancier</w:t>
            </w:r>
          </w:p>
        </w:tc>
        <w:tc>
          <w:tcPr>
            <w:tcW w:type="dxa" w:w="5040"/>
            <w:vAlign w:val="center"/>
          </w:tcPr>
          <w:p>
            <w:pPr>
              <w:spacing w:after="0"/>
            </w:pPr>
            <w:r/>
            <w:r>
              <w:rPr>
                <w:b w:val="0"/>
                <w:sz w:val="16"/>
              </w:rPr>
              <w:t>Six lignes, montant prévu, date limite, payé, restant dû et statut.</w:t>
            </w:r>
          </w:p>
        </w:tc>
      </w:tr>
      <w:tr>
        <w:tc>
          <w:tcPr>
            <w:tcW w:type="dxa" w:w="5040"/>
            <w:vAlign w:val="center"/>
          </w:tcPr>
          <w:p>
            <w:pPr>
              <w:spacing w:after="0"/>
            </w:pPr>
            <w:r/>
            <w:r>
              <w:rPr>
                <w:b w:val="0"/>
                <w:sz w:val="16"/>
              </w:rPr>
              <w:t>Relevé financier élève</w:t>
            </w:r>
          </w:p>
        </w:tc>
        <w:tc>
          <w:tcPr>
            <w:tcW w:type="dxa" w:w="5040"/>
            <w:vAlign w:val="center"/>
          </w:tcPr>
          <w:p>
            <w:pPr>
              <w:spacing w:after="0"/>
            </w:pPr>
            <w:r/>
            <w:r>
              <w:rPr>
                <w:b w:val="0"/>
                <w:sz w:val="16"/>
              </w:rPr>
              <w:t>Charges par nature, paiements, allocations, crédits éventuels, solde.</w:t>
            </w:r>
          </w:p>
        </w:tc>
      </w:tr>
      <w:tr>
        <w:tc>
          <w:tcPr>
            <w:tcW w:type="dxa" w:w="5040"/>
            <w:vAlign w:val="center"/>
          </w:tcPr>
          <w:p>
            <w:pPr>
              <w:spacing w:after="0"/>
            </w:pPr>
            <w:r/>
            <w:r>
              <w:rPr>
                <w:b w:val="0"/>
                <w:sz w:val="16"/>
              </w:rPr>
              <w:t>Journal de caisse</w:t>
            </w:r>
          </w:p>
        </w:tc>
        <w:tc>
          <w:tcPr>
            <w:tcW w:type="dxa" w:w="5040"/>
            <w:vAlign w:val="center"/>
          </w:tcPr>
          <w:p>
            <w:pPr>
              <w:spacing w:after="0"/>
            </w:pPr>
            <w:r/>
            <w:r>
              <w:rPr>
                <w:b w:val="0"/>
                <w:sz w:val="16"/>
              </w:rPr>
              <w:t>Date, référence, libellé, entrée, sortie, solde progressif, utilisateur.</w:t>
            </w:r>
          </w:p>
        </w:tc>
      </w:tr>
      <w:tr>
        <w:tc>
          <w:tcPr>
            <w:tcW w:type="dxa" w:w="5040"/>
            <w:vAlign w:val="center"/>
          </w:tcPr>
          <w:p>
            <w:pPr>
              <w:spacing w:after="0"/>
            </w:pPr>
            <w:r/>
            <w:r>
              <w:rPr>
                <w:b w:val="0"/>
                <w:sz w:val="16"/>
              </w:rPr>
              <w:t>Journal bancaire</w:t>
            </w:r>
          </w:p>
        </w:tc>
        <w:tc>
          <w:tcPr>
            <w:tcW w:type="dxa" w:w="5040"/>
            <w:vAlign w:val="center"/>
          </w:tcPr>
          <w:p>
            <w:pPr>
              <w:spacing w:after="0"/>
            </w:pPr>
            <w:r/>
            <w:r>
              <w:rPr>
                <w:b w:val="0"/>
                <w:sz w:val="16"/>
              </w:rPr>
              <w:t>Date, référence, libellé, crédit/débit interne, solde et statut de rapprochement.</w:t>
            </w:r>
          </w:p>
        </w:tc>
      </w:tr>
      <w:tr>
        <w:tc>
          <w:tcPr>
            <w:tcW w:type="dxa" w:w="5040"/>
            <w:vAlign w:val="center"/>
          </w:tcPr>
          <w:p>
            <w:pPr>
              <w:spacing w:after="0"/>
            </w:pPr>
            <w:r/>
            <w:r>
              <w:rPr>
                <w:b w:val="0"/>
                <w:sz w:val="16"/>
              </w:rPr>
              <w:t>État des impayés</w:t>
            </w:r>
          </w:p>
        </w:tc>
        <w:tc>
          <w:tcPr>
            <w:tcW w:type="dxa" w:w="5040"/>
            <w:vAlign w:val="center"/>
          </w:tcPr>
          <w:p>
            <w:pPr>
              <w:spacing w:after="0"/>
            </w:pPr>
            <w:r/>
            <w:r>
              <w:rPr>
                <w:b w:val="0"/>
                <w:sz w:val="16"/>
              </w:rPr>
              <w:t>Élève, responsable, classe, échéance, retard, montant restant.</w:t>
            </w:r>
          </w:p>
        </w:tc>
      </w:tr>
      <w:tr>
        <w:tc>
          <w:tcPr>
            <w:tcW w:type="dxa" w:w="5040"/>
            <w:vAlign w:val="center"/>
          </w:tcPr>
          <w:p>
            <w:pPr>
              <w:spacing w:after="0"/>
            </w:pPr>
            <w:r/>
            <w:r>
              <w:rPr>
                <w:b w:val="0"/>
                <w:sz w:val="16"/>
              </w:rPr>
              <w:t>Rapport de dépenses</w:t>
            </w:r>
          </w:p>
        </w:tc>
        <w:tc>
          <w:tcPr>
            <w:tcW w:type="dxa" w:w="5040"/>
            <w:vAlign w:val="center"/>
          </w:tcPr>
          <w:p>
            <w:pPr>
              <w:spacing w:after="0"/>
            </w:pPr>
            <w:r/>
            <w:r>
              <w:rPr>
                <w:b w:val="0"/>
                <w:sz w:val="16"/>
              </w:rPr>
              <w:t>Date, catégorie, bénéficiaire, pièce, compte, montant, statut.</w:t>
            </w:r>
          </w:p>
        </w:tc>
      </w:tr>
      <w:tr>
        <w:tc>
          <w:tcPr>
            <w:tcW w:type="dxa" w:w="5040"/>
            <w:vAlign w:val="center"/>
          </w:tcPr>
          <w:p>
            <w:pPr>
              <w:spacing w:after="0"/>
            </w:pPr>
            <w:r/>
            <w:r>
              <w:rPr>
                <w:b w:val="0"/>
                <w:sz w:val="16"/>
              </w:rPr>
              <w:t>Rapprochement bancaire</w:t>
            </w:r>
          </w:p>
        </w:tc>
        <w:tc>
          <w:tcPr>
            <w:tcW w:type="dxa" w:w="5040"/>
            <w:vAlign w:val="center"/>
          </w:tcPr>
          <w:p>
            <w:pPr>
              <w:spacing w:after="0"/>
            </w:pPr>
            <w:r/>
            <w:r>
              <w:rPr>
                <w:b w:val="0"/>
                <w:sz w:val="16"/>
              </w:rPr>
              <w:t>Solde relevé, solde comptable, opérations rapprochées, non rapprochées et écarts.</w:t>
            </w:r>
          </w:p>
        </w:tc>
      </w:tr>
      <w:tr>
        <w:tc>
          <w:tcPr>
            <w:tcW w:type="dxa" w:w="5040"/>
            <w:vAlign w:val="center"/>
          </w:tcPr>
          <w:p>
            <w:pPr>
              <w:spacing w:after="0"/>
            </w:pPr>
            <w:r/>
            <w:r>
              <w:rPr>
                <w:b w:val="0"/>
                <w:sz w:val="16"/>
              </w:rPr>
              <w:t>Rapport direction</w:t>
            </w:r>
          </w:p>
        </w:tc>
        <w:tc>
          <w:tcPr>
            <w:tcW w:type="dxa" w:w="5040"/>
            <w:vAlign w:val="center"/>
          </w:tcPr>
          <w:p>
            <w:pPr>
              <w:spacing w:after="0"/>
            </w:pPr>
            <w:r/>
            <w:r>
              <w:rPr>
                <w:b w:val="0"/>
                <w:sz w:val="16"/>
              </w:rPr>
              <w:t>Effectifs, exigible, encaissé, impayés, dépenses et soldes de trésorerie séparés.</w:t>
            </w:r>
          </w:p>
        </w:tc>
      </w:tr>
    </w:tbl>
    <w:p>
      <w:pPr>
        <w:spacing w:after="20"/>
      </w:pPr>
    </w:p>
    <w:p>
      <w:r>
        <w:t>Les documents doivent être rendus côté serveur ou à partir d'une vue de données stable, avec filtres affichés, pagination contrôlée et date d'édition. Les exports CSV doivent neutraliser les formules de tableur dans les cellules provenant d'utilisateurs.</w:t>
      </w:r>
    </w:p>
    <w:p>
      <w:pPr>
        <w:pStyle w:val="Heading1"/>
      </w:pPr>
      <w:r>
        <w:t>10. Tableau de bord et règles de calcul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pPr>
              <w:spacing w:after="0"/>
            </w:pPr>
            <w:r/>
            <w:r>
              <w:rPr>
                <w:b/>
                <w:sz w:val="16"/>
              </w:rPr>
              <w:t>Indicateur</w:t>
            </w:r>
          </w:p>
        </w:tc>
        <w:tc>
          <w:tcPr>
            <w:tcW w:type="dxa" w:w="5040"/>
            <w:vAlign w:val="center"/>
            <w:shd w:fill="D9E5F2"/>
          </w:tcPr>
          <w:p>
            <w:pPr>
              <w:spacing w:after="0"/>
            </w:pPr>
            <w:r/>
            <w:r>
              <w:rPr>
                <w:b/>
                <w:sz w:val="16"/>
              </w:rPr>
              <w:t>Définition</w:t>
            </w:r>
          </w:p>
        </w:tc>
      </w:tr>
      <w:tr>
        <w:tc>
          <w:tcPr>
            <w:tcW w:type="dxa" w:w="5040"/>
            <w:vAlign w:val="center"/>
          </w:tcPr>
          <w:p>
            <w:pPr>
              <w:spacing w:after="0"/>
            </w:pPr>
            <w:r/>
            <w:r>
              <w:rPr>
                <w:b w:val="0"/>
                <w:sz w:val="16"/>
              </w:rPr>
              <w:t>Effectif actif</w:t>
            </w:r>
          </w:p>
        </w:tc>
        <w:tc>
          <w:tcPr>
            <w:tcW w:type="dxa" w:w="5040"/>
            <w:vAlign w:val="center"/>
          </w:tcPr>
          <w:p>
            <w:pPr>
              <w:spacing w:after="0"/>
            </w:pPr>
            <w:r/>
            <w:r>
              <w:rPr>
                <w:b w:val="0"/>
                <w:sz w:val="16"/>
              </w:rPr>
              <w:t>Nombre d'inscriptions actives pour l'année sélectionnée.</w:t>
            </w:r>
          </w:p>
        </w:tc>
      </w:tr>
      <w:tr>
        <w:tc>
          <w:tcPr>
            <w:tcW w:type="dxa" w:w="5040"/>
            <w:vAlign w:val="center"/>
          </w:tcPr>
          <w:p>
            <w:pPr>
              <w:spacing w:after="0"/>
            </w:pPr>
            <w:r/>
            <w:r>
              <w:rPr>
                <w:b w:val="0"/>
                <w:sz w:val="16"/>
              </w:rPr>
              <w:t>Montant exigible</w:t>
            </w:r>
          </w:p>
        </w:tc>
        <w:tc>
          <w:tcPr>
            <w:tcW w:type="dxa" w:w="5040"/>
            <w:vAlign w:val="center"/>
          </w:tcPr>
          <w:p>
            <w:pPr>
              <w:spacing w:after="0"/>
            </w:pPr>
            <w:r/>
            <w:r>
              <w:rPr>
                <w:b w:val="0"/>
                <w:sz w:val="16"/>
              </w:rPr>
              <w:t>Somme des charges exigibles selon la politique de reconnaissance retenue.</w:t>
            </w:r>
          </w:p>
        </w:tc>
      </w:tr>
      <w:tr>
        <w:tc>
          <w:tcPr>
            <w:tcW w:type="dxa" w:w="5040"/>
            <w:vAlign w:val="center"/>
          </w:tcPr>
          <w:p>
            <w:pPr>
              <w:spacing w:after="0"/>
            </w:pPr>
            <w:r/>
            <w:r>
              <w:rPr>
                <w:b w:val="0"/>
                <w:sz w:val="16"/>
              </w:rPr>
              <w:t>Montant encaissé</w:t>
            </w:r>
          </w:p>
        </w:tc>
        <w:tc>
          <w:tcPr>
            <w:tcW w:type="dxa" w:w="5040"/>
            <w:vAlign w:val="center"/>
          </w:tcPr>
          <w:p>
            <w:pPr>
              <w:spacing w:after="0"/>
            </w:pPr>
            <w:r/>
            <w:r>
              <w:rPr>
                <w:b w:val="0"/>
                <w:sz w:val="16"/>
              </w:rPr>
              <w:t>Somme des paiements validés, hors paiements annulés.</w:t>
            </w:r>
          </w:p>
        </w:tc>
      </w:tr>
      <w:tr>
        <w:tc>
          <w:tcPr>
            <w:tcW w:type="dxa" w:w="5040"/>
            <w:vAlign w:val="center"/>
          </w:tcPr>
          <w:p>
            <w:pPr>
              <w:spacing w:after="0"/>
            </w:pPr>
            <w:r/>
            <w:r>
              <w:rPr>
                <w:b w:val="0"/>
                <w:sz w:val="16"/>
              </w:rPr>
              <w:t>Montant affecté</w:t>
            </w:r>
          </w:p>
        </w:tc>
        <w:tc>
          <w:tcPr>
            <w:tcW w:type="dxa" w:w="5040"/>
            <w:vAlign w:val="center"/>
          </w:tcPr>
          <w:p>
            <w:pPr>
              <w:spacing w:after="0"/>
            </w:pPr>
            <w:r/>
            <w:r>
              <w:rPr>
                <w:b w:val="0"/>
                <w:sz w:val="16"/>
              </w:rPr>
              <w:t>Somme des allocations validées sur les charges.</w:t>
            </w:r>
          </w:p>
        </w:tc>
      </w:tr>
      <w:tr>
        <w:tc>
          <w:tcPr>
            <w:tcW w:type="dxa" w:w="5040"/>
            <w:vAlign w:val="center"/>
          </w:tcPr>
          <w:p>
            <w:pPr>
              <w:spacing w:after="0"/>
            </w:pPr>
            <w:r/>
            <w:r>
              <w:rPr>
                <w:b w:val="0"/>
                <w:sz w:val="16"/>
              </w:rPr>
              <w:t>Reste à recouvrer</w:t>
            </w:r>
          </w:p>
        </w:tc>
        <w:tc>
          <w:tcPr>
            <w:tcW w:type="dxa" w:w="5040"/>
            <w:vAlign w:val="center"/>
          </w:tcPr>
          <w:p>
            <w:pPr>
              <w:spacing w:after="0"/>
            </w:pPr>
            <w:r/>
            <w:r>
              <w:rPr>
                <w:b w:val="0"/>
                <w:sz w:val="16"/>
              </w:rPr>
              <w:t>Charges exigibles moins allocations valides, plancher et crédits gérés explicitement.</w:t>
            </w:r>
          </w:p>
        </w:tc>
      </w:tr>
      <w:tr>
        <w:tc>
          <w:tcPr>
            <w:tcW w:type="dxa" w:w="5040"/>
            <w:vAlign w:val="center"/>
          </w:tcPr>
          <w:p>
            <w:pPr>
              <w:spacing w:after="0"/>
            </w:pPr>
            <w:r/>
            <w:r>
              <w:rPr>
                <w:b w:val="0"/>
                <w:sz w:val="16"/>
              </w:rPr>
              <w:t>Taux de recouvrement</w:t>
            </w:r>
          </w:p>
        </w:tc>
        <w:tc>
          <w:tcPr>
            <w:tcW w:type="dxa" w:w="5040"/>
            <w:vAlign w:val="center"/>
          </w:tcPr>
          <w:p>
            <w:pPr>
              <w:spacing w:after="0"/>
            </w:pPr>
            <w:r/>
            <w:r>
              <w:rPr>
                <w:b w:val="0"/>
                <w:sz w:val="16"/>
              </w:rPr>
              <w:t>Montant recouvré / montant exigible ; afficher N/A si le dénominateur vaut zéro.</w:t>
            </w:r>
          </w:p>
        </w:tc>
      </w:tr>
      <w:tr>
        <w:tc>
          <w:tcPr>
            <w:tcW w:type="dxa" w:w="5040"/>
            <w:vAlign w:val="center"/>
          </w:tcPr>
          <w:p>
            <w:pPr>
              <w:spacing w:after="0"/>
            </w:pPr>
            <w:r/>
            <w:r>
              <w:rPr>
                <w:b w:val="0"/>
                <w:sz w:val="16"/>
              </w:rPr>
              <w:t>Solde caisse</w:t>
            </w:r>
          </w:p>
        </w:tc>
        <w:tc>
          <w:tcPr>
            <w:tcW w:type="dxa" w:w="5040"/>
            <w:vAlign w:val="center"/>
          </w:tcPr>
          <w:p>
            <w:pPr>
              <w:spacing w:after="0"/>
            </w:pPr>
            <w:r/>
            <w:r>
              <w:rPr>
                <w:b w:val="0"/>
                <w:sz w:val="16"/>
              </w:rPr>
              <w:t>Solde d'ouverture + mouvements de caisse validés.</w:t>
            </w:r>
          </w:p>
        </w:tc>
      </w:tr>
      <w:tr>
        <w:tc>
          <w:tcPr>
            <w:tcW w:type="dxa" w:w="5040"/>
            <w:vAlign w:val="center"/>
          </w:tcPr>
          <w:p>
            <w:pPr>
              <w:spacing w:after="0"/>
            </w:pPr>
            <w:r/>
            <w:r>
              <w:rPr>
                <w:b w:val="0"/>
                <w:sz w:val="16"/>
              </w:rPr>
              <w:t>Solde bancaire</w:t>
            </w:r>
          </w:p>
        </w:tc>
        <w:tc>
          <w:tcPr>
            <w:tcW w:type="dxa" w:w="5040"/>
            <w:vAlign w:val="center"/>
          </w:tcPr>
          <w:p>
            <w:pPr>
              <w:spacing w:after="0"/>
            </w:pPr>
            <w:r/>
            <w:r>
              <w:rPr>
                <w:b w:val="0"/>
                <w:sz w:val="16"/>
              </w:rPr>
              <w:t>Solde d'ouverture + mouvements bancaires validés, distingué du solde du relevé.</w:t>
            </w:r>
          </w:p>
        </w:tc>
      </w:tr>
      <w:tr>
        <w:tc>
          <w:tcPr>
            <w:tcW w:type="dxa" w:w="5040"/>
            <w:vAlign w:val="center"/>
          </w:tcPr>
          <w:p>
            <w:pPr>
              <w:spacing w:after="0"/>
            </w:pPr>
            <w:r/>
            <w:r>
              <w:rPr>
                <w:b w:val="0"/>
                <w:sz w:val="16"/>
              </w:rPr>
              <w:t>Trésorerie totale</w:t>
            </w:r>
          </w:p>
        </w:tc>
        <w:tc>
          <w:tcPr>
            <w:tcW w:type="dxa" w:w="5040"/>
            <w:vAlign w:val="center"/>
          </w:tcPr>
          <w:p>
            <w:pPr>
              <w:spacing w:after="0"/>
            </w:pPr>
            <w:r/>
            <w:r>
              <w:rPr>
                <w:b w:val="0"/>
                <w:sz w:val="16"/>
              </w:rPr>
              <w:t>Somme des soldes des comptes actifs ; exclure les transferts des recettes/dépenses.</w:t>
            </w:r>
          </w:p>
        </w:tc>
      </w:tr>
      <w:tr>
        <w:tc>
          <w:tcPr>
            <w:tcW w:type="dxa" w:w="5040"/>
            <w:vAlign w:val="center"/>
          </w:tcPr>
          <w:p>
            <w:pPr>
              <w:spacing w:after="0"/>
            </w:pPr>
            <w:r/>
            <w:r>
              <w:rPr>
                <w:b w:val="0"/>
                <w:sz w:val="16"/>
              </w:rPr>
              <w:t>Dépenses</w:t>
            </w:r>
          </w:p>
        </w:tc>
        <w:tc>
          <w:tcPr>
            <w:tcW w:type="dxa" w:w="5040"/>
            <w:vAlign w:val="center"/>
          </w:tcPr>
          <w:p>
            <w:pPr>
              <w:spacing w:after="0"/>
            </w:pPr>
            <w:r/>
            <w:r>
              <w:rPr>
                <w:b w:val="0"/>
                <w:sz w:val="16"/>
              </w:rPr>
              <w:t>Somme des dépenses validées sur la période ; ne pas déduire les transferts internes.</w:t>
            </w:r>
          </w:p>
        </w:tc>
      </w:tr>
    </w:tbl>
    <w:p>
      <w:pPr>
        <w:spacing w:after="20"/>
      </w:pPr>
    </w:p>
    <w:p>
      <w:r>
        <w:t>Les définitions de date de reconnaissance des charges et de période de recette doivent être explicites. Un rapport de caisse mesure des mouvements de trésorerie ; il ne doit pas être présenté comme un compte de résultat comptable complet.</w:t>
      </w:r>
    </w:p>
    <w:p>
      <w:pPr>
        <w:pStyle w:val="Heading1"/>
      </w:pPr>
      <w:r>
        <w:t>11. Tests et critères de recette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pPr>
              <w:spacing w:after="0"/>
            </w:pPr>
            <w:r/>
            <w:r>
              <w:rPr>
                <w:b/>
                <w:sz w:val="16"/>
              </w:rPr>
              <w:t>Test</w:t>
            </w:r>
          </w:p>
        </w:tc>
        <w:tc>
          <w:tcPr>
            <w:tcW w:type="dxa" w:w="5040"/>
            <w:vAlign w:val="center"/>
            <w:shd w:fill="D9E5F2"/>
          </w:tcPr>
          <w:p>
            <w:pPr>
              <w:spacing w:after="0"/>
            </w:pPr>
            <w:r/>
            <w:r>
              <w:rPr>
                <w:b/>
                <w:sz w:val="16"/>
              </w:rPr>
              <w:t>Résultat attendu</w:t>
            </w:r>
          </w:p>
        </w:tc>
      </w:tr>
      <w:tr>
        <w:tc>
          <w:tcPr>
            <w:tcW w:type="dxa" w:w="5040"/>
            <w:vAlign w:val="center"/>
          </w:tcPr>
          <w:p>
            <w:pPr>
              <w:spacing w:after="0"/>
            </w:pPr>
            <w:r/>
            <w:r>
              <w:rPr>
                <w:b w:val="0"/>
                <w:sz w:val="16"/>
              </w:rPr>
              <w:t>Matricule dupliqué</w:t>
            </w:r>
          </w:p>
        </w:tc>
        <w:tc>
          <w:tcPr>
            <w:tcW w:type="dxa" w:w="5040"/>
            <w:vAlign w:val="center"/>
          </w:tcPr>
          <w:p>
            <w:pPr>
              <w:spacing w:after="0"/>
            </w:pPr>
            <w:r/>
            <w:r>
              <w:rPr>
                <w:b w:val="0"/>
                <w:sz w:val="16"/>
              </w:rPr>
              <w:t>Insertion refusée par contrainte unique.</w:t>
            </w:r>
          </w:p>
        </w:tc>
      </w:tr>
      <w:tr>
        <w:tc>
          <w:tcPr>
            <w:tcW w:type="dxa" w:w="5040"/>
            <w:vAlign w:val="center"/>
          </w:tcPr>
          <w:p>
            <w:pPr>
              <w:spacing w:after="0"/>
            </w:pPr>
            <w:r/>
            <w:r>
              <w:rPr>
                <w:b w:val="0"/>
                <w:sz w:val="16"/>
              </w:rPr>
              <w:t>Paiement partiel</w:t>
            </w:r>
          </w:p>
        </w:tc>
        <w:tc>
          <w:tcPr>
            <w:tcW w:type="dxa" w:w="5040"/>
            <w:vAlign w:val="center"/>
          </w:tcPr>
          <w:p>
            <w:pPr>
              <w:spacing w:after="0"/>
            </w:pPr>
            <w:r/>
            <w:r>
              <w:rPr>
                <w:b w:val="0"/>
                <w:sz w:val="16"/>
              </w:rPr>
              <w:t>Reste dû exact et statut partiel.</w:t>
            </w:r>
          </w:p>
        </w:tc>
      </w:tr>
      <w:tr>
        <w:tc>
          <w:tcPr>
            <w:tcW w:type="dxa" w:w="5040"/>
            <w:vAlign w:val="center"/>
          </w:tcPr>
          <w:p>
            <w:pPr>
              <w:spacing w:after="0"/>
            </w:pPr>
            <w:r/>
            <w:r>
              <w:rPr>
                <w:b w:val="0"/>
                <w:sz w:val="16"/>
              </w:rPr>
              <w:t>Paiement couvrant plusieurs échéances</w:t>
            </w:r>
          </w:p>
        </w:tc>
        <w:tc>
          <w:tcPr>
            <w:tcW w:type="dxa" w:w="5040"/>
            <w:vAlign w:val="center"/>
          </w:tcPr>
          <w:p>
            <w:pPr>
              <w:spacing w:after="0"/>
            </w:pPr>
            <w:r/>
            <w:r>
              <w:rPr>
                <w:b w:val="0"/>
                <w:sz w:val="16"/>
              </w:rPr>
              <w:t>Allocations totalisées et reçus cohérents.</w:t>
            </w:r>
          </w:p>
        </w:tc>
      </w:tr>
      <w:tr>
        <w:tc>
          <w:tcPr>
            <w:tcW w:type="dxa" w:w="5040"/>
            <w:vAlign w:val="center"/>
          </w:tcPr>
          <w:p>
            <w:pPr>
              <w:spacing w:after="0"/>
            </w:pPr>
            <w:r/>
            <w:r>
              <w:rPr>
                <w:b w:val="0"/>
                <w:sz w:val="16"/>
              </w:rPr>
              <w:t>Deux encaissements concurrents</w:t>
            </w:r>
          </w:p>
        </w:tc>
        <w:tc>
          <w:tcPr>
            <w:tcW w:type="dxa" w:w="5040"/>
            <w:vAlign w:val="center"/>
          </w:tcPr>
          <w:p>
            <w:pPr>
              <w:spacing w:after="0"/>
            </w:pPr>
            <w:r/>
            <w:r>
              <w:rPr>
                <w:b w:val="0"/>
                <w:sz w:val="16"/>
              </w:rPr>
              <w:t>Verrous transactionnels ; aucun dépassement du dû ni double numéro.</w:t>
            </w:r>
          </w:p>
        </w:tc>
      </w:tr>
      <w:tr>
        <w:tc>
          <w:tcPr>
            <w:tcW w:type="dxa" w:w="5040"/>
            <w:vAlign w:val="center"/>
          </w:tcPr>
          <w:p>
            <w:pPr>
              <w:spacing w:after="0"/>
            </w:pPr>
            <w:r/>
            <w:r>
              <w:rPr>
                <w:b w:val="0"/>
                <w:sz w:val="16"/>
              </w:rPr>
              <w:t>Double soumission du formulaire</w:t>
            </w:r>
          </w:p>
        </w:tc>
        <w:tc>
          <w:tcPr>
            <w:tcW w:type="dxa" w:w="5040"/>
            <w:vAlign w:val="center"/>
          </w:tcPr>
          <w:p>
            <w:pPr>
              <w:spacing w:after="0"/>
            </w:pPr>
            <w:r/>
            <w:r>
              <w:rPr>
                <w:b w:val="0"/>
                <w:sz w:val="16"/>
              </w:rPr>
              <w:t>Clé d'idempotence ou référence unique empêchant le double encaissement.</w:t>
            </w:r>
          </w:p>
        </w:tc>
      </w:tr>
      <w:tr>
        <w:tc>
          <w:tcPr>
            <w:tcW w:type="dxa" w:w="5040"/>
            <w:vAlign w:val="center"/>
          </w:tcPr>
          <w:p>
            <w:pPr>
              <w:spacing w:after="0"/>
            </w:pPr>
            <w:r/>
            <w:r>
              <w:rPr>
                <w:b w:val="0"/>
                <w:sz w:val="16"/>
              </w:rPr>
              <w:t>Échec après création du paiement</w:t>
            </w:r>
          </w:p>
        </w:tc>
        <w:tc>
          <w:tcPr>
            <w:tcW w:type="dxa" w:w="5040"/>
            <w:vAlign w:val="center"/>
          </w:tcPr>
          <w:p>
            <w:pPr>
              <w:spacing w:after="0"/>
            </w:pPr>
            <w:r/>
            <w:r>
              <w:rPr>
                <w:b w:val="0"/>
                <w:sz w:val="16"/>
              </w:rPr>
              <w:t>Rollback de toutes les écritures liées.</w:t>
            </w:r>
          </w:p>
        </w:tc>
      </w:tr>
      <w:tr>
        <w:tc>
          <w:tcPr>
            <w:tcW w:type="dxa" w:w="5040"/>
            <w:vAlign w:val="center"/>
          </w:tcPr>
          <w:p>
            <w:pPr>
              <w:spacing w:after="0"/>
            </w:pPr>
            <w:r/>
            <w:r>
              <w:rPr>
                <w:b w:val="0"/>
                <w:sz w:val="16"/>
              </w:rPr>
              <w:t>Réimpression</w:t>
            </w:r>
          </w:p>
        </w:tc>
        <w:tc>
          <w:tcPr>
            <w:tcW w:type="dxa" w:w="5040"/>
            <w:vAlign w:val="center"/>
          </w:tcPr>
          <w:p>
            <w:pPr>
              <w:spacing w:after="0"/>
            </w:pPr>
            <w:r/>
            <w:r>
              <w:rPr>
                <w:b w:val="0"/>
                <w:sz w:val="16"/>
              </w:rPr>
              <w:t>Aucun mouvement financier supplémentaire.</w:t>
            </w:r>
          </w:p>
        </w:tc>
      </w:tr>
      <w:tr>
        <w:tc>
          <w:tcPr>
            <w:tcW w:type="dxa" w:w="5040"/>
            <w:vAlign w:val="center"/>
          </w:tcPr>
          <w:p>
            <w:pPr>
              <w:spacing w:after="0"/>
            </w:pPr>
            <w:r/>
            <w:r>
              <w:rPr>
                <w:b w:val="0"/>
                <w:sz w:val="16"/>
              </w:rPr>
              <w:t>Annulation</w:t>
            </w:r>
          </w:p>
        </w:tc>
        <w:tc>
          <w:tcPr>
            <w:tcW w:type="dxa" w:w="5040"/>
            <w:vAlign w:val="center"/>
          </w:tcPr>
          <w:p>
            <w:pPr>
              <w:spacing w:after="0"/>
            </w:pPr>
            <w:r/>
            <w:r>
              <w:rPr>
                <w:b w:val="0"/>
                <w:sz w:val="16"/>
              </w:rPr>
              <w:t>Original conservé, contre-écritures et audit présents.</w:t>
            </w:r>
          </w:p>
        </w:tc>
      </w:tr>
      <w:tr>
        <w:tc>
          <w:tcPr>
            <w:tcW w:type="dxa" w:w="5040"/>
            <w:vAlign w:val="center"/>
          </w:tcPr>
          <w:p>
            <w:pPr>
              <w:spacing w:after="0"/>
            </w:pPr>
            <w:r/>
            <w:r>
              <w:rPr>
                <w:b w:val="0"/>
                <w:sz w:val="16"/>
              </w:rPr>
              <w:t>Transfert caisse → banque</w:t>
            </w:r>
          </w:p>
        </w:tc>
        <w:tc>
          <w:tcPr>
            <w:tcW w:type="dxa" w:w="5040"/>
            <w:vAlign w:val="center"/>
          </w:tcPr>
          <w:p>
            <w:pPr>
              <w:spacing w:after="0"/>
            </w:pPr>
            <w:r/>
            <w:r>
              <w:rPr>
                <w:b w:val="0"/>
                <w:sz w:val="16"/>
              </w:rPr>
              <w:t>Deux mouvements opposés, aucun impact sur les recettes opérationnelles.</w:t>
            </w:r>
          </w:p>
        </w:tc>
      </w:tr>
      <w:tr>
        <w:tc>
          <w:tcPr>
            <w:tcW w:type="dxa" w:w="5040"/>
            <w:vAlign w:val="center"/>
          </w:tcPr>
          <w:p>
            <w:pPr>
              <w:spacing w:after="0"/>
            </w:pPr>
            <w:r/>
            <w:r>
              <w:rPr>
                <w:b w:val="0"/>
                <w:sz w:val="16"/>
              </w:rPr>
              <w:t>Utilisateur sans droit</w:t>
            </w:r>
          </w:p>
        </w:tc>
        <w:tc>
          <w:tcPr>
            <w:tcW w:type="dxa" w:w="5040"/>
            <w:vAlign w:val="center"/>
          </w:tcPr>
          <w:p>
            <w:pPr>
              <w:spacing w:after="0"/>
            </w:pPr>
            <w:r/>
            <w:r>
              <w:rPr>
                <w:b w:val="0"/>
                <w:sz w:val="16"/>
              </w:rPr>
              <w:t>Mutation refusée côté serveur et par RLS.</w:t>
            </w:r>
          </w:p>
        </w:tc>
      </w:tr>
      <w:tr>
        <w:tc>
          <w:tcPr>
            <w:tcW w:type="dxa" w:w="5040"/>
            <w:vAlign w:val="center"/>
          </w:tcPr>
          <w:p>
            <w:pPr>
              <w:spacing w:after="0"/>
            </w:pPr>
            <w:r/>
            <w:r>
              <w:rPr>
                <w:b w:val="0"/>
                <w:sz w:val="16"/>
              </w:rPr>
              <w:t>Import Excel ambigu</w:t>
            </w:r>
          </w:p>
        </w:tc>
        <w:tc>
          <w:tcPr>
            <w:tcW w:type="dxa" w:w="5040"/>
            <w:vAlign w:val="center"/>
          </w:tcPr>
          <w:p>
            <w:pPr>
              <w:spacing w:after="0"/>
            </w:pPr>
            <w:r/>
            <w:r>
              <w:rPr>
                <w:b w:val="0"/>
                <w:sz w:val="16"/>
              </w:rPr>
              <w:t>Ligne rejetée ou mise en revue, jamais intégrée silencieusement.</w:t>
            </w:r>
          </w:p>
        </w:tc>
      </w:tr>
      <w:tr>
        <w:tc>
          <w:tcPr>
            <w:tcW w:type="dxa" w:w="5040"/>
            <w:vAlign w:val="center"/>
          </w:tcPr>
          <w:p>
            <w:pPr>
              <w:spacing w:after="0"/>
            </w:pPr>
            <w:r/>
            <w:r>
              <w:rPr>
                <w:b w:val="0"/>
                <w:sz w:val="16"/>
              </w:rPr>
              <w:t>Export et impression filtrés</w:t>
            </w:r>
          </w:p>
        </w:tc>
        <w:tc>
          <w:tcPr>
            <w:tcW w:type="dxa" w:w="5040"/>
            <w:vAlign w:val="center"/>
          </w:tcPr>
          <w:p>
            <w:pPr>
              <w:spacing w:after="0"/>
            </w:pPr>
            <w:r/>
            <w:r>
              <w:rPr>
                <w:b w:val="0"/>
                <w:sz w:val="16"/>
              </w:rPr>
              <w:t>Totaux identiques à la vue filtrée.</w:t>
            </w:r>
          </w:p>
        </w:tc>
      </w:tr>
      <w:tr>
        <w:tc>
          <w:tcPr>
            <w:tcW w:type="dxa" w:w="5040"/>
            <w:vAlign w:val="center"/>
          </w:tcPr>
          <w:p>
            <w:pPr>
              <w:spacing w:after="0"/>
            </w:pPr>
            <w:r/>
            <w:r>
              <w:rPr>
                <w:b w:val="0"/>
                <w:sz w:val="16"/>
              </w:rPr>
              <w:t>Restauration sauvegarde</w:t>
            </w:r>
          </w:p>
        </w:tc>
        <w:tc>
          <w:tcPr>
            <w:tcW w:type="dxa" w:w="5040"/>
            <w:vAlign w:val="center"/>
          </w:tcPr>
          <w:p>
            <w:pPr>
              <w:spacing w:after="0"/>
            </w:pPr>
            <w:r/>
            <w:r>
              <w:rPr>
                <w:b w:val="0"/>
                <w:sz w:val="16"/>
              </w:rPr>
              <w:t>Données, contraintes et fichiers essentiels récupérables.</w:t>
            </w:r>
          </w:p>
        </w:tc>
      </w:tr>
    </w:tbl>
    <w:p>
      <w:pPr>
        <w:spacing w:after="20"/>
      </w:pPr>
    </w:p>
    <w:p>
      <w:r>
        <w:t>Prévoir tests unitaires pour les règles de calcul, tests d'intégration PostgreSQL/RLS, tests de bout en bout Playwright et tests de concurrence/idempotence sur les encaissements.</w:t>
      </w:r>
    </w:p>
    <w:p>
      <w:pPr>
        <w:pStyle w:val="Heading1"/>
      </w:pPr>
      <w:r>
        <w:t>12. CI/CD, environnements et livraison</w:t>
      </w:r>
    </w:p>
    <w:p>
      <w:pPr>
        <w:pStyle w:val="ListBullet"/>
      </w:pPr>
      <w:r>
        <w:t>Branches recommandées : main (production) et feature/* ou develop (travail), avec Pull Request et revue.</w:t>
      </w:r>
    </w:p>
    <w:p>
      <w:pPr>
        <w:pStyle w:val="ListBullet"/>
      </w:pPr>
      <w:r>
        <w:t>Vercel Preview pour chaque Pull Request ; production uniquement depuis la branche protégée.</w:t>
      </w:r>
    </w:p>
    <w:p>
      <w:pPr>
        <w:pStyle w:val="ListBullet"/>
      </w:pPr>
      <w:r>
        <w:t>GitHub Actions : lint, typecheck, tests unitaires, tests d'intégration, build.</w:t>
      </w:r>
    </w:p>
    <w:p>
      <w:pPr>
        <w:pStyle w:val="ListBullet"/>
      </w:pPr>
      <w:r>
        <w:t>Supabase local ou projet de test séparé ; ne pas exécuter des tests de destruction sur la base de production.</w:t>
      </w:r>
    </w:p>
    <w:p>
      <w:pPr>
        <w:pStyle w:val="ListBullet"/>
      </w:pPr>
      <w:r>
        <w:t>Les migrations sont versionnées et exécutées dans l'ordre ; aucune modification manuelle non documentée du schéma de production.</w:t>
      </w:r>
    </w:p>
    <w:p>
      <w:pPr>
        <w:pStyle w:val="ListBullet"/>
      </w:pPr>
      <w:r>
        <w:t>Variables : NEXT_PUBLIC_SUPABASE_URL et NEXT_PUBLIC_SUPABASE_ANON_KEY côté client ; secrets serveur dans l'environnement sécurisé Vercel.</w:t>
      </w:r>
    </w:p>
    <w:p>
      <w:pPr>
        <w:pStyle w:val="ListBullet"/>
      </w:pPr>
      <w:r>
        <w:t>Tenir un README, un fichier ETAPE.md, un guide de déploiement, un guide de sauvegarde/restauration et un guide utilisateur.</w:t>
      </w:r>
    </w:p>
    <w:p>
      <w:pPr>
        <w:pStyle w:val="Heading1"/>
      </w:pPr>
      <w:r>
        <w:t>13. Décisions encore à prendre avant mise en production</w:t>
      </w:r>
    </w:p>
    <w:p>
      <w:pPr>
        <w:pStyle w:val="ListBullet"/>
      </w:pPr>
      <w:r>
        <w:t>Nom exact et période de l'année scolaire initiale.</w:t>
      </w:r>
    </w:p>
    <w:p>
      <w:pPr>
        <w:pStyle w:val="ListBullet"/>
      </w:pPr>
      <w:r>
        <w:t>Liste réelle des tarifs individuels, frais d'inscription et frais annexes.</w:t>
      </w:r>
    </w:p>
    <w:p>
      <w:pPr>
        <w:pStyle w:val="ListBullet"/>
      </w:pPr>
      <w:r>
        <w:t>Dates et montants des six échéances par élève.</w:t>
      </w:r>
    </w:p>
    <w:p>
      <w:pPr>
        <w:pStyle w:val="ListBullet"/>
      </w:pPr>
      <w:r>
        <w:t>Convention de numérotation des reçus et des matricules.</w:t>
      </w:r>
    </w:p>
    <w:p>
      <w:pPr>
        <w:pStyle w:val="ListBullet"/>
      </w:pPr>
      <w:r>
        <w:t>Politique de crédit non affecté, trop-perçu, remise et exonération.</w:t>
      </w:r>
    </w:p>
    <w:p>
      <w:pPr>
        <w:pStyle w:val="ListBullet"/>
      </w:pPr>
      <w:r>
        <w:t>Règles de validation des annulations et dépenses.</w:t>
      </w:r>
    </w:p>
    <w:p>
      <w:pPr>
        <w:pStyle w:val="ListBullet"/>
      </w:pPr>
      <w:r>
        <w:t>Formats réels des fichiers Excel historiques et mapping des colonnes.</w:t>
      </w:r>
    </w:p>
    <w:p>
      <w:pPr>
        <w:pStyle w:val="ListBullet"/>
      </w:pPr>
      <w:r>
        <w:t>Nom de la banque, solde d'ouverture et date de départ de la trésorerie.</w:t>
      </w:r>
    </w:p>
    <w:p>
      <w:pPr>
        <w:pStyle w:val="ListBullet"/>
      </w:pPr>
      <w:r>
        <w:t>Coordonnées officielles, logo et mentions à imprimer sur les reçus.</w:t>
      </w:r>
    </w:p>
    <w:p>
      <w:pPr>
        <w:pStyle w:val="ListBullet"/>
      </w:pPr>
      <w:r>
        <w:t>Politique de sauvegarde, conservation des données et accès aux archives.</w:t>
      </w:r>
    </w:p>
    <w:p>
      <w:pPr>
        <w:pStyle w:val="Heading1"/>
      </w:pPr>
      <w:r>
        <w:t>14. Structure de dépôt recommandée</w:t>
      </w:r>
    </w:p>
    <w:p>
      <w:r>
        <w:t>src/</w:t>
        <w:br/>
        <w:t xml:space="preserve">  app/</w:t>
        <w:br/>
        <w:t xml:space="preserve">    (auth)/login/</w:t>
        <w:br/>
        <w:t xml:space="preserve">    (app)/dashboard/</w:t>
        <w:br/>
        <w:t xml:space="preserve">    (app)/eleves/</w:t>
        <w:br/>
        <w:t xml:space="preserve">    (app)/inscriptions/</w:t>
        <w:br/>
        <w:t xml:space="preserve">    (app)/scolarite/</w:t>
        <w:br/>
        <w:t xml:space="preserve">    (app)/frais/</w:t>
        <w:br/>
        <w:t xml:space="preserve">    (app)/encaissements/</w:t>
        <w:br/>
        <w:t xml:space="preserve">    (app)/depenses/</w:t>
        <w:br/>
        <w:t xml:space="preserve">    (app)/tresorerie/</w:t>
        <w:br/>
        <w:t xml:space="preserve">    (app)/rapprochement/</w:t>
        <w:br/>
        <w:t xml:space="preserve">    (app)/rapports/</w:t>
        <w:br/>
        <w:t xml:space="preserve">    (app)/parametres/</w:t>
        <w:br/>
        <w:t xml:space="preserve">  components/</w:t>
        <w:br/>
        <w:t xml:space="preserve">  lib/</w:t>
        <w:br/>
        <w:t xml:space="preserve">    supabase/</w:t>
        <w:br/>
        <w:t xml:space="preserve">    auth/</w:t>
        <w:br/>
        <w:t xml:space="preserve">    finance/</w:t>
        <w:br/>
        <w:t xml:space="preserve">    validation/</w:t>
        <w:br/>
        <w:t xml:space="preserve">    exports/</w:t>
        <w:br/>
        <w:t xml:space="preserve">  server/</w:t>
        <w:br/>
        <w:t xml:space="preserve">    payments/</w:t>
        <w:br/>
        <w:t xml:space="preserve">    expenses/</w:t>
        <w:br/>
        <w:t xml:space="preserve">    transfers/</w:t>
        <w:br/>
        <w:t xml:space="preserve">    imports/</w:t>
        <w:br/>
        <w:t>supabase/</w:t>
        <w:br/>
        <w:t xml:space="preserve">  migrations/</w:t>
        <w:br/>
        <w:t xml:space="preserve">  seed.sql</w:t>
        <w:br/>
        <w:t xml:space="preserve">  tests/</w:t>
        <w:br/>
        <w:t>tests/</w:t>
        <w:br/>
        <w:t xml:space="preserve">  unit/</w:t>
        <w:br/>
        <w:t xml:space="preserve">  e2e/</w:t>
        <w:br/>
        <w:t>README.md</w:t>
        <w:br/>
        <w:t>ETAPE.md</w:t>
      </w:r>
    </w:p>
    <w:p>
      <w:r>
        <w:t>Cette arborescence est indicative ; les modules peuvent être regroupés selon les conventions retenues dans le dépôt. Le découpage doit préserver une séparation claire entre interface, logique métier et accès aux données.</w:t>
      </w:r>
    </w:p>
    <w:p>
      <w:pPr>
        <w:pStyle w:val="Heading1"/>
      </w:pPr>
      <w:r>
        <w:t>15. Définition de terminé</w:t>
      </w:r>
    </w:p>
    <w:p>
      <w:pPr>
        <w:pStyle w:val="ListBullet"/>
      </w:pPr>
      <w:r>
        <w:t>Tous les modules livrés disposent de tests et de permissions explicites.</w:t>
      </w:r>
    </w:p>
    <w:p>
      <w:pPr>
        <w:pStyle w:val="ListBullet"/>
      </w:pPr>
      <w:r>
        <w:t>Aucun écran financier n'utilise de données fictives en production.</w:t>
      </w:r>
    </w:p>
    <w:p>
      <w:pPr>
        <w:pStyle w:val="ListBullet"/>
      </w:pPr>
      <w:r>
        <w:t>Les montants affichés sont reproductibles à partir des charges, allocations et mouvements validés.</w:t>
      </w:r>
    </w:p>
    <w:p>
      <w:pPr>
        <w:pStyle w:val="ListBullet"/>
      </w:pPr>
      <w:r>
        <w:t>Les reçus ont une numérotation unique et une réimpression sans effet financier.</w:t>
      </w:r>
    </w:p>
    <w:p>
      <w:pPr>
        <w:pStyle w:val="ListBullet"/>
      </w:pPr>
      <w:r>
        <w:t>Les imports Excel produisent une prévisualisation et un rapport d'erreurs.</w:t>
      </w:r>
    </w:p>
    <w:p>
      <w:pPr>
        <w:pStyle w:val="ListBullet"/>
      </w:pPr>
      <w:r>
        <w:t>Les migrations peuvent être rejouées sur une base vide et l'application peut être déployée à partir du README.</w:t>
      </w:r>
    </w:p>
    <w:p>
      <w:pPr>
        <w:pStyle w:val="ListBullet"/>
      </w:pPr>
      <w:r>
        <w:t>Les sauvegardes et la restauration ont été testées.</w:t>
      </w:r>
    </w:p>
    <w:p>
      <w:pPr>
        <w:pStyle w:val="ListBullet"/>
      </w:pPr>
      <w:r>
        <w:t>La direction valide les scénarios de recette avant l'ouverture aux utilisateurs.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