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080707"/>
          <w:sz w:val="20"/>
          <w:szCs w:val="20"/>
          <w:highlight w:val="white"/>
        </w:rPr>
      </w:pPr>
      <w:hyperlink r:id="rId6">
        <w:r w:rsidDel="00000000" w:rsidR="00000000" w:rsidRPr="00000000">
          <w:rPr>
            <w:rFonts w:ascii="Roboto" w:cs="Roboto" w:eastAsia="Roboto" w:hAnsi="Roboto"/>
            <w:b w:val="1"/>
            <w:color w:val="1155cc"/>
            <w:sz w:val="24"/>
            <w:szCs w:val="24"/>
            <w:highlight w:val="white"/>
            <w:u w:val="single"/>
            <w:rtl w:val="0"/>
          </w:rPr>
          <w:t xml:space="preserve">AWS/Snowflake vs. BigQuery</w:t>
        </w:r>
      </w:hyperlink>
      <w:r w:rsidDel="00000000" w:rsidR="00000000" w:rsidRPr="00000000">
        <w:rPr>
          <w:rFonts w:ascii="Roboto" w:cs="Roboto" w:eastAsia="Roboto" w:hAnsi="Roboto"/>
          <w:color w:val="080707"/>
          <w:sz w:val="20"/>
          <w:szCs w:val="20"/>
          <w:highlight w:val="white"/>
          <w:rtl w:val="0"/>
        </w:rPr>
        <w:t xml:space="preserve">(article)</w:t>
      </w:r>
    </w:p>
    <w:p w:rsidR="00000000" w:rsidDel="00000000" w:rsidP="00000000" w:rsidRDefault="00000000" w:rsidRPr="00000000" w14:paraId="00000002">
      <w:pPr>
        <w:numPr>
          <w:ilvl w:val="0"/>
          <w:numId w:val="2"/>
        </w:numPr>
        <w:ind w:left="144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BigQuery is “serverless” — compute and storage resources can scale independently, and all scaling issues are handled automatically.</w:t>
      </w:r>
    </w:p>
    <w:p w:rsidR="00000000" w:rsidDel="00000000" w:rsidP="00000000" w:rsidRDefault="00000000" w:rsidRPr="00000000" w14:paraId="00000003">
      <w:pPr>
        <w:ind w:left="1440" w:firstLine="0"/>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color w:val="4285f4"/>
          <w:sz w:val="20"/>
          <w:szCs w:val="20"/>
          <w:highlight w:val="white"/>
        </w:rPr>
      </w:pPr>
      <w:r w:rsidDel="00000000" w:rsidR="00000000" w:rsidRPr="00000000">
        <w:rPr>
          <w:rFonts w:ascii="Roboto" w:cs="Roboto" w:eastAsia="Roboto" w:hAnsi="Roboto"/>
          <w:b w:val="1"/>
          <w:sz w:val="20"/>
          <w:szCs w:val="20"/>
          <w:highlight w:val="white"/>
          <w:rtl w:val="0"/>
        </w:rPr>
        <w:t xml:space="preserve">Amplify BQ strengths as a </w:t>
      </w:r>
      <w:r w:rsidDel="00000000" w:rsidR="00000000" w:rsidRPr="00000000">
        <w:rPr>
          <w:rFonts w:ascii="Roboto" w:cs="Roboto" w:eastAsia="Roboto" w:hAnsi="Roboto"/>
          <w:b w:val="1"/>
          <w:color w:val="4285f4"/>
          <w:sz w:val="20"/>
          <w:szCs w:val="20"/>
          <w:highlight w:val="white"/>
          <w:rtl w:val="0"/>
        </w:rPr>
        <w:t xml:space="preserve">Modern Data Warehouse [for Data-driven Innovation]</w:t>
      </w:r>
    </w:p>
    <w:p w:rsidR="00000000" w:rsidDel="00000000" w:rsidP="00000000" w:rsidRDefault="00000000" w:rsidRPr="00000000" w14:paraId="00000005">
      <w:pPr>
        <w:numPr>
          <w:ilvl w:val="0"/>
          <w:numId w:val="10"/>
        </w:numPr>
        <w:pBdr>
          <w:top w:color="auto" w:space="0" w:sz="0" w:val="none"/>
          <w:bottom w:color="auto" w:space="0" w:sz="0" w:val="none"/>
          <w:between w:color="auto" w:space="0" w:sz="0" w:val="none"/>
        </w:pBdr>
        <w:ind w:left="1440" w:hanging="360"/>
        <w:rPr>
          <w:rFonts w:ascii="Roboto" w:cs="Roboto" w:eastAsia="Roboto" w:hAnsi="Roboto"/>
          <w:color w:val="000000"/>
          <w:highlight w:val="white"/>
        </w:rPr>
      </w:pPr>
      <w:r w:rsidDel="00000000" w:rsidR="00000000" w:rsidRPr="00000000">
        <w:rPr>
          <w:rFonts w:ascii="Roboto" w:cs="Roboto" w:eastAsia="Roboto" w:hAnsi="Roboto"/>
          <w:sz w:val="20"/>
          <w:szCs w:val="20"/>
          <w:highlight w:val="white"/>
          <w:rtl w:val="0"/>
        </w:rPr>
        <w:t xml:space="preserve">Easy and simple to use, for different personas get started straight away(serverless)</w:t>
      </w:r>
    </w:p>
    <w:p w:rsidR="00000000" w:rsidDel="00000000" w:rsidP="00000000" w:rsidRDefault="00000000" w:rsidRPr="00000000" w14:paraId="00000006">
      <w:pPr>
        <w:numPr>
          <w:ilvl w:val="0"/>
          <w:numId w:val="10"/>
        </w:numPr>
        <w:pBdr>
          <w:top w:color="auto" w:space="0" w:sz="0" w:val="none"/>
          <w:bottom w:color="auto" w:space="0" w:sz="0" w:val="none"/>
          <w:between w:color="auto" w:space="0" w:sz="0" w:val="none"/>
        </w:pBdr>
        <w:ind w:left="1440" w:hanging="360"/>
        <w:rPr>
          <w:rFonts w:ascii="Roboto" w:cs="Roboto" w:eastAsia="Roboto" w:hAnsi="Roboto"/>
          <w:color w:val="000000"/>
          <w:highlight w:val="white"/>
        </w:rPr>
      </w:pPr>
      <w:r w:rsidDel="00000000" w:rsidR="00000000" w:rsidRPr="00000000">
        <w:rPr>
          <w:rFonts w:ascii="Roboto" w:cs="Roboto" w:eastAsia="Roboto" w:hAnsi="Roboto"/>
          <w:sz w:val="20"/>
          <w:szCs w:val="20"/>
          <w:highlight w:val="white"/>
          <w:rtl w:val="0"/>
        </w:rPr>
        <w:t xml:space="preserve">Aggregates and analyses data from multiple sources at petabyte scale(we’re fast)</w:t>
      </w:r>
    </w:p>
    <w:p w:rsidR="00000000" w:rsidDel="00000000" w:rsidP="00000000" w:rsidRDefault="00000000" w:rsidRPr="00000000" w14:paraId="00000007">
      <w:pPr>
        <w:numPr>
          <w:ilvl w:val="0"/>
          <w:numId w:val="10"/>
        </w:numPr>
        <w:pBdr>
          <w:top w:color="auto" w:space="0" w:sz="0" w:val="none"/>
          <w:bottom w:color="auto" w:space="0" w:sz="0" w:val="none"/>
          <w:between w:color="auto" w:space="0" w:sz="0" w:val="none"/>
        </w:pBdr>
        <w:ind w:left="1440" w:hanging="360"/>
        <w:rPr>
          <w:rFonts w:ascii="Roboto" w:cs="Roboto" w:eastAsia="Roboto" w:hAnsi="Roboto"/>
          <w:color w:val="000000"/>
          <w:highlight w:val="white"/>
        </w:rPr>
      </w:pPr>
      <w:r w:rsidDel="00000000" w:rsidR="00000000" w:rsidRPr="00000000">
        <w:rPr>
          <w:rFonts w:ascii="Roboto" w:cs="Roboto" w:eastAsia="Roboto" w:hAnsi="Roboto"/>
          <w:sz w:val="20"/>
          <w:szCs w:val="20"/>
          <w:highlight w:val="white"/>
          <w:rtl w:val="0"/>
        </w:rPr>
        <w:t xml:space="preserve">BigQuery offers integrated AI/ML services and Geo Analytics for advanced use-cases</w:t>
      </w:r>
      <w:r w:rsidDel="00000000" w:rsidR="00000000" w:rsidRPr="00000000">
        <w:rPr>
          <w:rtl w:val="0"/>
        </w:rPr>
      </w:r>
    </w:p>
    <w:p w:rsidR="00000000" w:rsidDel="00000000" w:rsidP="00000000" w:rsidRDefault="00000000" w:rsidRPr="00000000" w14:paraId="00000008">
      <w:pPr>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What features that BigQuery offers?</w:t>
      </w:r>
    </w:p>
    <w:p w:rsidR="00000000" w:rsidDel="00000000" w:rsidP="00000000" w:rsidRDefault="00000000" w:rsidRPr="00000000" w14:paraId="0000000A">
      <w:pPr>
        <w:numPr>
          <w:ilvl w:val="0"/>
          <w:numId w:val="1"/>
        </w:numPr>
        <w:ind w:left="144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BQ is serverless, acceleration and autoscaling are automatically provisioned. </w:t>
      </w:r>
    </w:p>
    <w:p w:rsidR="00000000" w:rsidDel="00000000" w:rsidP="00000000" w:rsidRDefault="00000000" w:rsidRPr="00000000" w14:paraId="0000000B">
      <w:pPr>
        <w:numPr>
          <w:ilvl w:val="0"/>
          <w:numId w:val="1"/>
        </w:numPr>
        <w:ind w:left="144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BQ is already integrated with services like </w:t>
      </w:r>
      <w:hyperlink r:id="rId7">
        <w:r w:rsidDel="00000000" w:rsidR="00000000" w:rsidRPr="00000000">
          <w:rPr>
            <w:rFonts w:ascii="Roboto" w:cs="Roboto" w:eastAsia="Roboto" w:hAnsi="Roboto"/>
            <w:color w:val="1155cc"/>
            <w:sz w:val="20"/>
            <w:szCs w:val="20"/>
            <w:highlight w:val="white"/>
            <w:u w:val="single"/>
            <w:rtl w:val="0"/>
          </w:rPr>
          <w:t xml:space="preserve">BI Engine</w:t>
        </w:r>
      </w:hyperlink>
      <w:r w:rsidDel="00000000" w:rsidR="00000000" w:rsidRPr="00000000">
        <w:rPr>
          <w:rFonts w:ascii="Roboto" w:cs="Roboto" w:eastAsia="Roboto" w:hAnsi="Roboto"/>
          <w:color w:val="080707"/>
          <w:sz w:val="20"/>
          <w:szCs w:val="20"/>
          <w:highlight w:val="white"/>
          <w:rtl w:val="0"/>
        </w:rPr>
        <w:t xml:space="preserve"> for faster querying demands. </w:t>
      </w:r>
    </w:p>
    <w:p w:rsidR="00000000" w:rsidDel="00000000" w:rsidP="00000000" w:rsidRDefault="00000000" w:rsidRPr="00000000" w14:paraId="0000000C">
      <w:pPr>
        <w:numPr>
          <w:ilvl w:val="1"/>
          <w:numId w:val="1"/>
        </w:numPr>
        <w:ind w:left="2160" w:hanging="360"/>
        <w:rPr>
          <w:rFonts w:ascii="Roboto" w:cs="Roboto" w:eastAsia="Roboto" w:hAnsi="Roboto"/>
          <w:sz w:val="20"/>
          <w:szCs w:val="20"/>
          <w:highlight w:val="white"/>
          <w:u w:val="none"/>
        </w:rPr>
      </w:pPr>
      <w:hyperlink r:id="rId8">
        <w:r w:rsidDel="00000000" w:rsidR="00000000" w:rsidRPr="00000000">
          <w:rPr>
            <w:rFonts w:ascii="Roboto" w:cs="Roboto" w:eastAsia="Roboto" w:hAnsi="Roboto"/>
            <w:color w:val="1155cc"/>
            <w:sz w:val="20"/>
            <w:szCs w:val="20"/>
            <w:highlight w:val="white"/>
            <w:u w:val="single"/>
            <w:rtl w:val="0"/>
          </w:rPr>
          <w:t xml:space="preserve">Data Studio integration with BI Engine</w:t>
        </w:r>
      </w:hyperlink>
      <w:r w:rsidDel="00000000" w:rsidR="00000000" w:rsidRPr="00000000">
        <w:rPr>
          <w:rtl w:val="0"/>
        </w:rPr>
      </w:r>
    </w:p>
    <w:p w:rsidR="00000000" w:rsidDel="00000000" w:rsidP="00000000" w:rsidRDefault="00000000" w:rsidRPr="00000000" w14:paraId="0000000D">
      <w:pPr>
        <w:numPr>
          <w:ilvl w:val="0"/>
          <w:numId w:val="1"/>
        </w:numPr>
        <w:ind w:left="144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Machine learning with </w:t>
      </w:r>
      <w:hyperlink r:id="rId9">
        <w:r w:rsidDel="00000000" w:rsidR="00000000" w:rsidRPr="00000000">
          <w:rPr>
            <w:rFonts w:ascii="Roboto" w:cs="Roboto" w:eastAsia="Roboto" w:hAnsi="Roboto"/>
            <w:color w:val="1155cc"/>
            <w:sz w:val="20"/>
            <w:szCs w:val="20"/>
            <w:highlight w:val="white"/>
            <w:u w:val="single"/>
            <w:rtl w:val="0"/>
          </w:rPr>
          <w:t xml:space="preserve">BigQueryML</w:t>
        </w:r>
      </w:hyperlink>
      <w:r w:rsidDel="00000000" w:rsidR="00000000" w:rsidRPr="00000000">
        <w:rPr>
          <w:rFonts w:ascii="Roboto" w:cs="Roboto" w:eastAsia="Roboto" w:hAnsi="Roboto"/>
          <w:color w:val="080707"/>
          <w:sz w:val="20"/>
          <w:szCs w:val="20"/>
          <w:highlight w:val="white"/>
          <w:rtl w:val="0"/>
        </w:rPr>
        <w:t xml:space="preserve"> and GIS </w:t>
      </w:r>
      <w:hyperlink r:id="rId10">
        <w:r w:rsidDel="00000000" w:rsidR="00000000" w:rsidRPr="00000000">
          <w:rPr>
            <w:rFonts w:ascii="Roboto" w:cs="Roboto" w:eastAsia="Roboto" w:hAnsi="Roboto"/>
            <w:color w:val="1155cc"/>
            <w:sz w:val="20"/>
            <w:szCs w:val="20"/>
            <w:highlight w:val="white"/>
            <w:u w:val="single"/>
            <w:rtl w:val="0"/>
          </w:rPr>
          <w:t xml:space="preserve">(Geographic Information Systems) </w:t>
        </w:r>
      </w:hyperlink>
      <w:r w:rsidDel="00000000" w:rsidR="00000000" w:rsidRPr="00000000">
        <w:rPr>
          <w:rFonts w:ascii="Roboto" w:cs="Roboto" w:eastAsia="Roboto" w:hAnsi="Roboto"/>
          <w:color w:val="080707"/>
          <w:sz w:val="20"/>
          <w:szCs w:val="20"/>
          <w:highlight w:val="white"/>
          <w:rtl w:val="0"/>
        </w:rPr>
        <w:t xml:space="preserve">are also integrated services. </w:t>
      </w:r>
    </w:p>
    <w:p w:rsidR="00000000" w:rsidDel="00000000" w:rsidP="00000000" w:rsidRDefault="00000000" w:rsidRPr="00000000" w14:paraId="0000000E">
      <w:pPr>
        <w:numPr>
          <w:ilvl w:val="0"/>
          <w:numId w:val="1"/>
        </w:numPr>
        <w:ind w:left="1440" w:hanging="360"/>
        <w:rPr>
          <w:rFonts w:ascii="Roboto" w:cs="Roboto" w:eastAsia="Roboto" w:hAnsi="Roboto"/>
          <w:color w:val="080707"/>
          <w:sz w:val="20"/>
          <w:szCs w:val="20"/>
          <w:highlight w:val="white"/>
          <w:u w:val="none"/>
        </w:rPr>
      </w:pPr>
      <w:hyperlink r:id="rId11">
        <w:r w:rsidDel="00000000" w:rsidR="00000000" w:rsidRPr="00000000">
          <w:rPr>
            <w:rFonts w:ascii="Roboto" w:cs="Roboto" w:eastAsia="Roboto" w:hAnsi="Roboto"/>
            <w:color w:val="1155cc"/>
            <w:sz w:val="20"/>
            <w:szCs w:val="20"/>
            <w:highlight w:val="white"/>
            <w:u w:val="single"/>
            <w:rtl w:val="0"/>
          </w:rPr>
          <w:t xml:space="preserve">BigQuery Transfer Service </w:t>
        </w:r>
      </w:hyperlink>
      <w:r w:rsidDel="00000000" w:rsidR="00000000" w:rsidRPr="00000000">
        <w:rPr>
          <w:rFonts w:ascii="Roboto" w:cs="Roboto" w:eastAsia="Roboto" w:hAnsi="Roboto"/>
          <w:color w:val="080707"/>
          <w:sz w:val="20"/>
          <w:szCs w:val="20"/>
          <w:highlight w:val="white"/>
          <w:rtl w:val="0"/>
        </w:rPr>
        <w:t xml:space="preserve">moves the data and schedules workloads between AWS and various sources. </w:t>
      </w:r>
    </w:p>
    <w:p w:rsidR="00000000" w:rsidDel="00000000" w:rsidP="00000000" w:rsidRDefault="00000000" w:rsidRPr="00000000" w14:paraId="0000000F">
      <w:pPr>
        <w:numPr>
          <w:ilvl w:val="0"/>
          <w:numId w:val="1"/>
        </w:numPr>
        <w:ind w:left="1440" w:hanging="360"/>
        <w:rPr>
          <w:rFonts w:ascii="Roboto" w:cs="Roboto" w:eastAsia="Roboto" w:hAnsi="Roboto"/>
          <w:color w:val="080707"/>
          <w:sz w:val="20"/>
          <w:szCs w:val="20"/>
          <w:highlight w:val="white"/>
          <w:u w:val="none"/>
        </w:rPr>
      </w:pPr>
      <w:hyperlink r:id="rId12">
        <w:r w:rsidDel="00000000" w:rsidR="00000000" w:rsidRPr="00000000">
          <w:rPr>
            <w:rFonts w:ascii="Roboto" w:cs="Roboto" w:eastAsia="Roboto" w:hAnsi="Roboto"/>
            <w:color w:val="1155cc"/>
            <w:sz w:val="20"/>
            <w:szCs w:val="20"/>
            <w:highlight w:val="white"/>
            <w:u w:val="single"/>
            <w:rtl w:val="0"/>
          </w:rPr>
          <w:t xml:space="preserve">Big Query Omni introduction</w:t>
        </w:r>
      </w:hyperlink>
      <w:r w:rsidDel="00000000" w:rsidR="00000000" w:rsidRPr="00000000">
        <w:rPr>
          <w:rtl w:val="0"/>
        </w:rPr>
      </w:r>
    </w:p>
    <w:p w:rsidR="00000000" w:rsidDel="00000000" w:rsidP="00000000" w:rsidRDefault="00000000" w:rsidRPr="00000000" w14:paraId="00000010">
      <w:pPr>
        <w:numPr>
          <w:ilvl w:val="1"/>
          <w:numId w:val="1"/>
        </w:numPr>
        <w:ind w:left="2160" w:hanging="360"/>
        <w:rPr>
          <w:rFonts w:ascii="Roboto" w:cs="Roboto" w:eastAsia="Roboto" w:hAnsi="Roboto"/>
          <w:color w:val="080707"/>
          <w:highlight w:val="white"/>
        </w:rPr>
      </w:pPr>
      <w:r w:rsidDel="00000000" w:rsidR="00000000" w:rsidRPr="00000000">
        <w:rPr>
          <w:rFonts w:ascii="Roboto" w:cs="Roboto" w:eastAsia="Roboto" w:hAnsi="Roboto"/>
          <w:color w:val="202124"/>
          <w:highlight w:val="white"/>
          <w:rtl w:val="0"/>
        </w:rPr>
        <w:t xml:space="preserve">“Behind the scenes, BigQuery’s query engine is running on our Anthos clusters within the BigQuery managed service. BigQuery gets the data from data storage within your account once you’ve authorized permissions via your other public clouds’ IAM roles. Note that data is moved temporarily within AWS from your data storage to the BigQuery clusters running on Anthos to execute queries.”</w:t>
      </w:r>
      <w:r w:rsidDel="00000000" w:rsidR="00000000" w:rsidRPr="00000000">
        <w:rPr>
          <w:rtl w:val="0"/>
        </w:rPr>
      </w:r>
    </w:p>
    <w:p w:rsidR="00000000" w:rsidDel="00000000" w:rsidP="00000000" w:rsidRDefault="00000000" w:rsidRPr="00000000" w14:paraId="00000011">
      <w:pPr>
        <w:numPr>
          <w:ilvl w:val="0"/>
          <w:numId w:val="6"/>
        </w:numPr>
        <w:ind w:left="2160" w:hanging="360"/>
        <w:rPr>
          <w:rFonts w:ascii="Roboto" w:cs="Roboto" w:eastAsia="Roboto" w:hAnsi="Roboto"/>
          <w:highlight w:val="white"/>
        </w:rPr>
      </w:pPr>
      <w:hyperlink r:id="rId13">
        <w:r w:rsidDel="00000000" w:rsidR="00000000" w:rsidRPr="00000000">
          <w:rPr>
            <w:rFonts w:ascii="Roboto" w:cs="Roboto" w:eastAsia="Roboto" w:hAnsi="Roboto"/>
            <w:color w:val="1155cc"/>
            <w:highlight w:val="white"/>
            <w:u w:val="single"/>
            <w:rtl w:val="0"/>
          </w:rPr>
          <w:t xml:space="preserve">(alpha form)</w:t>
        </w:r>
      </w:hyperlink>
      <w:r w:rsidDel="00000000" w:rsidR="00000000" w:rsidRPr="00000000">
        <w:rPr>
          <w:rFonts w:ascii="Roboto" w:cs="Roboto" w:eastAsia="Roboto" w:hAnsi="Roboto"/>
          <w:color w:val="080707"/>
          <w:highlight w:val="white"/>
          <w:rtl w:val="0"/>
        </w:rPr>
        <w:t xml:space="preserve"> </w:t>
      </w:r>
      <w:r w:rsidDel="00000000" w:rsidR="00000000" w:rsidRPr="00000000">
        <w:rPr>
          <w:rtl w:val="0"/>
        </w:rPr>
      </w:r>
    </w:p>
    <w:p w:rsidR="00000000" w:rsidDel="00000000" w:rsidP="00000000" w:rsidRDefault="00000000" w:rsidRPr="00000000" w14:paraId="00000012">
      <w:pPr>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b w:val="1"/>
          <w:color w:val="080707"/>
          <w:sz w:val="24"/>
          <w:szCs w:val="24"/>
          <w:highlight w:val="white"/>
        </w:rPr>
      </w:pPr>
      <w:hyperlink r:id="rId14">
        <w:r w:rsidDel="00000000" w:rsidR="00000000" w:rsidRPr="00000000">
          <w:rPr>
            <w:rFonts w:ascii="Roboto" w:cs="Roboto" w:eastAsia="Roboto" w:hAnsi="Roboto"/>
            <w:b w:val="1"/>
            <w:color w:val="1155cc"/>
            <w:sz w:val="24"/>
            <w:szCs w:val="24"/>
            <w:highlight w:val="white"/>
            <w:u w:val="single"/>
            <w:rtl w:val="0"/>
          </w:rPr>
          <w:t xml:space="preserve">How does BQ pricing work?</w:t>
        </w:r>
      </w:hyperlink>
      <w:r w:rsidDel="00000000" w:rsidR="00000000" w:rsidRPr="00000000">
        <w:rPr>
          <w:rFonts w:ascii="Roboto" w:cs="Roboto" w:eastAsia="Roboto" w:hAnsi="Roboto"/>
          <w:b w:val="1"/>
          <w:color w:val="080707"/>
          <w:sz w:val="24"/>
          <w:szCs w:val="24"/>
          <w:highlight w:val="white"/>
          <w:rtl w:val="0"/>
        </w:rPr>
        <w:t xml:space="preserve"> </w:t>
      </w:r>
    </w:p>
    <w:p w:rsidR="00000000" w:rsidDel="00000000" w:rsidP="00000000" w:rsidRDefault="00000000" w:rsidRPr="00000000" w14:paraId="00000014">
      <w:pPr>
        <w:numPr>
          <w:ilvl w:val="0"/>
          <w:numId w:val="8"/>
        </w:numPr>
        <w:ind w:left="1440" w:hanging="360"/>
        <w:rPr>
          <w:rFonts w:ascii="Roboto" w:cs="Roboto" w:eastAsia="Roboto" w:hAnsi="Roboto"/>
          <w:sz w:val="20"/>
          <w:szCs w:val="20"/>
          <w:highlight w:val="white"/>
          <w:u w:val="none"/>
        </w:rPr>
      </w:pPr>
      <w:r w:rsidDel="00000000" w:rsidR="00000000" w:rsidRPr="00000000">
        <w:rPr>
          <w:rFonts w:ascii="Roboto" w:cs="Roboto" w:eastAsia="Roboto" w:hAnsi="Roboto"/>
          <w:color w:val="080707"/>
          <w:sz w:val="20"/>
          <w:szCs w:val="20"/>
          <w:highlight w:val="white"/>
          <w:rtl w:val="0"/>
        </w:rPr>
        <w:t xml:space="preserve">(</w:t>
      </w:r>
      <w:hyperlink r:id="rId15">
        <w:r w:rsidDel="00000000" w:rsidR="00000000" w:rsidRPr="00000000">
          <w:rPr>
            <w:rFonts w:ascii="Roboto" w:cs="Roboto" w:eastAsia="Roboto" w:hAnsi="Roboto"/>
            <w:color w:val="1155cc"/>
            <w:sz w:val="20"/>
            <w:szCs w:val="20"/>
            <w:highlight w:val="white"/>
            <w:u w:val="single"/>
            <w:rtl w:val="0"/>
          </w:rPr>
          <w:t xml:space="preserve">BQ Limits/Quotas</w:t>
        </w:r>
      </w:hyperlink>
      <w:r w:rsidDel="00000000" w:rsidR="00000000" w:rsidRPr="00000000">
        <w:rPr>
          <w:rFonts w:ascii="Roboto" w:cs="Roboto" w:eastAsia="Roboto" w:hAnsi="Roboto"/>
          <w:color w:val="080707"/>
          <w:sz w:val="20"/>
          <w:szCs w:val="20"/>
          <w:highlight w:val="white"/>
          <w:rtl w:val="0"/>
        </w:rPr>
        <w:t xml:space="preserve">)</w:t>
      </w:r>
    </w:p>
    <w:p w:rsidR="00000000" w:rsidDel="00000000" w:rsidP="00000000" w:rsidRDefault="00000000" w:rsidRPr="00000000" w14:paraId="00000015">
      <w:pPr>
        <w:ind w:left="1440" w:firstLine="0"/>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Pricing for Storage:</w:t>
      </w:r>
    </w:p>
    <w:p w:rsidR="00000000" w:rsidDel="00000000" w:rsidP="00000000" w:rsidRDefault="00000000" w:rsidRPr="00000000" w14:paraId="00000017">
      <w:pPr>
        <w:numPr>
          <w:ilvl w:val="0"/>
          <w:numId w:val="3"/>
        </w:numPr>
        <w:ind w:left="72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Active: .02/GB (the first 10 GB is free each month)</w:t>
      </w:r>
    </w:p>
    <w:p w:rsidR="00000000" w:rsidDel="00000000" w:rsidP="00000000" w:rsidRDefault="00000000" w:rsidRPr="00000000" w14:paraId="00000018">
      <w:pPr>
        <w:numPr>
          <w:ilvl w:val="0"/>
          <w:numId w:val="3"/>
        </w:numPr>
        <w:ind w:left="72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Long-term: .010/GB</w:t>
      </w:r>
    </w:p>
    <w:p w:rsidR="00000000" w:rsidDel="00000000" w:rsidP="00000000" w:rsidRDefault="00000000" w:rsidRPr="00000000" w14:paraId="00000019">
      <w:pPr>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Pricing/terms for on-demand:</w:t>
      </w:r>
    </w:p>
    <w:p w:rsidR="00000000" w:rsidDel="00000000" w:rsidP="00000000" w:rsidRDefault="00000000" w:rsidRPr="00000000" w14:paraId="0000001B">
      <w:pPr>
        <w:numPr>
          <w:ilvl w:val="0"/>
          <w:numId w:val="4"/>
        </w:numPr>
        <w:ind w:left="72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$5 for 1 TB of queries. (The first 1 TB per month is Free.)</w:t>
      </w:r>
    </w:p>
    <w:p w:rsidR="00000000" w:rsidDel="00000000" w:rsidP="00000000" w:rsidRDefault="00000000" w:rsidRPr="00000000" w14:paraId="0000001C">
      <w:pPr>
        <w:ind w:left="720" w:firstLine="0"/>
        <w:rPr>
          <w:rFonts w:ascii="Roboto" w:cs="Roboto" w:eastAsia="Roboto" w:hAnsi="Roboto"/>
          <w:color w:val="080707"/>
          <w:sz w:val="20"/>
          <w:szCs w:val="20"/>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Pricing/terms for flex slots: (think preemptible)</w:t>
      </w:r>
    </w:p>
    <w:p w:rsidR="00000000" w:rsidDel="00000000" w:rsidP="00000000" w:rsidRDefault="00000000" w:rsidRPr="00000000" w14:paraId="0000001E">
      <w:pPr>
        <w:numPr>
          <w:ilvl w:val="0"/>
          <w:numId w:val="9"/>
        </w:numPr>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“When you attempt to purchase Flex Slots, success of this purchase is not guaranteed.”</w:t>
      </w:r>
    </w:p>
    <w:p w:rsidR="00000000" w:rsidDel="00000000" w:rsidP="00000000" w:rsidRDefault="00000000" w:rsidRPr="00000000" w14:paraId="0000001F">
      <w:pPr>
        <w:numPr>
          <w:ilvl w:val="0"/>
          <w:numId w:val="9"/>
        </w:numPr>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$4 for 100 slots = $2920</w:t>
      </w:r>
    </w:p>
    <w:p w:rsidR="00000000" w:rsidDel="00000000" w:rsidP="00000000" w:rsidRDefault="00000000" w:rsidRPr="00000000" w14:paraId="00000020">
      <w:pPr>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ab/>
      </w:r>
    </w:p>
    <w:p w:rsidR="00000000" w:rsidDel="00000000" w:rsidP="00000000" w:rsidRDefault="00000000" w:rsidRPr="00000000" w14:paraId="00000021">
      <w:pPr>
        <w:rPr>
          <w:rFonts w:ascii="Roboto" w:cs="Roboto" w:eastAsia="Roboto" w:hAnsi="Roboto"/>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Pricing/terms for flat-rate:</w:t>
      </w:r>
      <w:r w:rsidDel="00000000" w:rsidR="00000000" w:rsidRPr="00000000">
        <w:rPr>
          <w:rtl w:val="0"/>
        </w:rPr>
      </w:r>
    </w:p>
    <w:p w:rsidR="00000000" w:rsidDel="00000000" w:rsidP="00000000" w:rsidRDefault="00000000" w:rsidRPr="00000000" w14:paraId="00000022">
      <w:pPr>
        <w:numPr>
          <w:ilvl w:val="0"/>
          <w:numId w:val="7"/>
        </w:numPr>
        <w:ind w:left="72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Monthly flat-rate: $2k for 100 slots</w:t>
      </w:r>
    </w:p>
    <w:p w:rsidR="00000000" w:rsidDel="00000000" w:rsidP="00000000" w:rsidRDefault="00000000" w:rsidRPr="00000000" w14:paraId="00000023">
      <w:pPr>
        <w:numPr>
          <w:ilvl w:val="0"/>
          <w:numId w:val="7"/>
        </w:numPr>
        <w:ind w:left="720" w:hanging="360"/>
        <w:rPr>
          <w:rFonts w:ascii="Roboto" w:cs="Roboto" w:eastAsia="Roboto" w:hAnsi="Roboto"/>
          <w:color w:val="080707"/>
          <w:sz w:val="20"/>
          <w:szCs w:val="20"/>
          <w:highlight w:val="white"/>
        </w:rPr>
      </w:pPr>
      <w:r w:rsidDel="00000000" w:rsidR="00000000" w:rsidRPr="00000000">
        <w:rPr>
          <w:rFonts w:ascii="Roboto" w:cs="Roboto" w:eastAsia="Roboto" w:hAnsi="Roboto"/>
          <w:color w:val="080707"/>
          <w:sz w:val="20"/>
          <w:szCs w:val="20"/>
          <w:highlight w:val="white"/>
          <w:rtl w:val="0"/>
        </w:rPr>
        <w:t xml:space="preserve">Annual flat-rate: $1,700 for 100 slots</w:t>
      </w:r>
      <w:r w:rsidDel="00000000" w:rsidR="00000000" w:rsidRPr="00000000">
        <w:rPr>
          <w:rtl w:val="0"/>
        </w:rPr>
      </w:r>
    </w:p>
    <w:p w:rsidR="00000000" w:rsidDel="00000000" w:rsidP="00000000" w:rsidRDefault="00000000" w:rsidRPr="00000000" w14:paraId="00000024">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ab/>
      </w:r>
    </w:p>
    <w:p w:rsidR="00000000" w:rsidDel="00000000" w:rsidP="00000000" w:rsidRDefault="00000000" w:rsidRPr="00000000" w14:paraId="00000025">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How do I determine slots?</w:t>
      </w:r>
    </w:p>
    <w:p w:rsidR="00000000" w:rsidDel="00000000" w:rsidP="00000000" w:rsidRDefault="00000000" w:rsidRPr="00000000" w14:paraId="00000026">
      <w:pPr>
        <w:rPr>
          <w:rFonts w:ascii="Roboto" w:cs="Roboto" w:eastAsia="Roboto" w:hAnsi="Roboto"/>
          <w:sz w:val="20"/>
          <w:szCs w:val="20"/>
        </w:rPr>
      </w:pPr>
      <w:r w:rsidDel="00000000" w:rsidR="00000000" w:rsidRPr="00000000">
        <w:rPr>
          <w:rFonts w:ascii="Roboto" w:cs="Roboto" w:eastAsia="Roboto" w:hAnsi="Roboto"/>
          <w:color w:val="080707"/>
          <w:sz w:val="20"/>
          <w:szCs w:val="20"/>
          <w:highlight w:val="white"/>
          <w:rtl w:val="0"/>
        </w:rPr>
        <w:t xml:space="preserve">Customer runs their POC. </w:t>
      </w:r>
      <w:hyperlink r:id="rId16">
        <w:r w:rsidDel="00000000" w:rsidR="00000000" w:rsidRPr="00000000">
          <w:rPr>
            <w:rFonts w:ascii="Roboto" w:cs="Roboto" w:eastAsia="Roboto" w:hAnsi="Roboto"/>
            <w:color w:val="1155cc"/>
            <w:sz w:val="20"/>
            <w:szCs w:val="20"/>
            <w:highlight w:val="white"/>
            <w:u w:val="single"/>
            <w:rtl w:val="0"/>
          </w:rPr>
          <w:t xml:space="preserve">BQ Monitoring</w:t>
        </w:r>
      </w:hyperlink>
      <w:r w:rsidDel="00000000" w:rsidR="00000000" w:rsidRPr="00000000">
        <w:rPr>
          <w:rFonts w:ascii="Roboto" w:cs="Roboto" w:eastAsia="Roboto" w:hAnsi="Roboto"/>
          <w:color w:val="080707"/>
          <w:sz w:val="20"/>
          <w:szCs w:val="20"/>
          <w:highlight w:val="white"/>
          <w:rtl w:val="0"/>
        </w:rPr>
        <w:t xml:space="preserve"> and </w:t>
      </w:r>
      <w:hyperlink r:id="rId17">
        <w:r w:rsidDel="00000000" w:rsidR="00000000" w:rsidRPr="00000000">
          <w:rPr>
            <w:rFonts w:ascii="Roboto" w:cs="Roboto" w:eastAsia="Roboto" w:hAnsi="Roboto"/>
            <w:color w:val="1155cc"/>
            <w:sz w:val="20"/>
            <w:szCs w:val="20"/>
            <w:highlight w:val="white"/>
            <w:u w:val="single"/>
            <w:rtl w:val="0"/>
          </w:rPr>
          <w:t xml:space="preserve">Cloud Logging</w:t>
        </w:r>
      </w:hyperlink>
      <w:r w:rsidDel="00000000" w:rsidR="00000000" w:rsidRPr="00000000">
        <w:rPr>
          <w:rFonts w:ascii="Roboto" w:cs="Roboto" w:eastAsia="Roboto" w:hAnsi="Roboto"/>
          <w:color w:val="080707"/>
          <w:sz w:val="20"/>
          <w:szCs w:val="20"/>
          <w:highlight w:val="white"/>
          <w:rtl w:val="0"/>
        </w:rPr>
        <w:t xml:space="preserve"> </w:t>
      </w:r>
      <w:r w:rsidDel="00000000" w:rsidR="00000000" w:rsidRPr="00000000">
        <w:rPr>
          <w:rFonts w:ascii="Roboto" w:cs="Roboto" w:eastAsia="Roboto" w:hAnsi="Roboto"/>
          <w:sz w:val="20"/>
          <w:szCs w:val="20"/>
          <w:rtl w:val="0"/>
        </w:rPr>
        <w:t xml:space="preserve">will determine how many slots they need. Then you can price out Flat Rate pricing with the number of slots</w:t>
      </w:r>
    </w:p>
    <w:p w:rsidR="00000000" w:rsidDel="00000000" w:rsidP="00000000" w:rsidRDefault="00000000" w:rsidRPr="00000000" w14:paraId="0000002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rPr>
          <w:rFonts w:ascii="Roboto" w:cs="Roboto" w:eastAsia="Roboto" w:hAnsi="Roboto"/>
          <w:sz w:val="20"/>
          <w:szCs w:val="20"/>
        </w:rPr>
      </w:pPr>
      <w:hyperlink r:id="rId18">
        <w:r w:rsidDel="00000000" w:rsidR="00000000" w:rsidRPr="00000000">
          <w:rPr>
            <w:rFonts w:ascii="Roboto" w:cs="Roboto" w:eastAsia="Roboto" w:hAnsi="Roboto"/>
            <w:color w:val="1155cc"/>
            <w:sz w:val="20"/>
            <w:szCs w:val="20"/>
            <w:u w:val="single"/>
            <w:rtl w:val="0"/>
          </w:rPr>
          <w:t xml:space="preserve">Trial Slots Promo</w:t>
        </w:r>
      </w:hyperlink>
      <w:r w:rsidDel="00000000" w:rsidR="00000000" w:rsidRPr="00000000">
        <w:rPr>
          <w:rFonts w:ascii="Roboto" w:cs="Roboto" w:eastAsia="Roboto" w:hAnsi="Roboto"/>
          <w:sz w:val="20"/>
          <w:szCs w:val="20"/>
          <w:rtl w:val="0"/>
        </w:rPr>
        <w:t xml:space="preserve"> for </w:t>
      </w:r>
      <w:r w:rsidDel="00000000" w:rsidR="00000000" w:rsidRPr="00000000">
        <w:rPr>
          <w:rFonts w:ascii="Roboto" w:cs="Roboto" w:eastAsia="Roboto" w:hAnsi="Roboto"/>
          <w:color w:val="cc0000"/>
          <w:sz w:val="20"/>
          <w:szCs w:val="20"/>
          <w:rtl w:val="0"/>
        </w:rPr>
        <w:t xml:space="preserve">DIRECT CUSTOMERS ONLY</w:t>
      </w:r>
      <w:r w:rsidDel="00000000" w:rsidR="00000000" w:rsidRPr="00000000">
        <w:rPr>
          <w:rFonts w:ascii="Roboto" w:cs="Roboto" w:eastAsia="Roboto" w:hAnsi="Roboto"/>
          <w:sz w:val="20"/>
          <w:szCs w:val="20"/>
          <w:rtl w:val="0"/>
        </w:rPr>
        <w:t xml:space="preserve">. **Not available through a partner. </w:t>
      </w:r>
    </w:p>
    <w:p w:rsidR="00000000" w:rsidDel="00000000" w:rsidP="00000000" w:rsidRDefault="00000000" w:rsidRPr="00000000" w14:paraId="00000029">
      <w:pPr>
        <w:rPr>
          <w:rFonts w:ascii="Roboto" w:cs="Roboto" w:eastAsia="Roboto" w:hAnsi="Roboto"/>
          <w:color w:val="4285f4"/>
          <w:sz w:val="20"/>
          <w:szCs w:val="20"/>
          <w:highlight w:val="white"/>
        </w:rPr>
      </w:pPr>
      <w:r w:rsidDel="00000000" w:rsidR="00000000" w:rsidRPr="00000000">
        <w:rPr>
          <w:rtl w:val="0"/>
        </w:rPr>
      </w:r>
    </w:p>
    <w:p w:rsidR="00000000" w:rsidDel="00000000" w:rsidP="00000000" w:rsidRDefault="00000000" w:rsidRPr="00000000" w14:paraId="0000002A">
      <w:pPr>
        <w:numPr>
          <w:ilvl w:val="0"/>
          <w:numId w:val="10"/>
        </w:numPr>
        <w:pBdr>
          <w:top w:color="auto" w:space="0" w:sz="0" w:val="none"/>
          <w:bottom w:color="auto" w:space="0" w:sz="0" w:val="none"/>
          <w:between w:color="auto" w:space="0" w:sz="0" w:val="none"/>
        </w:pBdr>
        <w:ind w:left="1440" w:hanging="360"/>
        <w:rPr>
          <w:rFonts w:ascii="Roboto" w:cs="Roboto" w:eastAsia="Roboto" w:hAnsi="Roboto"/>
          <w:color w:val="4285f4"/>
          <w:sz w:val="20"/>
          <w:szCs w:val="20"/>
          <w:highlight w:val="white"/>
          <w:u w:val="none"/>
        </w:rPr>
      </w:pPr>
      <w:r w:rsidDel="00000000" w:rsidR="00000000" w:rsidRPr="00000000">
        <w:rPr>
          <w:rtl w:val="0"/>
        </w:rPr>
      </w:r>
    </w:p>
    <w:p w:rsidR="00000000" w:rsidDel="00000000" w:rsidP="00000000" w:rsidRDefault="00000000" w:rsidRPr="00000000" w14:paraId="0000002B">
      <w:pPr>
        <w:ind w:left="0" w:firstLine="0"/>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FINSEC (financial security)</w:t>
      </w:r>
    </w:p>
    <w:p w:rsidR="00000000" w:rsidDel="00000000" w:rsidP="00000000" w:rsidRDefault="00000000" w:rsidRPr="00000000" w14:paraId="0000002C">
      <w:pPr>
        <w:numPr>
          <w:ilvl w:val="0"/>
          <w:numId w:val="5"/>
        </w:numPr>
        <w:ind w:left="1440" w:hanging="360"/>
        <w:rPr>
          <w:rFonts w:ascii="Roboto" w:cs="Roboto" w:eastAsia="Roboto" w:hAnsi="Roboto"/>
          <w:sz w:val="20"/>
          <w:szCs w:val="20"/>
          <w:highlight w:val="white"/>
        </w:rPr>
      </w:pPr>
      <w:hyperlink r:id="rId19">
        <w:r w:rsidDel="00000000" w:rsidR="00000000" w:rsidRPr="00000000">
          <w:rPr>
            <w:rFonts w:ascii="Roboto" w:cs="Roboto" w:eastAsia="Roboto" w:hAnsi="Roboto"/>
            <w:color w:val="1155cc"/>
            <w:sz w:val="20"/>
            <w:szCs w:val="20"/>
            <w:highlight w:val="white"/>
            <w:u w:val="single"/>
            <w:rtl w:val="0"/>
          </w:rPr>
          <w:t xml:space="preserve">Security for Financial services</w:t>
        </w:r>
      </w:hyperlink>
      <w:r w:rsidDel="00000000" w:rsidR="00000000" w:rsidRPr="00000000">
        <w:rPr>
          <w:rtl w:val="0"/>
        </w:rPr>
      </w:r>
    </w:p>
    <w:p w:rsidR="00000000" w:rsidDel="00000000" w:rsidP="00000000" w:rsidRDefault="00000000" w:rsidRPr="00000000" w14:paraId="0000002D">
      <w:pPr>
        <w:numPr>
          <w:ilvl w:val="1"/>
          <w:numId w:val="5"/>
        </w:numPr>
        <w:ind w:left="2160" w:hanging="360"/>
        <w:rPr>
          <w:rFonts w:ascii="Roboto" w:cs="Roboto" w:eastAsia="Roboto" w:hAnsi="Roboto"/>
          <w:sz w:val="20"/>
          <w:szCs w:val="20"/>
          <w:highlight w:val="white"/>
        </w:rPr>
      </w:pPr>
      <w:hyperlink r:id="rId20">
        <w:r w:rsidDel="00000000" w:rsidR="00000000" w:rsidRPr="00000000">
          <w:rPr>
            <w:rFonts w:ascii="Roboto" w:cs="Roboto" w:eastAsia="Roboto" w:hAnsi="Roboto"/>
            <w:color w:val="1155cc"/>
            <w:sz w:val="20"/>
            <w:szCs w:val="20"/>
            <w:highlight w:val="white"/>
            <w:u w:val="single"/>
            <w:rtl w:val="0"/>
          </w:rPr>
          <w:t xml:space="preserve">Compliance Overview</w:t>
        </w:r>
      </w:hyperlink>
      <w:r w:rsidDel="00000000" w:rsidR="00000000" w:rsidRPr="00000000">
        <w:rPr>
          <w:rtl w:val="0"/>
        </w:rPr>
      </w:r>
    </w:p>
    <w:p w:rsidR="00000000" w:rsidDel="00000000" w:rsidP="00000000" w:rsidRDefault="00000000" w:rsidRPr="00000000" w14:paraId="0000002E">
      <w:pPr>
        <w:numPr>
          <w:ilvl w:val="1"/>
          <w:numId w:val="5"/>
        </w:numPr>
        <w:ind w:left="2160" w:hanging="360"/>
        <w:rPr>
          <w:rFonts w:ascii="Roboto" w:cs="Roboto" w:eastAsia="Roboto" w:hAnsi="Roboto"/>
          <w:sz w:val="20"/>
          <w:szCs w:val="20"/>
          <w:highlight w:val="white"/>
        </w:rPr>
      </w:pPr>
      <w:hyperlink r:id="rId21">
        <w:r w:rsidDel="00000000" w:rsidR="00000000" w:rsidRPr="00000000">
          <w:rPr>
            <w:rFonts w:ascii="Roboto" w:cs="Roboto" w:eastAsia="Roboto" w:hAnsi="Roboto"/>
            <w:color w:val="1155cc"/>
            <w:sz w:val="20"/>
            <w:szCs w:val="20"/>
            <w:highlight w:val="white"/>
            <w:u w:val="single"/>
            <w:rtl w:val="0"/>
          </w:rPr>
          <w:t xml:space="preserve">Financial Services</w:t>
        </w:r>
      </w:hyperlink>
      <w:r w:rsidDel="00000000" w:rsidR="00000000" w:rsidRPr="00000000">
        <w:rPr>
          <w:rtl w:val="0"/>
        </w:rPr>
      </w:r>
    </w:p>
    <w:p w:rsidR="00000000" w:rsidDel="00000000" w:rsidP="00000000" w:rsidRDefault="00000000" w:rsidRPr="00000000" w14:paraId="0000002F">
      <w:pPr>
        <w:ind w:left="0" w:firstLine="0"/>
        <w:rPr>
          <w:rFonts w:ascii="Roboto" w:cs="Roboto" w:eastAsia="Roboto" w:hAnsi="Roboto"/>
          <w:color w:val="cc0000"/>
          <w:sz w:val="20"/>
          <w:szCs w:val="20"/>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b w:val="1"/>
          <w:color w:val="080707"/>
          <w:sz w:val="20"/>
          <w:szCs w:val="20"/>
          <w:highlight w:val="white"/>
        </w:rPr>
      </w:pPr>
      <w:r w:rsidDel="00000000" w:rsidR="00000000" w:rsidRPr="00000000">
        <w:rPr>
          <w:rFonts w:ascii="Roboto" w:cs="Roboto" w:eastAsia="Roboto" w:hAnsi="Roboto"/>
          <w:b w:val="1"/>
          <w:color w:val="080707"/>
          <w:sz w:val="20"/>
          <w:szCs w:val="20"/>
          <w:highlight w:val="white"/>
          <w:rtl w:val="0"/>
        </w:rPr>
        <w:t xml:space="preserve">Useful for Testing:</w:t>
      </w:r>
    </w:p>
    <w:p w:rsidR="00000000" w:rsidDel="00000000" w:rsidP="00000000" w:rsidRDefault="00000000" w:rsidRPr="00000000" w14:paraId="00000031">
      <w:pPr>
        <w:rPr>
          <w:rFonts w:ascii="Roboto" w:cs="Roboto" w:eastAsia="Roboto" w:hAnsi="Roboto"/>
          <w:color w:val="080707"/>
          <w:sz w:val="20"/>
          <w:szCs w:val="20"/>
          <w:highlight w:val="white"/>
        </w:rPr>
      </w:pPr>
      <w:hyperlink r:id="rId22">
        <w:r w:rsidDel="00000000" w:rsidR="00000000" w:rsidRPr="00000000">
          <w:rPr>
            <w:rFonts w:ascii="Roboto" w:cs="Roboto" w:eastAsia="Roboto" w:hAnsi="Roboto"/>
            <w:color w:val="1155cc"/>
            <w:sz w:val="20"/>
            <w:szCs w:val="20"/>
            <w:u w:val="single"/>
            <w:rtl w:val="0"/>
          </w:rPr>
          <w:t xml:space="preserve">Public datasets</w:t>
        </w:r>
      </w:hyperlink>
      <w:r w:rsidDel="00000000" w:rsidR="00000000" w:rsidRPr="00000000">
        <w:rPr>
          <w:rtl w:val="0"/>
        </w:rPr>
      </w:r>
    </w:p>
    <w:p w:rsidR="00000000" w:rsidDel="00000000" w:rsidP="00000000" w:rsidRDefault="00000000" w:rsidRPr="00000000" w14:paraId="00000032">
      <w:pPr>
        <w:rPr>
          <w:rFonts w:ascii="Roboto" w:cs="Roboto" w:eastAsia="Roboto" w:hAnsi="Roboto"/>
          <w:sz w:val="20"/>
          <w:szCs w:val="20"/>
        </w:rPr>
      </w:pPr>
      <w:r w:rsidDel="00000000" w:rsidR="00000000" w:rsidRPr="00000000">
        <w:rPr>
          <w:rFonts w:ascii="Roboto" w:cs="Roboto" w:eastAsia="Roboto" w:hAnsi="Roboto"/>
          <w:color w:val="080707"/>
          <w:sz w:val="20"/>
          <w:szCs w:val="20"/>
          <w:highlight w:val="white"/>
          <w:rtl w:val="0"/>
        </w:rPr>
        <w:t xml:space="preserve">Running their own data with BQ will be better to get more accurate usage. </w:t>
      </w:r>
      <w:r w:rsidDel="00000000" w:rsidR="00000000" w:rsidRPr="00000000">
        <w:rPr>
          <w:rtl w:val="0"/>
        </w:rPr>
      </w:r>
    </w:p>
    <w:p w:rsidR="00000000" w:rsidDel="00000000" w:rsidP="00000000" w:rsidRDefault="00000000" w:rsidRPr="00000000" w14:paraId="000000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Partition tables to lessen the chance of running extra queries.</w:t>
      </w:r>
    </w:p>
    <w:p w:rsidR="00000000" w:rsidDel="00000000" w:rsidP="00000000" w:rsidRDefault="00000000" w:rsidRPr="00000000" w14:paraId="0000003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Edumacation: </w:t>
      </w:r>
    </w:p>
    <w:p w:rsidR="00000000" w:rsidDel="00000000" w:rsidP="00000000" w:rsidRDefault="00000000" w:rsidRPr="00000000" w14:paraId="00000036">
      <w:pPr>
        <w:rPr>
          <w:rFonts w:ascii="Roboto" w:cs="Roboto" w:eastAsia="Roboto" w:hAnsi="Roboto"/>
          <w:sz w:val="20"/>
          <w:szCs w:val="20"/>
        </w:rPr>
      </w:pPr>
      <w:hyperlink r:id="rId23">
        <w:r w:rsidDel="00000000" w:rsidR="00000000" w:rsidRPr="00000000">
          <w:rPr>
            <w:rFonts w:ascii="Roboto" w:cs="Roboto" w:eastAsia="Roboto" w:hAnsi="Roboto"/>
            <w:color w:val="1155cc"/>
            <w:sz w:val="20"/>
            <w:szCs w:val="20"/>
            <w:u w:val="single"/>
            <w:rtl w:val="0"/>
          </w:rPr>
          <w:t xml:space="preserve">Data School: Rows vs Columns DB </w:t>
        </w:r>
      </w:hyperlink>
      <w:r w:rsidDel="00000000" w:rsidR="00000000" w:rsidRPr="00000000">
        <w:rPr>
          <w:rtl w:val="0"/>
        </w:rPr>
      </w:r>
    </w:p>
    <w:p w:rsidR="00000000" w:rsidDel="00000000" w:rsidP="00000000" w:rsidRDefault="00000000" w:rsidRPr="00000000" w14:paraId="0000003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rPr>
          <w:rFonts w:ascii="Roboto" w:cs="Roboto" w:eastAsia="Roboto" w:hAnsi="Roboto"/>
          <w:sz w:val="20"/>
          <w:szCs w:val="20"/>
        </w:rPr>
      </w:pPr>
      <w:hyperlink r:id="rId24">
        <w:r w:rsidDel="00000000" w:rsidR="00000000" w:rsidRPr="00000000">
          <w:rPr>
            <w:rFonts w:ascii="Roboto" w:cs="Roboto" w:eastAsia="Roboto" w:hAnsi="Roboto"/>
            <w:color w:val="1155cc"/>
            <w:sz w:val="20"/>
            <w:szCs w:val="20"/>
            <w:u w:val="single"/>
            <w:rtl w:val="0"/>
          </w:rPr>
          <w:t xml:space="preserve">BigQuery ETL Best Practices</w:t>
        </w:r>
      </w:hyperlink>
      <w:r w:rsidDel="00000000" w:rsidR="00000000" w:rsidRPr="00000000">
        <w:rPr>
          <w:rtl w:val="0"/>
        </w:rPr>
      </w:r>
    </w:p>
    <w:p w:rsidR="00000000" w:rsidDel="00000000" w:rsidP="00000000" w:rsidRDefault="00000000" w:rsidRPr="00000000" w14:paraId="00000039">
      <w:pPr>
        <w:rPr>
          <w:rFonts w:ascii="Roboto" w:cs="Roboto" w:eastAsia="Roboto" w:hAnsi="Roboto"/>
          <w:sz w:val="20"/>
          <w:szCs w:val="20"/>
        </w:rPr>
      </w:pPr>
      <w:hyperlink r:id="rId25">
        <w:r w:rsidDel="00000000" w:rsidR="00000000" w:rsidRPr="00000000">
          <w:rPr>
            <w:rFonts w:ascii="Roboto" w:cs="Roboto" w:eastAsia="Roboto" w:hAnsi="Roboto"/>
            <w:color w:val="1155cc"/>
            <w:sz w:val="20"/>
            <w:szCs w:val="20"/>
            <w:u w:val="single"/>
            <w:rtl w:val="0"/>
          </w:rPr>
          <w:t xml:space="preserve">Controlling Cost in BigQuery</w:t>
        </w:r>
      </w:hyperlink>
      <w:r w:rsidDel="00000000" w:rsidR="00000000" w:rsidRPr="00000000">
        <w:rPr>
          <w:rtl w:val="0"/>
        </w:rPr>
      </w:r>
    </w:p>
    <w:p w:rsidR="00000000" w:rsidDel="00000000" w:rsidP="00000000" w:rsidRDefault="00000000" w:rsidRPr="00000000" w14:paraId="0000003A">
      <w:pPr>
        <w:rPr>
          <w:rFonts w:ascii="Roboto" w:cs="Roboto" w:eastAsia="Roboto" w:hAnsi="Roboto"/>
          <w:sz w:val="20"/>
          <w:szCs w:val="20"/>
        </w:rPr>
      </w:pPr>
      <w:hyperlink r:id="rId26">
        <w:r w:rsidDel="00000000" w:rsidR="00000000" w:rsidRPr="00000000">
          <w:rPr>
            <w:rFonts w:ascii="Roboto" w:cs="Roboto" w:eastAsia="Roboto" w:hAnsi="Roboto"/>
            <w:color w:val="1155cc"/>
            <w:sz w:val="20"/>
            <w:szCs w:val="20"/>
            <w:u w:val="single"/>
            <w:rtl w:val="0"/>
          </w:rPr>
          <w:t xml:space="preserve">Partitioning Tables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files/financial-services-compliance-overview.pdf" TargetMode="External"/><Relationship Id="rId22" Type="http://schemas.openxmlformats.org/officeDocument/2006/relationships/hyperlink" Target="https://cloud.google.com/bigquery/public-data" TargetMode="External"/><Relationship Id="rId21" Type="http://schemas.openxmlformats.org/officeDocument/2006/relationships/hyperlink" Target="https://cloud.google.com/solutions/financial-services" TargetMode="External"/><Relationship Id="rId24" Type="http://schemas.openxmlformats.org/officeDocument/2006/relationships/hyperlink" Target="https://hevodata.com/blog/bigquery-etl/" TargetMode="External"/><Relationship Id="rId23" Type="http://schemas.openxmlformats.org/officeDocument/2006/relationships/hyperlink" Target="https://dataschool.com/data-modeling-101/row-vs-column-oriented-datab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bigquery-ml/docs/tutorials" TargetMode="External"/><Relationship Id="rId26" Type="http://schemas.openxmlformats.org/officeDocument/2006/relationships/hyperlink" Target="https://hevodata.com/blog/bigquery-etl/" TargetMode="External"/><Relationship Id="rId25" Type="http://schemas.openxmlformats.org/officeDocument/2006/relationships/hyperlink" Target="https://cloud.google.com/bigquery/docs/best-practices-costs" TargetMode="External"/><Relationship Id="rId5" Type="http://schemas.openxmlformats.org/officeDocument/2006/relationships/styles" Target="styles.xml"/><Relationship Id="rId6" Type="http://schemas.openxmlformats.org/officeDocument/2006/relationships/hyperlink" Target="https://medium.com/photobox-technology-product-and-design/aws-snowflake-vs-gcp-how-do-they-stack-up-when-building-a-data-platform-45edbdd615ff" TargetMode="External"/><Relationship Id="rId7" Type="http://schemas.openxmlformats.org/officeDocument/2006/relationships/hyperlink" Target="https://cloud.google.com/bi-engine/docs/introduction" TargetMode="External"/><Relationship Id="rId8" Type="http://schemas.openxmlformats.org/officeDocument/2006/relationships/hyperlink" Target="https://cloud.google.com/bi-engine/docs/getting-started-data-studio" TargetMode="External"/><Relationship Id="rId11" Type="http://schemas.openxmlformats.org/officeDocument/2006/relationships/hyperlink" Target="https://cloud.google.com/bigquery-transfer/docs/introduction" TargetMode="External"/><Relationship Id="rId10" Type="http://schemas.openxmlformats.org/officeDocument/2006/relationships/hyperlink" Target="https://cloud.google.com/bigquery/docs/gis-intro" TargetMode="External"/><Relationship Id="rId13" Type="http://schemas.openxmlformats.org/officeDocument/2006/relationships/hyperlink" Target="https://docs.google.com/forms/d/e/1FAIpQLSff3MG6wKeqL3TDzwwb5nCmYwwBsRmGdscplHL237l7z7ItAw/viewform" TargetMode="External"/><Relationship Id="rId12" Type="http://schemas.openxmlformats.org/officeDocument/2006/relationships/hyperlink" Target="https://cloud.google.com/blog/products/data-analytics/introducing-bigquery-omni" TargetMode="External"/><Relationship Id="rId15" Type="http://schemas.openxmlformats.org/officeDocument/2006/relationships/hyperlink" Target="https://cloud.google.com/bigquery/quotas" TargetMode="External"/><Relationship Id="rId14" Type="http://schemas.openxmlformats.org/officeDocument/2006/relationships/hyperlink" Target="https://cloud.google.com/bigquery/pricing#on_demand_pricing" TargetMode="External"/><Relationship Id="rId17" Type="http://schemas.openxmlformats.org/officeDocument/2006/relationships/hyperlink" Target="https://cloud.google.com/logging/docs" TargetMode="External"/><Relationship Id="rId16" Type="http://schemas.openxmlformats.org/officeDocument/2006/relationships/hyperlink" Target="https://cloud.google.com/bigquery/docs/monitoring" TargetMode="External"/><Relationship Id="rId19" Type="http://schemas.openxmlformats.org/officeDocument/2006/relationships/hyperlink" Target="https://cloud.google.com/security/compliance/financial-services" TargetMode="External"/><Relationship Id="rId18" Type="http://schemas.openxmlformats.org/officeDocument/2006/relationships/hyperlink" Target="https://cloud.google.com/bigquery/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